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Normal"/>
        <w:ind w:left="0" w:hanging="0"/>
        <w:jc w:val="center"/>
        <w:rPr/>
      </w:pPr>
      <w:r>
        <w:rPr>
          <w:b/>
        </w:rPr>
        <w:t>УПРАВЛЕНИЕ ПО ОХРАНЕ ОБЪЕКТОВ КУЛЬТУРНОГО НАСЛЕДИЯ</w:t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r>
        <w:rPr>
          <w:b/>
        </w:rPr>
        <w:t>КАЛУЖСКОЙ ОБЛАСТИ</w:t>
      </w:r>
    </w:p>
    <w:p>
      <w:pPr>
        <w:pStyle w:val="ConsPlusNormal"/>
        <w:ind w:left="0" w:hanging="0"/>
        <w:jc w:val="both"/>
        <w:rPr>
          <w:b/>
          <w:b/>
        </w:rPr>
      </w:pPr>
      <w:r>
        <w:rPr>
          <w:b/>
        </w:rPr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r>
        <w:rPr>
          <w:b/>
        </w:rPr>
        <w:t>ПРИКАЗ</w:t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r>
        <w:rPr>
          <w:b/>
        </w:rPr>
        <w:t>от 26 апреля 2023 г. N 39</w:t>
      </w:r>
    </w:p>
    <w:p>
      <w:pPr>
        <w:pStyle w:val="ConsPlusNormal"/>
        <w:ind w:left="0" w:hanging="0"/>
        <w:jc w:val="both"/>
        <w:rPr>
          <w:b/>
          <w:b/>
        </w:rPr>
      </w:pPr>
      <w:r>
        <w:rPr>
          <w:b/>
        </w:rPr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r>
        <w:rPr>
          <w:b/>
        </w:rPr>
        <w:t>О ВКЛЮЧЕНИИ В ЕДИНЫЙ ГОСУДАРСТВЕННЫЙ РЕЕСТР ОБЪЕКТОВ</w:t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r>
        <w:rPr>
          <w:b/>
        </w:rPr>
        <w:t>КУЛЬТУРНОГО НАСЛЕДИЯ (ПАМЯТНИКОВ ИСТОРИИ И КУЛЬТУРЫ) НАРОДОВ</w:t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r>
        <w:rPr>
          <w:b/>
        </w:rPr>
        <w:t>РОССИЙСКОЙ ФЕДЕРАЦИИ ВЫЯВЛЕННОГО ОБЪЕКТА КУЛЬТУРНОГО</w:t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r>
        <w:rPr>
          <w:b/>
        </w:rPr>
        <w:t>НАСЛЕДИЯ "ДОМ КУПЦОВ ЗАВЕРИНЫХ", XIX В. (КАЛУЖСКАЯ</w:t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r>
        <w:rPr>
          <w:b/>
        </w:rPr>
        <w:t>ОБЛАСТЬ, Г. КАЛУГА, УЛ. ВОРОБЬЕВСКАЯ, Д. 26)</w:t>
      </w:r>
    </w:p>
    <w:p>
      <w:pPr>
        <w:pStyle w:val="ConsPlusNormal"/>
        <w:ind w:left="0" w:hanging="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ConsPlusNormal"/>
        <w:ind w:left="0" w:firstLine="540"/>
        <w:jc w:val="both"/>
        <w:rPr/>
      </w:pPr>
      <w:r>
        <w:rPr/>
        <w:t>В соответствии с Ф</w:t>
      </w:r>
      <w:r>
        <w:rPr>
          <w:color w:val="000000"/>
        </w:rPr>
        <w:t xml:space="preserve">едеральным </w:t>
      </w:r>
      <w:r>
        <w:rPr>
          <w:color w:val="000000"/>
        </w:rPr>
        <w:t>законом</w:t>
      </w:r>
      <w:r>
        <w:rPr>
          <w:color w:val="000000"/>
        </w:rPr>
        <w:t xml:space="preserve"> "Об объектах культурного наследия (памятниках истории и культуры) народов Российской Федерации", </w:t>
      </w:r>
      <w:r>
        <w:rPr>
          <w:color w:val="000000"/>
        </w:rPr>
        <w:t>Законом</w:t>
      </w:r>
      <w:r>
        <w:rPr>
          <w:color w:val="000000"/>
        </w:rPr>
        <w:t xml:space="preserve"> Калужской области "Об объектах культурного наследия (памятниках истории и культуры) народов Российской Федерации, расположенных на территории Калужской области", </w:t>
      </w:r>
      <w:r>
        <w:rPr>
          <w:color w:val="000000"/>
        </w:rPr>
        <w:t>постановлением</w:t>
      </w:r>
      <w:r>
        <w:rPr>
          <w:color w:val="000000"/>
        </w:rPr>
        <w:t xml:space="preserve"> Правительства Калужской области от 26.08.2015 N 481 "О создании управления по охране объектов культурного наследия Калужской области" (в ред. постановлений Правительства Калужской области от 31.08.2017 N 499, от 29.01.2018 N 56, от 10.10.2018 N 624, от 14.05.2020 N 378, от 28.05.2021 N 336, от 30.08.2021 N 568), </w:t>
      </w:r>
      <w:r>
        <w:rPr>
          <w:color w:val="000000"/>
        </w:rPr>
        <w:t>постановлением</w:t>
      </w:r>
      <w:r>
        <w:rPr>
          <w:color w:val="000000"/>
        </w:rPr>
        <w:t xml:space="preserve"> Правительства Калужской области от 22.01.2018 N 36 "Об утверждении Порядка принятия решения о включении объекта культурного наследия регионального значения или объекта культурного наследия местного (муниципального) значения в единый государственный реестр объектов культурного наследия (памятников истории и культуры) народов Российской Федерации", актом государственной историко-культурной экспертизы выявленного объекта культурного наследия "Дом купцов Завериных", XIX в. (Калужская область, г. Калуга, ул. Воробьевская, д. 26), в целях обоснования целесообразности включения его в единый государственный реестр объектов культурного наследия (памятников истории и культуры) народов Российской Федерации (подготовлен экспертом, аттестованным Министерством культуры Российской Федерации, А.Ф.Мартыновым)</w:t>
      </w:r>
    </w:p>
    <w:p>
      <w:pPr>
        <w:pStyle w:val="ConsPlusNormal"/>
        <w:spacing w:before="160" w:after="0"/>
        <w:ind w:left="0" w:firstLine="540"/>
        <w:jc w:val="both"/>
        <w:rPr>
          <w:b w:val="false"/>
          <w:b w:val="false"/>
        </w:rPr>
      </w:pPr>
      <w:r>
        <w:rPr>
          <w:color w:val="000000"/>
        </w:rPr>
        <w:t>ПРИКАЗЫВАЮ:</w:t>
      </w:r>
    </w:p>
    <w:p>
      <w:pPr>
        <w:pStyle w:val="ConsPlusNormal"/>
        <w:bidi w:val="0"/>
        <w:spacing w:before="0" w:after="0"/>
        <w:ind w:left="0" w:firstLine="540"/>
        <w:jc w:val="both"/>
        <w:rPr>
          <w:b w:val="false"/>
          <w:b w:val="false"/>
        </w:rPr>
      </w:pPr>
      <w:r>
        <w:rPr>
          <w:color w:val="000000"/>
        </w:rPr>
        <w:t>1. Включить выявленный объект культурного наследия "Дом купцов Завериных", XIX в., по адресу: Калужская область, г. Калуга, ул. Воробьевская, д. 26, в единый государственный реестр объектов культурного наследия (памятников истории и культуры) народов Российской Федерации в качестве объекта культурного наследия регионального значения с наименованием и датировкой: "Дом Рябчиковых-Завериных", начало 1830-х гг., конец XIX в., по адресу: Калужская область, г. Калуга, ул. Воробьевская, д. 26, и установить вид данного объекта - памятник.</w:t>
      </w:r>
    </w:p>
    <w:p>
      <w:pPr>
        <w:pStyle w:val="ConsPlusNormal"/>
        <w:bidi w:val="0"/>
        <w:spacing w:before="0" w:after="0"/>
        <w:ind w:left="0" w:firstLine="540"/>
        <w:jc w:val="both"/>
        <w:rPr>
          <w:color w:val="000000"/>
        </w:rPr>
      </w:pPr>
      <w:r>
        <w:rPr>
          <w:color w:val="000000"/>
        </w:rPr>
        <w:t xml:space="preserve">2. Утвердить предмет охраны </w:t>
      </w:r>
      <w:r>
        <w:rPr>
          <w:color w:val="000000"/>
        </w:rPr>
        <w:t>объекта</w:t>
      </w:r>
      <w:r>
        <w:rPr>
          <w:color w:val="000000"/>
        </w:rPr>
        <w:t xml:space="preserve"> культурного наследия регионального значения "Дом Рябчиковых-Завериных", начало 1830-х гг., конец XIX в., по адресу: Калужская область, г. Калуга, ул. Воробьевская, д. 26, согласно приложению N 1 к настоящему Приказу.</w:t>
      </w:r>
    </w:p>
    <w:p>
      <w:pPr>
        <w:pStyle w:val="ConsPlusNormal"/>
        <w:bidi w:val="0"/>
        <w:spacing w:before="0" w:after="0"/>
        <w:ind w:left="0" w:firstLine="540"/>
        <w:jc w:val="both"/>
        <w:rPr>
          <w:color w:val="000000"/>
        </w:rPr>
      </w:pPr>
      <w:r>
        <w:rPr>
          <w:color w:val="000000"/>
        </w:rPr>
        <w:t xml:space="preserve">3. Утвердить границы территории объекта культурного наследия регионального значения "Дом Рябчиковых-Завериных", начало 1830-х гг., конец XIX в., по адресу: Калужская область, г. Калуга, ул. Воробьевская, д. 26, согласно приложению N 2 (графическое </w:t>
      </w:r>
      <w:r>
        <w:rPr>
          <w:color w:val="000000"/>
        </w:rPr>
        <w:t>описание</w:t>
      </w:r>
      <w:r>
        <w:rPr>
          <w:color w:val="000000"/>
        </w:rPr>
        <w:t>) и приложению N 3 (</w:t>
      </w:r>
      <w:r>
        <w:rPr>
          <w:color w:val="000000"/>
        </w:rPr>
        <w:t>перечень</w:t>
      </w:r>
      <w:r>
        <w:rPr>
          <w:color w:val="000000"/>
        </w:rPr>
        <w:t xml:space="preserve"> координат характерных точек и план поворотных точек) к настоящему Приказу.</w:t>
      </w:r>
    </w:p>
    <w:p>
      <w:pPr>
        <w:pStyle w:val="ConsPlusNormal"/>
        <w:bidi w:val="0"/>
        <w:spacing w:before="0" w:after="0"/>
        <w:ind w:left="0" w:firstLine="540"/>
        <w:jc w:val="both"/>
        <w:rPr>
          <w:color w:val="000000"/>
        </w:rPr>
      </w:pPr>
      <w:r>
        <w:rPr>
          <w:color w:val="000000"/>
        </w:rPr>
        <w:t xml:space="preserve">4. Утвердить </w:t>
      </w:r>
      <w:r>
        <w:rPr>
          <w:color w:val="000000"/>
        </w:rPr>
        <w:t>режим</w:t>
      </w:r>
      <w:r>
        <w:rPr>
          <w:color w:val="000000"/>
        </w:rPr>
        <w:t xml:space="preserve"> использования территории объекта культурного наследия регионального значения "Дом Рябчиковых-Завериных", начало 1830-х гг., конец XIX в., по адресу: Калужская область, г. Калуга, ул. Воробьевская, д. 26, согласно приложению N 4 к настоящему Приказу.</w:t>
      </w:r>
    </w:p>
    <w:p>
      <w:pPr>
        <w:pStyle w:val="ConsPlusNormal"/>
        <w:bidi w:val="0"/>
        <w:spacing w:before="0" w:after="0"/>
        <w:ind w:left="0" w:firstLine="540"/>
        <w:jc w:val="both"/>
        <w:rPr>
          <w:b w:val="false"/>
          <w:b w:val="false"/>
        </w:rPr>
      </w:pPr>
      <w:r>
        <w:rPr/>
        <w:t>5. Настоящий Приказ вступает в силу по истечении десяти дней после его официального опубликования.</w:t>
      </w:r>
    </w:p>
    <w:p>
      <w:pPr>
        <w:pStyle w:val="ConsPlusNormal"/>
        <w:ind w:left="0" w:hanging="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ConsPlusNormal"/>
        <w:ind w:left="0" w:hanging="0"/>
        <w:jc w:val="right"/>
        <w:rPr>
          <w:b w:val="false"/>
          <w:b w:val="false"/>
        </w:rPr>
      </w:pPr>
      <w:r>
        <w:rPr/>
        <w:t>Начальник управления</w:t>
      </w:r>
    </w:p>
    <w:p>
      <w:pPr>
        <w:pStyle w:val="ConsPlusNormal"/>
        <w:ind w:left="0" w:hanging="0"/>
        <w:jc w:val="right"/>
        <w:rPr>
          <w:b w:val="false"/>
          <w:b w:val="false"/>
        </w:rPr>
      </w:pPr>
      <w:r>
        <w:rPr/>
        <w:t>Е.Е.Чудаков</w:t>
      </w:r>
    </w:p>
    <w:p>
      <w:pPr>
        <w:pStyle w:val="ConsPlusNormal"/>
        <w:ind w:left="0" w:hanging="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ConsPlusNormal"/>
        <w:ind w:left="0" w:hanging="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ConsPlusNormal"/>
        <w:ind w:left="0" w:hanging="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ConsPlusNormal"/>
        <w:ind w:left="0" w:hanging="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ConsPlusNormal"/>
        <w:ind w:left="0" w:hanging="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b w:val="false"/>
          <w:b w:val="false"/>
        </w:rPr>
      </w:pPr>
      <w:r>
        <w:rPr/>
        <w:t>Приложение N 1</w:t>
      </w:r>
    </w:p>
    <w:p>
      <w:pPr>
        <w:pStyle w:val="ConsPlusNormal"/>
        <w:ind w:left="0" w:hanging="0"/>
        <w:jc w:val="right"/>
        <w:rPr>
          <w:b w:val="false"/>
          <w:b w:val="false"/>
        </w:rPr>
      </w:pPr>
      <w:r>
        <w:rPr/>
        <w:t>к Приказу</w:t>
      </w:r>
    </w:p>
    <w:p>
      <w:pPr>
        <w:pStyle w:val="ConsPlusNormal"/>
        <w:ind w:left="0" w:hanging="0"/>
        <w:jc w:val="right"/>
        <w:rPr>
          <w:b w:val="false"/>
          <w:b w:val="false"/>
        </w:rPr>
      </w:pPr>
      <w:r>
        <w:rPr/>
        <w:t>управления по охране объектов</w:t>
      </w:r>
    </w:p>
    <w:p>
      <w:pPr>
        <w:pStyle w:val="ConsPlusNormal"/>
        <w:ind w:left="0" w:hanging="0"/>
        <w:jc w:val="right"/>
        <w:rPr>
          <w:b w:val="false"/>
          <w:b w:val="false"/>
        </w:rPr>
      </w:pPr>
      <w:r>
        <w:rPr/>
        <w:t>культурного наследия</w:t>
      </w:r>
    </w:p>
    <w:p>
      <w:pPr>
        <w:pStyle w:val="ConsPlusNormal"/>
        <w:ind w:left="0" w:hanging="0"/>
        <w:jc w:val="right"/>
        <w:rPr>
          <w:b w:val="false"/>
          <w:b w:val="false"/>
        </w:rPr>
      </w:pPr>
      <w:r>
        <w:rPr/>
        <w:t>Калужской области</w:t>
      </w:r>
    </w:p>
    <w:p>
      <w:pPr>
        <w:pStyle w:val="ConsPlusNormal"/>
        <w:ind w:left="0" w:hanging="0"/>
        <w:jc w:val="right"/>
        <w:rPr>
          <w:b w:val="false"/>
          <w:b w:val="false"/>
        </w:rPr>
      </w:pPr>
      <w:r>
        <w:rPr/>
        <w:t>от 26 апреля 2023 г. N 39</w:t>
      </w:r>
    </w:p>
    <w:p>
      <w:pPr>
        <w:pStyle w:val="ConsPlusNormal"/>
        <w:ind w:left="0" w:hanging="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bookmarkStart w:id="0" w:name="Par38"/>
      <w:bookmarkEnd w:id="0"/>
      <w:r>
        <w:rPr>
          <w:b/>
        </w:rPr>
        <w:t>ОПИСАНИЕ ОСОБЕННОСТЕЙ ОБЪЕКТА КУЛЬТУРНОГО НАСЛЕДИЯ</w:t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r>
        <w:rPr>
          <w:b/>
        </w:rPr>
        <w:t>РЕГИОНАЛЬНОГО ЗНАЧЕНИЯ "ДОМ РЯБЧИКОВЫХ-ЗАВЕРИНЫХ", НАЧАЛО</w:t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r>
        <w:rPr>
          <w:b/>
        </w:rPr>
        <w:t>1830-Х ГГ., КОНЕЦ XIX В., ЯВЛЯЮЩИХСЯ ОСНОВАНИЯМИ</w:t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r>
        <w:rPr>
          <w:b/>
        </w:rPr>
        <w:t>ДЛЯ ВКЛЮЧЕНИЯ ЕГО В РЕЕСТР И ПОДЛЕЖАЩИХ ОБЯЗАТЕЛЬНОМУ</w:t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r>
        <w:rPr>
          <w:b/>
        </w:rPr>
        <w:t>СОХРАНЕНИЮ (ПРЕДМЕТ ОХРАНЫ ОБЪЕКТА КУЛЬТУРНОГО НАСЛЕДИЯ)</w:t>
      </w:r>
    </w:p>
    <w:p>
      <w:pPr>
        <w:pStyle w:val="ConsPlusNormal"/>
        <w:ind w:left="0" w:hanging="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ConsPlusNormal"/>
        <w:bidi w:val="0"/>
        <w:spacing w:before="0" w:after="0"/>
        <w:ind w:left="0" w:firstLine="540"/>
        <w:jc w:val="both"/>
        <w:rPr>
          <w:b w:val="false"/>
          <w:b w:val="false"/>
        </w:rPr>
      </w:pPr>
      <w:r>
        <w:rPr/>
        <w:t>1) Местоположение памятника на пересечении исторических красных линий улиц Воробьевская и Набережная в городе Калуге;</w:t>
      </w:r>
    </w:p>
    <w:p>
      <w:pPr>
        <w:pStyle w:val="ConsPlusNormal"/>
        <w:bidi w:val="0"/>
        <w:spacing w:before="0" w:after="0"/>
        <w:ind w:left="0" w:firstLine="540"/>
        <w:jc w:val="both"/>
        <w:rPr>
          <w:b w:val="false"/>
          <w:b w:val="false"/>
        </w:rPr>
      </w:pPr>
      <w:r>
        <w:rPr/>
        <w:t>2) габариты, силуэт памятника на конец XIX в.: двухэтажное "Г"-образное в плане здание, сблокированное из двух прямоугольных в плане объемов начала и конца XIX в.;</w:t>
      </w:r>
    </w:p>
    <w:p>
      <w:pPr>
        <w:pStyle w:val="ConsPlusNormal"/>
        <w:bidi w:val="0"/>
        <w:spacing w:before="0" w:after="0"/>
        <w:ind w:left="0" w:firstLine="540"/>
        <w:jc w:val="both"/>
        <w:rPr>
          <w:b w:val="false"/>
          <w:b w:val="false"/>
        </w:rPr>
      </w:pPr>
      <w:r>
        <w:rPr/>
        <w:t>3) объемно-пространственная композиция памятника на конец XIX в.: двухэтажный объем под скатной кровлей, сформированный поэтапно в течение XIX в., подчиненный рельефу местности;</w:t>
      </w:r>
    </w:p>
    <w:p>
      <w:pPr>
        <w:pStyle w:val="ConsPlusNormal"/>
        <w:bidi w:val="0"/>
        <w:spacing w:before="0" w:after="0"/>
        <w:ind w:left="0" w:firstLine="540"/>
        <w:jc w:val="both"/>
        <w:rPr>
          <w:b w:val="false"/>
          <w:b w:val="false"/>
        </w:rPr>
      </w:pPr>
      <w:r>
        <w:rPr/>
        <w:t>4) крыша: конфигурация кровли (двухскатная); высотные отметки по коньку; материал конструкций (стропила и обрешетка деревянные); характер кровельного покрытия (гладкое металлическое покрытие с фальцевым соединением); цвет металла (сурик железный); чердачное окно на северном скате кровли;</w:t>
      </w:r>
    </w:p>
    <w:p>
      <w:pPr>
        <w:pStyle w:val="ConsPlusNormal"/>
        <w:bidi w:val="0"/>
        <w:spacing w:before="0" w:after="0"/>
        <w:ind w:left="0" w:firstLine="540"/>
        <w:jc w:val="both"/>
        <w:rPr>
          <w:b w:val="false"/>
          <w:b w:val="false"/>
        </w:rPr>
      </w:pPr>
      <w:r>
        <w:rPr/>
        <w:t>5) композиция и архитектурно-художественное оформление фасадов, включая местоположение, форму и размер оконных и дверных проемов, в том числе ложных оконных проемов, ниши и висячей лопатки западного торцевого фасада, межэтажного пояска-полочки, венчающего простого фриза и профилированного карниза;</w:t>
      </w:r>
    </w:p>
    <w:p>
      <w:pPr>
        <w:pStyle w:val="ConsPlusNormal"/>
        <w:bidi w:val="0"/>
        <w:spacing w:before="0" w:after="0"/>
        <w:ind w:left="0" w:firstLine="540"/>
        <w:jc w:val="both"/>
        <w:rPr>
          <w:b w:val="false"/>
          <w:b w:val="false"/>
        </w:rPr>
      </w:pPr>
      <w:r>
        <w:rPr/>
        <w:t>6) отделка фасадной поверхности: окраска по штукатурной поверхности;</w:t>
      </w:r>
    </w:p>
    <w:p>
      <w:pPr>
        <w:pStyle w:val="ConsPlusNormal"/>
        <w:bidi w:val="0"/>
        <w:spacing w:before="0" w:after="0"/>
        <w:ind w:left="0" w:firstLine="540"/>
        <w:jc w:val="both"/>
        <w:rPr>
          <w:b w:val="false"/>
          <w:b w:val="false"/>
        </w:rPr>
      </w:pPr>
      <w:r>
        <w:rPr/>
        <w:t>7) колористическое решение на конец XIX в.: охра;</w:t>
      </w:r>
    </w:p>
    <w:p>
      <w:pPr>
        <w:pStyle w:val="ConsPlusNormal"/>
        <w:bidi w:val="0"/>
        <w:spacing w:before="0" w:after="0"/>
        <w:ind w:left="0" w:firstLine="540"/>
        <w:jc w:val="both"/>
        <w:rPr>
          <w:b w:val="false"/>
          <w:b w:val="false"/>
        </w:rPr>
      </w:pPr>
      <w:r>
        <w:rPr/>
        <w:t>8) заполнения дверных и оконных проемов: материал (дерево); характер оформления: оконное заполнение (рисунок переплета) многочастное; откосы и порталы;</w:t>
      </w:r>
    </w:p>
    <w:p>
      <w:pPr>
        <w:pStyle w:val="ConsPlusNormal"/>
        <w:bidi w:val="0"/>
        <w:spacing w:before="0" w:after="0"/>
        <w:ind w:left="0" w:firstLine="540"/>
        <w:jc w:val="both"/>
        <w:rPr>
          <w:b w:val="false"/>
          <w:b w:val="false"/>
        </w:rPr>
      </w:pPr>
      <w:r>
        <w:rPr/>
        <w:t>9) пространственно-планировочная структура интерьеров в пределах капитальных кирпичных стен и перекрытий системы Монье (сводов Монье);</w:t>
      </w:r>
    </w:p>
    <w:p>
      <w:pPr>
        <w:pStyle w:val="ConsPlusNormal"/>
        <w:bidi w:val="0"/>
        <w:spacing w:before="0" w:after="0"/>
        <w:ind w:left="0" w:firstLine="540"/>
        <w:jc w:val="both"/>
        <w:rPr>
          <w:b w:val="false"/>
          <w:b w:val="false"/>
        </w:rPr>
      </w:pPr>
      <w:r>
        <w:rPr/>
        <w:t>10) конструктивные элементы на конец XIX в.: бутовый и кирпичный фундаменты, клинчатые и дощатые оконные и дверные перемычки, кирпичные стены, своды Монье;</w:t>
      </w:r>
    </w:p>
    <w:p>
      <w:pPr>
        <w:pStyle w:val="ConsPlusNormal"/>
        <w:bidi w:val="0"/>
        <w:spacing w:before="0" w:after="0"/>
        <w:ind w:left="0" w:firstLine="540"/>
        <w:jc w:val="both"/>
        <w:rPr>
          <w:b w:val="false"/>
          <w:b w:val="false"/>
        </w:rPr>
      </w:pPr>
      <w:r>
        <w:rPr/>
        <w:t>11) архитектурно-художественное оформление интерьеров: интерьерный (профилированный) потолочный карниз, своды Монье, окрашенная по штукатурке поверхность стен интерьера.</w:t>
      </w:r>
    </w:p>
    <w:p>
      <w:pPr>
        <w:pStyle w:val="ConsPlusNormal"/>
        <w:ind w:left="0" w:hanging="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ConsPlusNormal"/>
        <w:numPr>
          <w:ilvl w:val="0"/>
          <w:numId w:val="0"/>
        </w:numPr>
        <w:ind w:left="0" w:hanging="0"/>
        <w:jc w:val="center"/>
        <w:outlineLvl w:val="1"/>
        <w:rPr>
          <w:b w:val="false"/>
          <w:b w:val="false"/>
        </w:rPr>
      </w:pPr>
      <w:r>
        <w:rPr>
          <w:b/>
        </w:rPr>
        <w:t>Графическое описание предмета охраны объекта культурного</w:t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r>
        <w:rPr>
          <w:b/>
        </w:rPr>
        <w:t>наследия регионального значения (памятника) "Дом</w:t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r>
        <w:rPr>
          <w:b/>
        </w:rPr>
        <w:t>Рябчиковых-Завериных", начало 1830-х гг., конец XIX в.</w:t>
      </w:r>
    </w:p>
    <w:p>
      <w:pPr>
        <w:pStyle w:val="ConsPlusNormal"/>
        <w:ind w:left="0" w:hanging="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ConsPlusNormal"/>
        <w:ind w:left="0" w:firstLine="540"/>
        <w:jc w:val="both"/>
        <w:rPr>
          <w:b w:val="false"/>
          <w:b w:val="false"/>
        </w:rPr>
      </w:pPr>
      <w:r>
        <w:rPr/>
        <w:drawing>
          <wp:inline distT="0" distB="0" distL="0" distR="0">
            <wp:extent cx="3458210" cy="589661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210" cy="589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onsPlusNormal"/>
        <w:ind w:left="0" w:hanging="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ConsPlusNormal"/>
        <w:ind w:left="0" w:firstLine="540"/>
        <w:jc w:val="both"/>
        <w:rPr>
          <w:b w:val="false"/>
          <w:b w:val="false"/>
        </w:rPr>
      </w:pPr>
      <w:r>
        <w:rPr/>
        <w:drawing>
          <wp:inline distT="0" distB="0" distL="0" distR="0">
            <wp:extent cx="3458210" cy="5940425"/>
            <wp:effectExtent l="0" t="0" r="0" b="0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21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onsPlusNormal"/>
        <w:ind w:left="0" w:hanging="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ConsPlusNormal"/>
        <w:ind w:left="0" w:hanging="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ConsPlusNormal"/>
        <w:ind w:left="0" w:hanging="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ConsPlusNormal"/>
        <w:ind w:left="0" w:hanging="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ConsPlusNormal"/>
        <w:ind w:left="0" w:hanging="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b w:val="false"/>
          <w:b w:val="false"/>
        </w:rPr>
      </w:pPr>
      <w:r>
        <w:rPr/>
        <w:t>Приложение N 2</w:t>
      </w:r>
    </w:p>
    <w:p>
      <w:pPr>
        <w:pStyle w:val="ConsPlusNormal"/>
        <w:ind w:left="0" w:hanging="0"/>
        <w:jc w:val="right"/>
        <w:rPr>
          <w:b w:val="false"/>
          <w:b w:val="false"/>
        </w:rPr>
      </w:pPr>
      <w:r>
        <w:rPr/>
        <w:t>к Приказу</w:t>
      </w:r>
    </w:p>
    <w:p>
      <w:pPr>
        <w:pStyle w:val="ConsPlusNormal"/>
        <w:ind w:left="0" w:hanging="0"/>
        <w:jc w:val="right"/>
        <w:rPr>
          <w:b w:val="false"/>
          <w:b w:val="false"/>
        </w:rPr>
      </w:pPr>
      <w:r>
        <w:rPr/>
        <w:t>управления по охране объектов</w:t>
      </w:r>
    </w:p>
    <w:p>
      <w:pPr>
        <w:pStyle w:val="ConsPlusNormal"/>
        <w:ind w:left="0" w:hanging="0"/>
        <w:jc w:val="right"/>
        <w:rPr>
          <w:b w:val="false"/>
          <w:b w:val="false"/>
        </w:rPr>
      </w:pPr>
      <w:r>
        <w:rPr/>
        <w:t>культурного наследия</w:t>
      </w:r>
    </w:p>
    <w:p>
      <w:pPr>
        <w:pStyle w:val="ConsPlusNormal"/>
        <w:ind w:left="0" w:hanging="0"/>
        <w:jc w:val="right"/>
        <w:rPr>
          <w:b w:val="false"/>
          <w:b w:val="false"/>
        </w:rPr>
      </w:pPr>
      <w:r>
        <w:rPr/>
        <w:t>Калужской области</w:t>
      </w:r>
    </w:p>
    <w:p>
      <w:pPr>
        <w:pStyle w:val="ConsPlusNormal"/>
        <w:ind w:left="0" w:hanging="0"/>
        <w:jc w:val="right"/>
        <w:rPr>
          <w:b w:val="false"/>
          <w:b w:val="false"/>
        </w:rPr>
      </w:pPr>
      <w:r>
        <w:rPr/>
        <w:t>от 26 апреля 2023 г. N 39</w:t>
      </w:r>
    </w:p>
    <w:p>
      <w:pPr>
        <w:pStyle w:val="ConsPlusNormal"/>
        <w:ind w:left="0" w:hanging="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ConsPlusNormal"/>
        <w:ind w:left="0" w:hanging="0"/>
        <w:jc w:val="center"/>
        <w:rPr>
          <w:b/>
          <w:b/>
        </w:rPr>
      </w:pPr>
      <w:r>
        <w:rPr/>
      </w:r>
    </w:p>
    <w:p>
      <w:pPr>
        <w:pStyle w:val="ConsPlusNormal"/>
        <w:ind w:left="0" w:hanging="0"/>
        <w:jc w:val="center"/>
        <w:rPr>
          <w:b/>
          <w:b/>
        </w:rPr>
      </w:pPr>
      <w:r>
        <w:rPr/>
      </w:r>
    </w:p>
    <w:p>
      <w:pPr>
        <w:pStyle w:val="ConsPlusNormal"/>
        <w:ind w:left="0" w:hanging="0"/>
        <w:jc w:val="center"/>
        <w:rPr>
          <w:b/>
          <w:b/>
        </w:rPr>
      </w:pPr>
      <w:r>
        <w:rPr/>
      </w:r>
    </w:p>
    <w:p>
      <w:pPr>
        <w:pStyle w:val="ConsPlusNormal"/>
        <w:ind w:left="0" w:hanging="0"/>
        <w:jc w:val="center"/>
        <w:rPr>
          <w:b/>
          <w:b/>
        </w:rPr>
      </w:pPr>
      <w:r>
        <w:rPr/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bookmarkStart w:id="1" w:name="Par75"/>
      <w:bookmarkEnd w:id="1"/>
      <w:r>
        <w:rPr>
          <w:b/>
        </w:rPr>
        <w:t>ГРАФИЧЕСКОЕ ОПИСАНИЕ</w:t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r>
        <w:rPr>
          <w:b/>
        </w:rPr>
        <w:t>ГРАНИЦЫ ТЕРРИТОРИИ ОБЪЕКТА КУЛЬТУРНОГО НАСЛЕДИЯ</w:t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r>
        <w:rPr>
          <w:b/>
        </w:rPr>
        <w:t>РЕГИОНАЛЬНОГО ЗНАЧЕНИЯ "ДОМ РЯБЧИКОВЫХ-ЗАВЕРИНЫХ", НАЧАЛО</w:t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r>
        <w:rPr>
          <w:b/>
        </w:rPr>
        <w:t>1830-Х ГГ., КОНЕЦ XIX В.</w:t>
      </w:r>
    </w:p>
    <w:p>
      <w:pPr>
        <w:pStyle w:val="ConsPlusNormal"/>
        <w:ind w:left="0" w:hanging="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ConsPlusNormal"/>
        <w:ind w:left="0" w:firstLine="540"/>
        <w:jc w:val="both"/>
        <w:rPr>
          <w:b w:val="false"/>
          <w:b w:val="false"/>
        </w:rPr>
      </w:pPr>
      <w:r>
        <w:rPr/>
        <w:drawing>
          <wp:inline distT="0" distB="0" distL="0" distR="0">
            <wp:extent cx="3458210" cy="4896485"/>
            <wp:effectExtent l="0" t="0" r="0" b="0"/>
            <wp:docPr id="3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210" cy="489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onsPlusNormal"/>
        <w:ind w:left="0" w:hanging="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ConsPlusNormal"/>
        <w:ind w:left="0" w:hanging="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ConsPlusNormal"/>
        <w:ind w:left="0" w:hanging="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ConsPlusNormal"/>
        <w:ind w:left="0" w:hanging="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ConsPlusNormal"/>
        <w:ind w:left="0" w:hanging="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>
          <w:b w:val="false"/>
          <w:b w:val="false"/>
        </w:rPr>
      </w:pPr>
      <w:r>
        <w:rPr/>
        <w:t>Приложение N 3</w:t>
      </w:r>
    </w:p>
    <w:p>
      <w:pPr>
        <w:pStyle w:val="ConsPlusNormal"/>
        <w:ind w:left="0" w:hanging="0"/>
        <w:jc w:val="right"/>
        <w:rPr>
          <w:b w:val="false"/>
          <w:b w:val="false"/>
        </w:rPr>
      </w:pPr>
      <w:r>
        <w:rPr/>
        <w:t>к Приказу</w:t>
      </w:r>
    </w:p>
    <w:p>
      <w:pPr>
        <w:pStyle w:val="ConsPlusNormal"/>
        <w:ind w:left="0" w:hanging="0"/>
        <w:jc w:val="right"/>
        <w:rPr>
          <w:b w:val="false"/>
          <w:b w:val="false"/>
        </w:rPr>
      </w:pPr>
      <w:r>
        <w:rPr/>
        <w:t>управления по охране объектов</w:t>
      </w:r>
    </w:p>
    <w:p>
      <w:pPr>
        <w:pStyle w:val="ConsPlusNormal"/>
        <w:ind w:left="0" w:hanging="0"/>
        <w:jc w:val="right"/>
        <w:rPr>
          <w:b w:val="false"/>
          <w:b w:val="false"/>
        </w:rPr>
      </w:pPr>
      <w:r>
        <w:rPr/>
        <w:t>культурного наследия</w:t>
      </w:r>
    </w:p>
    <w:p>
      <w:pPr>
        <w:pStyle w:val="ConsPlusNormal"/>
        <w:ind w:left="0" w:hanging="0"/>
        <w:jc w:val="right"/>
        <w:rPr>
          <w:b w:val="false"/>
          <w:b w:val="false"/>
        </w:rPr>
      </w:pPr>
      <w:r>
        <w:rPr/>
        <w:t>Калужской области</w:t>
      </w:r>
    </w:p>
    <w:p>
      <w:pPr>
        <w:pStyle w:val="ConsPlusNormal"/>
        <w:ind w:left="0" w:hanging="0"/>
        <w:jc w:val="right"/>
        <w:rPr>
          <w:b w:val="false"/>
          <w:b w:val="false"/>
        </w:rPr>
      </w:pPr>
      <w:r>
        <w:rPr/>
        <w:t>от 26 апреля 2023 г. N 39</w:t>
      </w:r>
    </w:p>
    <w:p>
      <w:pPr>
        <w:pStyle w:val="ConsPlusNormal"/>
        <w:ind w:left="0" w:hanging="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bookmarkStart w:id="2" w:name="Par93"/>
      <w:bookmarkEnd w:id="2"/>
      <w:r>
        <w:rPr>
          <w:b/>
        </w:rPr>
        <w:t>ПЕРЕЧЕНЬ</w:t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r>
        <w:rPr>
          <w:b/>
        </w:rPr>
        <w:t>КООРДИНАТ ХАРАКТЕРНЫХ ТОЧЕК (МСК) ГРАНИЦ ТЕРРИТОРИИ И ПЛАН</w:t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r>
        <w:rPr>
          <w:b/>
        </w:rPr>
        <w:t>ПОВОРОТНЫХ ТОЧЕК ОБЪЕКТА КУЛЬТУРНОГО НАСЛЕДИЯ РЕГИОНАЛЬНОГО</w:t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r>
        <w:rPr>
          <w:b/>
        </w:rPr>
        <w:t>ЗНАЧЕНИЯ "ДОМ РЯБЧИКОВЫХ-ЗАВЕРИНЫХ", НАЧАЛО 1830-Х ГГ.,</w:t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r>
        <w:rPr>
          <w:b/>
        </w:rPr>
        <w:t>КОНЕЦ XIX В.</w:t>
      </w:r>
    </w:p>
    <w:p>
      <w:pPr>
        <w:pStyle w:val="ConsPlusNormal"/>
        <w:ind w:left="0" w:hanging="0"/>
        <w:jc w:val="both"/>
        <w:rPr>
          <w:b w:val="false"/>
          <w:b w:val="false"/>
        </w:rPr>
      </w:pPr>
      <w:r>
        <w:rPr>
          <w:b w:val="false"/>
        </w:rPr>
      </w:r>
    </w:p>
    <w:tbl>
      <w:tblPr>
        <w:tblW w:w="4181" w:type="dxa"/>
        <w:jc w:val="left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102" w:type="dxa"/>
          <w:left w:w="57" w:type="dxa"/>
          <w:bottom w:w="102" w:type="dxa"/>
          <w:right w:w="62" w:type="dxa"/>
        </w:tblCellMar>
      </w:tblPr>
      <w:tblGrid>
        <w:gridCol w:w="885"/>
        <w:gridCol w:w="1547"/>
        <w:gridCol w:w="1749"/>
      </w:tblGrid>
      <w:tr>
        <w:trPr/>
        <w:tc>
          <w:tcPr>
            <w:tcW w:w="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N</w:t>
            </w:r>
          </w:p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точек</w:t>
            </w:r>
          </w:p>
        </w:tc>
        <w:tc>
          <w:tcPr>
            <w:tcW w:w="1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X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Y</w:t>
            </w:r>
          </w:p>
        </w:tc>
      </w:tr>
      <w:tr>
        <w:trPr/>
        <w:tc>
          <w:tcPr>
            <w:tcW w:w="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1</w:t>
            </w:r>
          </w:p>
        </w:tc>
        <w:tc>
          <w:tcPr>
            <w:tcW w:w="1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429436.59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1299686.09</w:t>
            </w:r>
          </w:p>
        </w:tc>
      </w:tr>
      <w:tr>
        <w:trPr/>
        <w:tc>
          <w:tcPr>
            <w:tcW w:w="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2</w:t>
            </w:r>
          </w:p>
        </w:tc>
        <w:tc>
          <w:tcPr>
            <w:tcW w:w="1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429449.22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1299695.52</w:t>
            </w:r>
          </w:p>
        </w:tc>
      </w:tr>
      <w:tr>
        <w:trPr/>
        <w:tc>
          <w:tcPr>
            <w:tcW w:w="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3</w:t>
            </w:r>
          </w:p>
        </w:tc>
        <w:tc>
          <w:tcPr>
            <w:tcW w:w="1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429436.73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1299711.84</w:t>
            </w:r>
          </w:p>
        </w:tc>
      </w:tr>
      <w:tr>
        <w:trPr/>
        <w:tc>
          <w:tcPr>
            <w:tcW w:w="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4</w:t>
            </w:r>
          </w:p>
        </w:tc>
        <w:tc>
          <w:tcPr>
            <w:tcW w:w="1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429439.51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1299714.19</w:t>
            </w:r>
          </w:p>
        </w:tc>
      </w:tr>
      <w:tr>
        <w:trPr/>
        <w:tc>
          <w:tcPr>
            <w:tcW w:w="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5</w:t>
            </w:r>
          </w:p>
        </w:tc>
        <w:tc>
          <w:tcPr>
            <w:tcW w:w="1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429431.11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1299724.13</w:t>
            </w:r>
          </w:p>
        </w:tc>
      </w:tr>
      <w:tr>
        <w:trPr/>
        <w:tc>
          <w:tcPr>
            <w:tcW w:w="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6</w:t>
            </w:r>
          </w:p>
        </w:tc>
        <w:tc>
          <w:tcPr>
            <w:tcW w:w="1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429417.09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1299712.44</w:t>
            </w:r>
          </w:p>
        </w:tc>
      </w:tr>
      <w:tr>
        <w:trPr/>
        <w:tc>
          <w:tcPr>
            <w:tcW w:w="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1</w:t>
            </w:r>
          </w:p>
        </w:tc>
        <w:tc>
          <w:tcPr>
            <w:tcW w:w="1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>
                <w:b w:val="false"/>
                <w:b w:val="false"/>
              </w:rPr>
            </w:pPr>
            <w:r>
              <w:rPr/>
              <w:t>429436.59</w:t>
            </w:r>
          </w:p>
        </w:tc>
        <w:tc>
          <w:tcPr>
            <w:tcW w:w="17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7" w:type="dxa"/>
            </w:tcMar>
          </w:tcPr>
          <w:p>
            <w:pPr>
              <w:pStyle w:val="ConsPlusNormal"/>
              <w:ind w:left="0" w:hanging="0"/>
              <w:jc w:val="center"/>
              <w:rPr/>
            </w:pPr>
            <w:r>
              <w:rPr/>
              <w:t>1299686.09</w:t>
            </w:r>
          </w:p>
        </w:tc>
      </w:tr>
    </w:tbl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/>
      </w:pPr>
      <w:r>
        <w:rPr/>
        <w:t>Приложение N 4</w:t>
      </w:r>
    </w:p>
    <w:p>
      <w:pPr>
        <w:pStyle w:val="ConsPlusNormal"/>
        <w:ind w:left="0" w:hanging="0"/>
        <w:jc w:val="right"/>
        <w:rPr>
          <w:b w:val="false"/>
          <w:b w:val="false"/>
        </w:rPr>
      </w:pPr>
      <w:r>
        <w:rPr/>
        <w:t>к Приказу</w:t>
      </w:r>
    </w:p>
    <w:p>
      <w:pPr>
        <w:pStyle w:val="ConsPlusNormal"/>
        <w:ind w:left="0" w:hanging="0"/>
        <w:jc w:val="right"/>
        <w:rPr>
          <w:b w:val="false"/>
          <w:b w:val="false"/>
        </w:rPr>
      </w:pPr>
      <w:r>
        <w:rPr/>
        <w:t>управления по охране объектов</w:t>
      </w:r>
    </w:p>
    <w:p>
      <w:pPr>
        <w:pStyle w:val="ConsPlusNormal"/>
        <w:ind w:left="0" w:hanging="0"/>
        <w:jc w:val="right"/>
        <w:rPr>
          <w:b w:val="false"/>
          <w:b w:val="false"/>
        </w:rPr>
      </w:pPr>
      <w:r>
        <w:rPr/>
        <w:t>культурного наследия</w:t>
      </w:r>
    </w:p>
    <w:p>
      <w:pPr>
        <w:pStyle w:val="ConsPlusNormal"/>
        <w:ind w:left="0" w:hanging="0"/>
        <w:jc w:val="right"/>
        <w:rPr>
          <w:b w:val="false"/>
          <w:b w:val="false"/>
        </w:rPr>
      </w:pPr>
      <w:r>
        <w:rPr/>
        <w:t>Калужской области</w:t>
      </w:r>
    </w:p>
    <w:p>
      <w:pPr>
        <w:pStyle w:val="ConsPlusNormal"/>
        <w:ind w:left="0" w:hanging="0"/>
        <w:jc w:val="right"/>
        <w:rPr>
          <w:b w:val="false"/>
          <w:b w:val="false"/>
        </w:rPr>
      </w:pPr>
      <w:r>
        <w:rPr/>
        <w:t>от 26 апреля 2023 г. N 39</w:t>
      </w:r>
    </w:p>
    <w:p>
      <w:pPr>
        <w:pStyle w:val="ConsPlusNormal"/>
        <w:ind w:left="0" w:hanging="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bookmarkStart w:id="3" w:name="Par136"/>
      <w:bookmarkEnd w:id="3"/>
      <w:r>
        <w:rPr>
          <w:b/>
        </w:rPr>
        <w:t>РЕЖИМ</w:t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r>
        <w:rPr>
          <w:b/>
        </w:rPr>
        <w:t>ИСПОЛЬЗОВАНИЯ ТЕРРИТОРИИ ОБЪЕКТОВ КУЛЬТУРНОГО НАСЛЕДИЯ</w:t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r>
        <w:rPr>
          <w:b/>
        </w:rPr>
        <w:t>РЕГИОНАЛЬНОГО ЗНАЧЕНИЯ "ДОМ РЯБЧИКОВЫХ-ЗАВЕРИНЫХ", НАЧАЛО</w:t>
      </w:r>
    </w:p>
    <w:p>
      <w:pPr>
        <w:pStyle w:val="ConsPlusNormal"/>
        <w:ind w:left="0" w:hanging="0"/>
        <w:jc w:val="center"/>
        <w:rPr>
          <w:b w:val="false"/>
          <w:b w:val="false"/>
        </w:rPr>
      </w:pPr>
      <w:r>
        <w:rPr>
          <w:b/>
        </w:rPr>
        <w:t>1830-Х ГГ., КОНЕЦ XIX В</w:t>
      </w:r>
    </w:p>
    <w:p>
      <w:pPr>
        <w:pStyle w:val="ConsPlusNormal"/>
        <w:ind w:left="0" w:hanging="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ConsPlusNormal"/>
        <w:bidi w:val="0"/>
        <w:spacing w:before="0" w:after="0"/>
        <w:ind w:left="0" w:firstLine="540"/>
        <w:jc w:val="both"/>
        <w:rPr>
          <w:b w:val="false"/>
          <w:b w:val="false"/>
        </w:rPr>
      </w:pPr>
      <w:r>
        <w:rPr/>
        <w:t>В границах территории объекта культурного наследия регионального значения "Дом Рябчиковых-Завериных", начало 1830-х гг., конец XIX в. (Калужская область, г. Калуга, ул. Воробьевская, д. 26), разрешаются:</w:t>
      </w:r>
    </w:p>
    <w:p>
      <w:pPr>
        <w:pStyle w:val="ConsPlusNormal"/>
        <w:bidi w:val="0"/>
        <w:spacing w:before="0" w:after="0"/>
        <w:ind w:left="0" w:firstLine="540"/>
        <w:jc w:val="both"/>
        <w:rPr>
          <w:b w:val="false"/>
          <w:b w:val="false"/>
        </w:rPr>
      </w:pPr>
      <w:r>
        <w:rPr/>
        <w:t>- проведение работ по сохранению объекта культурного наследия (меры, направленные на обеспечение физической сохранности и сохранение историко-культурной ценности объекта культурного наследия, предусматривающие консервацию, ремонт, реставрацию, приспособление объекта культурного наследия для современного использования и включающие в себя научно-исследовательские, изыскательские, проектные и производственные работы, научное руководство проведением работ по сохранению объекта культурного наследия, технический и авторский надзор за проведением данных работ), в том числе восстановление утраченных элементов памятника;</w:t>
      </w:r>
    </w:p>
    <w:p>
      <w:pPr>
        <w:pStyle w:val="ConsPlusNormal"/>
        <w:bidi w:val="0"/>
        <w:spacing w:before="0" w:after="0"/>
        <w:ind w:left="0" w:firstLine="540"/>
        <w:jc w:val="both"/>
        <w:rPr>
          <w:b w:val="false"/>
          <w:b w:val="false"/>
        </w:rPr>
      </w:pPr>
      <w:r>
        <w:rPr/>
        <w:t>- реконструкция, ремонт существующих дорог, инженерных коммуникаций, благоустройство, озеленение, установка малых архитектурных форм, информационных знаков и указателей, иная хозяйственная деятельность, не противоречащая требованиям обеспечения сохранности объекта культурного наследия и позволяющая обеспечить функционирование объекта культурного наследия в современных условиях, обеспечивающая недопущение ухудшения состояния территории объекта культурного наследия, поддержание территории объекта культурного наследия в благоустроенном состоянии по согласованию с органом исполнительной власти субъекта Российской Федерации, уполномоченным в области сохранения, использования, популяризации и государственной охраны объектов культурного наследия;</w:t>
      </w:r>
    </w:p>
    <w:p>
      <w:pPr>
        <w:pStyle w:val="ConsPlusNormal"/>
        <w:bidi w:val="0"/>
        <w:spacing w:before="0" w:after="0"/>
        <w:ind w:left="0" w:firstLine="540"/>
        <w:jc w:val="both"/>
        <w:rPr>
          <w:b w:val="false"/>
          <w:b w:val="false"/>
        </w:rPr>
      </w:pPr>
      <w:r>
        <w:rPr/>
        <w:t>- ведение мониторинга состояния объекта культурного наследия и его территории.</w:t>
      </w:r>
    </w:p>
    <w:p>
      <w:pPr>
        <w:pStyle w:val="ConsPlusNormal"/>
        <w:bidi w:val="0"/>
        <w:spacing w:before="0" w:after="0"/>
        <w:ind w:left="0" w:firstLine="540"/>
        <w:jc w:val="both"/>
        <w:rPr>
          <w:b w:val="false"/>
          <w:b w:val="false"/>
        </w:rPr>
      </w:pPr>
      <w:r>
        <w:rPr/>
        <w:t>В границах территории объекта культурного наследия регионального значения "Дом Рябчиковых-Завериных", начало 1830-х гг., конец XIX в. (Калужская область, г. Калуга, ул. Воробьевская, д. 26), запрещаются:</w:t>
      </w:r>
    </w:p>
    <w:p>
      <w:pPr>
        <w:pStyle w:val="ConsPlusNormal"/>
        <w:bidi w:val="0"/>
        <w:spacing w:before="0" w:after="0"/>
        <w:ind w:left="0" w:firstLine="540"/>
        <w:jc w:val="both"/>
        <w:rPr>
          <w:b w:val="false"/>
          <w:b w:val="false"/>
        </w:rPr>
      </w:pPr>
      <w:r>
        <w:rPr/>
        <w:t>- строительство объектов капитального строительства и увеличение объемно-пространственных характеристик, существующих на территории памятника поздних наслоений (пристрои, входные дощатые и кирпичные тамбуры, навесы);</w:t>
      </w:r>
    </w:p>
    <w:p>
      <w:pPr>
        <w:pStyle w:val="ConsPlusNormal"/>
        <w:bidi w:val="0"/>
        <w:spacing w:before="0" w:after="0"/>
        <w:ind w:left="0" w:firstLine="540"/>
        <w:jc w:val="both"/>
        <w:rPr>
          <w:b w:val="false"/>
          <w:b w:val="false"/>
        </w:rPr>
      </w:pPr>
      <w:r>
        <w:rPr/>
        <w:t>- проведение земляных, строительных, мелиоративных работ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>
      <w:pPr>
        <w:pStyle w:val="ConsPlusNormal"/>
        <w:bidi w:val="0"/>
        <w:spacing w:before="0" w:after="0"/>
        <w:ind w:left="0" w:firstLine="540"/>
        <w:jc w:val="both"/>
        <w:rPr>
          <w:b w:val="false"/>
          <w:b w:val="false"/>
        </w:rPr>
      </w:pPr>
      <w:r>
        <w:rPr/>
        <w:t>- установка рекламных конструкций, распространение наружной рекламы;</w:t>
      </w:r>
    </w:p>
    <w:p>
      <w:pPr>
        <w:pStyle w:val="ConsPlusNormal"/>
        <w:bidi w:val="0"/>
        <w:spacing w:before="0" w:after="0"/>
        <w:ind w:left="0" w:firstLine="540"/>
        <w:jc w:val="both"/>
        <w:rPr>
          <w:b w:val="false"/>
          <w:b w:val="false"/>
        </w:rPr>
      </w:pPr>
      <w:r>
        <w:rPr/>
        <w:t>- осуществление любых видов деятельности, ухудшающих экологические условия и гидрологический режим на территории объекта культурного наследия, создающих вибрационные нагрузки динамическим воздействием на грунты в зоне их взаимодействия с объектом культурного наследия.</w:t>
      </w:r>
    </w:p>
    <w:p>
      <w:pPr>
        <w:pStyle w:val="ConsPlusNormal"/>
        <w:bidi w:val="0"/>
        <w:spacing w:before="0" w:after="0"/>
        <w:ind w:left="0" w:hanging="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ConsPlusNormal"/>
        <w:bidi w:val="0"/>
        <w:spacing w:before="0" w:after="0"/>
        <w:ind w:left="0" w:hanging="0"/>
        <w:jc w:val="both"/>
        <w:rPr/>
      </w:pPr>
      <w:r>
        <w:rPr/>
      </w:r>
    </w:p>
    <w:sectPr>
      <w:type w:val="nextPage"/>
      <w:pgSz w:w="11906" w:h="16838"/>
      <w:pgMar w:left="1133" w:right="566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 Unicode MS"/>
        <w:kern w:val="2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Liberation Serif" w:hAnsi="Liberation Serif" w:eastAsia="SimSun" w:cs="Arial Unicode MS"/>
      <w:color w:val="auto"/>
      <w:kern w:val="2"/>
      <w:sz w:val="24"/>
      <w:szCs w:val="24"/>
      <w:lang w:val="ru-RU" w:eastAsia="zh-CN" w:bidi="hi-IN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Arial Unicode M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 Unicode MS"/>
    </w:rPr>
  </w:style>
  <w:style w:type="paragraph" w:styleId="ConsPlusNormal">
    <w:name w:val="ConsPlusNormal"/>
    <w:qFormat/>
    <w:pPr>
      <w:widowControl/>
      <w:bidi w:val="0"/>
      <w:jc w:val="left"/>
    </w:pPr>
    <w:rPr>
      <w:rFonts w:ascii="Arial" w:hAnsi="Arial" w:eastAsia="Arial" w:cs="Courier New"/>
      <w:b w:val="false"/>
      <w:i w:val="false"/>
      <w:strike w:val="false"/>
      <w:dstrike w:val="false"/>
      <w:color w:val="auto"/>
      <w:kern w:val="2"/>
      <w:sz w:val="16"/>
      <w:szCs w:val="24"/>
      <w:u w:val="none"/>
      <w:lang w:val="ru-RU" w:eastAsia="zh-CN" w:bidi="hi-IN"/>
    </w:rPr>
  </w:style>
  <w:style w:type="paragraph" w:styleId="ConsPlusNonformat">
    <w:name w:val="ConsPlusNonformat"/>
    <w:qFormat/>
    <w:pPr>
      <w:widowControl/>
      <w:bidi w:val="0"/>
      <w:jc w:val="left"/>
    </w:pPr>
    <w:rPr>
      <w:rFonts w:ascii="Courier New" w:hAnsi="Courier New" w:eastAsia="Arial" w:cs="Courier New"/>
      <w:b w:val="false"/>
      <w:i w:val="false"/>
      <w:strike w:val="false"/>
      <w:dstrike w:val="false"/>
      <w:color w:val="auto"/>
      <w:kern w:val="2"/>
      <w:sz w:val="20"/>
      <w:szCs w:val="24"/>
      <w:u w:val="none"/>
      <w:lang w:val="ru-RU" w:eastAsia="zh-CN" w:bidi="hi-IN"/>
    </w:rPr>
  </w:style>
  <w:style w:type="paragraph" w:styleId="ConsPlusTitle">
    <w:name w:val="ConsPlusTitle"/>
    <w:qFormat/>
    <w:pPr>
      <w:widowControl/>
      <w:bidi w:val="0"/>
      <w:jc w:val="left"/>
    </w:pPr>
    <w:rPr>
      <w:rFonts w:ascii="Arial" w:hAnsi="Arial" w:eastAsia="Arial" w:cs="Courier New"/>
      <w:b/>
      <w:i w:val="false"/>
      <w:strike w:val="false"/>
      <w:dstrike w:val="false"/>
      <w:color w:val="auto"/>
      <w:kern w:val="2"/>
      <w:sz w:val="16"/>
      <w:szCs w:val="24"/>
      <w:u w:val="none"/>
      <w:lang w:val="ru-RU" w:eastAsia="zh-CN" w:bidi="hi-IN"/>
    </w:rPr>
  </w:style>
  <w:style w:type="paragraph" w:styleId="ConsPlusCell">
    <w:name w:val="ConsPlusCell"/>
    <w:qFormat/>
    <w:pPr>
      <w:widowControl/>
      <w:bidi w:val="0"/>
      <w:jc w:val="left"/>
    </w:pPr>
    <w:rPr>
      <w:rFonts w:ascii="Courier New" w:hAnsi="Courier New" w:eastAsia="Arial" w:cs="Courier New"/>
      <w:b w:val="false"/>
      <w:i w:val="false"/>
      <w:strike w:val="false"/>
      <w:dstrike w:val="false"/>
      <w:color w:val="auto"/>
      <w:kern w:val="2"/>
      <w:sz w:val="20"/>
      <w:szCs w:val="24"/>
      <w:u w:val="none"/>
      <w:lang w:val="ru-RU" w:eastAsia="zh-CN" w:bidi="hi-IN"/>
    </w:rPr>
  </w:style>
  <w:style w:type="paragraph" w:styleId="ConsPlusDocList">
    <w:name w:val="ConsPlusDocList"/>
    <w:qFormat/>
    <w:pPr>
      <w:widowControl/>
      <w:bidi w:val="0"/>
      <w:jc w:val="left"/>
    </w:pPr>
    <w:rPr>
      <w:rFonts w:ascii="Courier New" w:hAnsi="Courier New" w:eastAsia="Arial" w:cs="Courier New"/>
      <w:b w:val="false"/>
      <w:i w:val="false"/>
      <w:strike w:val="false"/>
      <w:dstrike w:val="false"/>
      <w:color w:val="auto"/>
      <w:kern w:val="2"/>
      <w:sz w:val="16"/>
      <w:szCs w:val="24"/>
      <w:u w:val="none"/>
      <w:lang w:val="ru-RU" w:eastAsia="zh-CN" w:bidi="hi-IN"/>
    </w:rPr>
  </w:style>
  <w:style w:type="paragraph" w:styleId="ConsPlusTitlePage">
    <w:name w:val="ConsPlusTitlePage"/>
    <w:qFormat/>
    <w:pPr>
      <w:widowControl/>
      <w:bidi w:val="0"/>
      <w:jc w:val="left"/>
    </w:pPr>
    <w:rPr>
      <w:rFonts w:ascii="Tahoma" w:hAnsi="Tahoma" w:eastAsia="Arial" w:cs="Courier New"/>
      <w:b w:val="false"/>
      <w:i w:val="false"/>
      <w:strike w:val="false"/>
      <w:dstrike w:val="false"/>
      <w:color w:val="auto"/>
      <w:kern w:val="2"/>
      <w:sz w:val="16"/>
      <w:szCs w:val="24"/>
      <w:u w:val="none"/>
      <w:lang w:val="ru-RU" w:eastAsia="zh-CN" w:bidi="hi-IN"/>
    </w:rPr>
  </w:style>
  <w:style w:type="paragraph" w:styleId="ConsPlusJurTerm">
    <w:name w:val="ConsPlusJurTerm"/>
    <w:qFormat/>
    <w:pPr>
      <w:widowControl/>
      <w:bidi w:val="0"/>
      <w:jc w:val="left"/>
    </w:pPr>
    <w:rPr>
      <w:rFonts w:ascii="Tahoma" w:hAnsi="Tahoma" w:eastAsia="Arial" w:cs="Courier New"/>
      <w:b w:val="false"/>
      <w:i w:val="false"/>
      <w:strike w:val="false"/>
      <w:dstrike w:val="false"/>
      <w:color w:val="auto"/>
      <w:kern w:val="2"/>
      <w:sz w:val="26"/>
      <w:szCs w:val="24"/>
      <w:u w:val="none"/>
      <w:lang w:val="ru-RU" w:eastAsia="zh-CN" w:bidi="hi-IN"/>
    </w:rPr>
  </w:style>
  <w:style w:type="paragraph" w:styleId="ConsPlusTextList">
    <w:name w:val="ConsPlusTextList"/>
    <w:qFormat/>
    <w:pPr>
      <w:widowControl/>
      <w:bidi w:val="0"/>
      <w:jc w:val="left"/>
    </w:pPr>
    <w:rPr>
      <w:rFonts w:ascii="Arial" w:hAnsi="Arial" w:eastAsia="Arial" w:cs="Courier New"/>
      <w:b w:val="false"/>
      <w:i w:val="false"/>
      <w:strike w:val="false"/>
      <w:dstrike w:val="false"/>
      <w:color w:val="auto"/>
      <w:kern w:val="2"/>
      <w:sz w:val="20"/>
      <w:szCs w:val="24"/>
      <w:u w:val="none"/>
      <w:lang w:val="ru-RU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LibreOffice/5.4.1.2$Windows_X86_64 LibreOffice_project/ea7cb86e6eeb2bf3a5af73a8f7777ac570321527</Application>
  <Pages>5</Pages>
  <Words>1148</Words>
  <Characters>8251</Characters>
  <CharactersWithSpaces>9291</CharactersWithSpaces>
  <Paragraphs>111</Paragraphs>
  <Company>КонсультантПлюс Версия 4023.00.50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2024-01-10T09:39:00Z</dcterms:created>
  <dc:creator/>
  <dc:description/>
  <dc:language>ru-RU</dc:language>
  <cp:lastModifiedBy/>
  <dcterms:modified xsi:type="dcterms:W3CDTF">2024-01-10T09:47:02Z</dcterms:modified>
  <cp:revision>2</cp:revision>
  <dc:subject/>
  <dc:title>Приказ Управления по охране объектов культурного наследия Калужской обл. от 26.04.2023 N 39"О включении в единый государственный реестр объектов культурного наследия (памятников истории и культуры) народов Российской Федерации выявленного объекта культурного наследия "Дом купцов Завериных", XIX в. (Калужская область, г. Калуга, ул. Воробьевская, д. 26)"(вместе с "Перечнем координат характерных точек (МСК) границ территории и план поворотных точек объекта культурного наследия регионального значения "Дом Ря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4023.00.50</vt:lpwstr>
  </property>
</Properties>
</file>