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center"/>
        <w:rPr/>
      </w:pPr>
      <w:r>
        <w:rPr>
          <w:rFonts w:eastAsia="Calibri"/>
          <w:b/>
          <w:caps/>
          <w:spacing w:val="40"/>
        </w:rPr>
        <w:t>АКТ № 7</w:t>
      </w:r>
      <w:r>
        <w:rPr>
          <w:rFonts w:eastAsia="Calibri"/>
          <w:b/>
          <w:caps/>
          <w:spacing w:val="40"/>
        </w:rPr>
        <w:t>2</w:t>
      </w:r>
    </w:p>
    <w:p>
      <w:pPr>
        <w:pStyle w:val="Normal"/>
        <w:jc w:val="center"/>
        <w:rPr/>
      </w:pPr>
      <w:r>
        <w:rPr>
          <w:b/>
          <w:bCs/>
        </w:rPr>
        <w:t xml:space="preserve">плановой проверки муниципального бюджетного учреждения </w:t>
      </w:r>
      <w:r>
        <w:rPr>
          <w:b/>
          <w:bCs/>
        </w:rPr>
        <w:t xml:space="preserve">культуры </w:t>
      </w:r>
      <w:r>
        <w:rPr>
          <w:b/>
          <w:bCs/>
          <w:sz w:val="24"/>
          <w:szCs w:val="24"/>
        </w:rPr>
        <w:t>«Централизованная библиотечная система г. Калуги»</w:t>
      </w:r>
      <w:r>
        <w:rPr>
          <w:b/>
          <w:bCs/>
        </w:rPr>
        <w:t xml:space="preserve"> по соблюдению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b/>
          <w:bCs/>
        </w:rPr>
        <w:t>г. Калуга</w:t>
        <w:tab/>
        <w:tab/>
        <w:tab/>
        <w:tab/>
        <w:tab/>
        <w:tab/>
        <w:t xml:space="preserve">      </w:t>
        <w:tab/>
        <w:tab/>
        <w:t xml:space="preserve">      «</w:t>
      </w:r>
      <w:r>
        <w:rPr>
          <w:b/>
          <w:bCs/>
        </w:rPr>
        <w:t>06</w:t>
      </w:r>
      <w:r>
        <w:rPr>
          <w:b/>
          <w:bCs/>
        </w:rPr>
        <w:t xml:space="preserve">» </w:t>
      </w:r>
      <w:r>
        <w:rPr>
          <w:b/>
          <w:bCs/>
        </w:rPr>
        <w:t>июля</w:t>
      </w:r>
      <w:r>
        <w:rPr>
          <w:b/>
          <w:bCs/>
        </w:rPr>
        <w:t xml:space="preserve"> 2026 года</w:t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ind w:firstLine="720"/>
        <w:jc w:val="both"/>
        <w:rPr>
          <w:b w:val="false"/>
          <w:bCs w:val="false"/>
        </w:rPr>
      </w:pPr>
      <w:r>
        <w:rPr>
          <w:rFonts w:eastAsia="Times New Roman" w:cs="Times New Roman"/>
          <w:sz w:val="24"/>
          <w:szCs w:val="24"/>
        </w:rPr>
        <w:t xml:space="preserve">В соответствии со статьей 100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Положением об управлении культуры города Калуги, утвержденным постановлением Городского Головы города Калуги от 23.06.2004 № 245-п, постановлением Городской Управы города Калуги от 13.08.2014 № 270-п «Об утверждении порядка осуществления </w:t>
      </w:r>
      <w:r>
        <w:rPr>
          <w:rFonts w:eastAsia="Times New Roman" w:cs="Times New Roman"/>
          <w:bCs/>
          <w:sz w:val="24"/>
          <w:szCs w:val="24"/>
        </w:rPr>
        <w:t>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«Город Калуга» в отношении подведомственных органам Городской Управы города Калуги заказчиков</w:t>
      </w:r>
      <w:r>
        <w:rPr>
          <w:rFonts w:eastAsia="Times New Roman" w:cs="Times New Roman"/>
          <w:sz w:val="24"/>
          <w:szCs w:val="24"/>
        </w:rPr>
        <w:t xml:space="preserve">» и постановлением Городской Управы города Калуги от 12.12.2025 № 2414-пи </w:t>
      </w:r>
      <w:r>
        <w:rPr>
          <w:rFonts w:eastAsia="Times New Roman" w:cs="Times New Roman"/>
          <w:b w:val="false"/>
          <w:bCs w:val="false"/>
          <w:sz w:val="24"/>
          <w:szCs w:val="24"/>
        </w:rPr>
        <w:t>«</w:t>
      </w:r>
      <w:r>
        <w:rPr>
          <w:b w:val="false"/>
          <w:bCs w:val="false"/>
        </w:rPr>
        <w:t>Об утверждении плана проведения проверок соблюдения законодательства Российской Федерации и иных нормативных правовых актов о контрактной системе в сфере закупок товаров, работ и услуг для обеспечения муниципальных нужд учреждениями, подведомственными управлению культуры города Калуги, на 2026 год</w:t>
      </w:r>
      <w:r>
        <w:rPr>
          <w:rFonts w:eastAsia="Times New Roman" w:cs="Times New Roman"/>
          <w:sz w:val="24"/>
          <w:szCs w:val="24"/>
        </w:rPr>
        <w:t>», проведена проверка соблюдения законодательства</w:t>
      </w:r>
      <w:r>
        <w:rPr>
          <w:rFonts w:eastAsia="Times New Roman" w:cs="Times New Roman"/>
          <w:b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Российской Федерации и иных нормативных правовых актов о контрактной системе в сфере закупок товаров, работ, услуг для обеспечения муниципальных нужд в отношении м</w:t>
      </w:r>
      <w:r>
        <w:rPr>
          <w:rFonts w:eastAsia="Times New Roman" w:cs="Times New Roman"/>
          <w:b w:val="false"/>
          <w:bCs w:val="false"/>
          <w:sz w:val="24"/>
          <w:szCs w:val="24"/>
        </w:rPr>
        <w:t>униципального бюджетного учреждения культуры «Централизованная библиотечная система г.Калуги»</w:t>
      </w:r>
      <w:r>
        <w:rPr>
          <w:rFonts w:eastAsia="Times New Roman" w:cs="Times New Roman"/>
          <w:sz w:val="24"/>
          <w:szCs w:val="24"/>
        </w:rPr>
        <w:t xml:space="preserve"> (далее - Проверка).</w:t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eastAsia="Times New Roman" w:cs="Times New Roman"/>
          <w:sz w:val="24"/>
          <w:szCs w:val="24"/>
        </w:rPr>
        <w:t>Проверка проведена комиссией, утверждённой приказом управления культуры города Калуги от 24.12.2015 № 180 «О создании постоянно действующей комиссии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учреждениями, подведомственными управлению культуры города Калуги» в составе: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cs="Times New Roman"/>
          <w:sz w:val="24"/>
          <w:szCs w:val="24"/>
        </w:rPr>
      </w:r>
    </w:p>
    <w:tbl>
      <w:tblPr>
        <w:tblW w:w="1020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2835"/>
        <w:gridCol w:w="342"/>
        <w:gridCol w:w="7025"/>
      </w:tblGrid>
      <w:tr>
        <w:trPr/>
        <w:tc>
          <w:tcPr>
            <w:tcW w:w="2835" w:type="dxa"/>
            <w:tcBorders/>
            <w:shd w:color="FFFFFF" w:fill="FFFFFF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Бубич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Ирина Юрьевна</w:t>
            </w:r>
          </w:p>
        </w:tc>
        <w:tc>
          <w:tcPr>
            <w:tcW w:w="342" w:type="dxa"/>
            <w:tcBorders/>
            <w:shd w:color="FFFFFF" w:fill="FFFFFF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25" w:type="dxa"/>
            <w:tcBorders/>
            <w:shd w:color="FFFFFF" w:fill="FFFFFF" w:val="clear"/>
          </w:tcPr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заместитель начальника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>управления культуры города Калуги (руководитель комиссии);</w:t>
            </w:r>
          </w:p>
        </w:tc>
      </w:tr>
      <w:tr>
        <w:trPr/>
        <w:tc>
          <w:tcPr>
            <w:tcW w:w="2835" w:type="dxa"/>
            <w:tcBorders/>
            <w:shd w:color="FFFFFF" w:fill="FFFFFF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Смирнов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Геннадий Владимирович</w:t>
            </w:r>
          </w:p>
        </w:tc>
        <w:tc>
          <w:tcPr>
            <w:tcW w:w="342" w:type="dxa"/>
            <w:tcBorders/>
            <w:shd w:color="FFFFFF" w:fill="FFFFFF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25" w:type="dxa"/>
            <w:tcBorders/>
            <w:shd w:color="FFFFFF" w:fill="FFFFFF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главный специалист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>управления культуры города Калуги;</w:t>
            </w:r>
          </w:p>
        </w:tc>
      </w:tr>
      <w:tr>
        <w:trPr/>
        <w:tc>
          <w:tcPr>
            <w:tcW w:w="2835" w:type="dxa"/>
            <w:tcBorders/>
            <w:shd w:color="FFFFFF" w:fill="FFFFFF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Радова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Наталия Сергеевна</w:t>
            </w:r>
          </w:p>
        </w:tc>
        <w:tc>
          <w:tcPr>
            <w:tcW w:w="342" w:type="dxa"/>
            <w:tcBorders/>
            <w:shd w:color="FFFFFF" w:fill="FFFFFF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25" w:type="dxa"/>
            <w:tcBorders/>
            <w:shd w:color="FFFFFF" w:fill="FFFFFF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главный специалист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eastAsia="Times New Roman" w:cs="Times New Roman"/>
                <w:bCs/>
                <w:sz w:val="24"/>
                <w:szCs w:val="24"/>
              </w:rPr>
              <w:t>управления культуры города Калуги.</w:t>
            </w:r>
          </w:p>
        </w:tc>
      </w:tr>
    </w:tbl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Проверяемый период: с 01.01.2025 по 31.05.2026.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Дата начала проверки: 22.06.2026.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Дата окончания проверки: 26.06.2026.</w:t>
      </w:r>
    </w:p>
    <w:p>
      <w:pPr>
        <w:pStyle w:val="NoSpacing"/>
        <w:spacing w:lineRule="auto" w:line="24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Предмет проверки: соблюдение требований законодательства Российской Федерации и иных нормативных правовых актов Российской Федерации, Калужской области, муниципальных правовых актов городского округа города Калуги Калужской области в сфере закупок товаров, работ, услуг для обеспечения муниципальных нужд городского округа города Калуги Калужской области</w:t>
      </w:r>
    </w:p>
    <w:p>
      <w:pPr>
        <w:pStyle w:val="NoSpacing"/>
        <w:spacing w:lineRule="auto" w:line="24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Вид проверки: плановая.</w:t>
      </w:r>
    </w:p>
    <w:p>
      <w:pPr>
        <w:pStyle w:val="NoSpacing"/>
        <w:spacing w:lineRule="auto" w:line="24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Форма проверки: выездная.</w:t>
      </w:r>
    </w:p>
    <w:p>
      <w:pPr>
        <w:pStyle w:val="NoSpacing"/>
        <w:shd w:val="clear" w:color="auto" w:fill="FFFFFF"/>
        <w:spacing w:lineRule="auto" w:line="24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Метод проверки: выборочный.</w:t>
      </w:r>
    </w:p>
    <w:p>
      <w:pPr>
        <w:pStyle w:val="NoSpacing"/>
        <w:spacing w:lineRule="auto" w:line="240"/>
        <w:ind w:firstLine="708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Субъект проверки: </w:t>
      </w:r>
      <w:r>
        <w:rPr>
          <w:rFonts w:ascii="Times New Roman" w:hAnsi="Times New Roman"/>
          <w:b w:val="false"/>
          <w:bCs w:val="false"/>
          <w:sz w:val="24"/>
          <w:szCs w:val="24"/>
        </w:rPr>
        <w:t>муниципальное бюджетное учреждение культуры «Централизованная библиотечная система г.Калуги»</w:t>
      </w:r>
      <w:r>
        <w:rPr>
          <w:rFonts w:ascii="Times New Roman" w:hAnsi="Times New Roman"/>
          <w:sz w:val="24"/>
          <w:szCs w:val="24"/>
        </w:rPr>
        <w:t xml:space="preserve"> (далее – Учреждение), ИНН 4028017587, КПП 402801001.</w:t>
      </w:r>
    </w:p>
    <w:p>
      <w:pPr>
        <w:pStyle w:val="Normal"/>
        <w:spacing w:lineRule="auto" w:line="240"/>
        <w:ind w:firstLine="708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Адрес местонахождения субъекта проверки: ул. Ленина, д. 66, г. Калуга, 248016.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ind w:firstLine="709"/>
        <w:jc w:val="both"/>
        <w:rPr>
          <w:color w:val="000000"/>
        </w:rPr>
      </w:pPr>
      <w:r>
        <w:rPr>
          <w:b/>
          <w:color w:val="000000"/>
        </w:rPr>
        <w:t xml:space="preserve">В ходе проверки были изучены: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b/>
          <w:color w:val="000000"/>
        </w:rPr>
        <w:t xml:space="preserve">- </w:t>
      </w:r>
      <w:r>
        <w:rPr>
          <w:color w:val="000000"/>
        </w:rPr>
        <w:t>Устав Учреждения;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- должностные обязанности специалистов Учреждения;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- нормативные акты Учреждения, регламентирующие организацию и осуществление закупок товаров, работ, услуг, изданные в проверяемый период; 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- договора по осуществлению закупок товаров, работ, услуг у единственного поставщика (подрядчика, исполнителя), заключенные Учреждением в проверяемый период и произведенная по ним оплата;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- реестр закупок;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- планы–графики на 2025 и 2026 годы;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iCs/>
          <w:color w:val="000000"/>
          <w:shd w:fill="FFFFFF" w:val="clear"/>
        </w:rPr>
        <w:t>- отчеты, предусмотренные нормативными документами о контрактной системе;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iCs/>
          <w:color w:val="000000"/>
          <w:highlight w:val="white"/>
        </w:rPr>
        <w:t>- материалы, размещенные Учреждением в</w:t>
      </w:r>
      <w:r>
        <w:rPr>
          <w:bCs/>
          <w:iCs/>
          <w:color w:val="000000"/>
          <w:highlight w:val="white"/>
        </w:rPr>
        <w:t xml:space="preserve"> информационной системе «WEB-Торги-КС» Калужской области;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bCs/>
          <w:iCs/>
          <w:color w:val="000000"/>
          <w:highlight w:val="white"/>
        </w:rPr>
        <w:t>- порядок использования Учреждением системы «Маркетинговые исследования малых закупок» Калужской области (МИМЗ)</w:t>
      </w:r>
      <w:r>
        <w:rPr>
          <w:iCs/>
          <w:color w:val="000000"/>
          <w:highlight w:val="white"/>
        </w:rPr>
        <w:t xml:space="preserve">. 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708"/>
        <w:jc w:val="both"/>
        <w:rPr>
          <w:color w:val="000000"/>
        </w:rPr>
      </w:pPr>
      <w:r>
        <w:rPr>
          <w:b/>
          <w:color w:val="000000"/>
        </w:rPr>
        <w:t>В ходе проверки</w:t>
      </w:r>
    </w:p>
    <w:p>
      <w:pPr>
        <w:pStyle w:val="Normal"/>
        <w:widowControl w:val="false"/>
        <w:ind w:firstLine="709"/>
        <w:jc w:val="center"/>
        <w:rPr>
          <w:color w:val="000000"/>
        </w:rPr>
      </w:pPr>
      <w:r>
        <w:rPr>
          <w:b/>
          <w:bCs/>
          <w:iCs/>
          <w:color w:val="000000"/>
          <w:highlight w:val="white"/>
        </w:rPr>
        <w:t>УСТАНОВЛЕНО:</w:t>
      </w:r>
    </w:p>
    <w:p>
      <w:pPr>
        <w:pStyle w:val="Normal"/>
        <w:widowControl w:val="false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Style21"/>
        <w:ind w:firstLine="708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Руководство Учреждением осуществляется директором –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Голиковой Еленой Владимировной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(распоряжение начальника управления культуры города Калуги о назначении на должность от 0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7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11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.2025 №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238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-14-Р).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Голикова Е.В.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зарегистрирована в единой информационной системе в сфере закупок на сайте </w:t>
      </w:r>
      <w:hyperlink r:id="rId2">
        <w:r>
          <w:rPr>
            <w:rStyle w:val="Style"/>
            <w:rFonts w:eastAsia="Times New Roman" w:cs="Times New Roman" w:ascii="Times New Roman" w:hAnsi="Times New Roman"/>
            <w:color w:val="000000"/>
            <w:sz w:val="24"/>
            <w:szCs w:val="24"/>
            <w:u w:val="single"/>
          </w:rPr>
          <w:t>www.zakupki.gov.ru</w:t>
        </w:r>
      </w:hyperlink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(далее — ГИС ЕИС) с полномочиями: лицо, уполномоченное на подписание в ГИС ЕИС распоряжений о совершении казначейских платежей, руководитель организации, уполномоченное лицо, администратор организации.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Ответственное лицо в сфере закупок товаров, работ, услуг для обеспечения нужд Учреждения </w:t>
      </w:r>
      <w:r>
        <w:rPr>
          <w:iCs/>
          <w:color w:val="auto"/>
          <w:shd w:fill="FFFFFF" w:val="clear"/>
        </w:rPr>
        <w:t>секретар</w:t>
      </w:r>
      <w:r>
        <w:rPr>
          <w:iCs/>
          <w:color w:val="auto"/>
          <w:shd w:fill="FFFFFF" w:val="clear"/>
        </w:rPr>
        <w:t>ь</w:t>
      </w:r>
      <w:r>
        <w:rPr>
          <w:iCs/>
          <w:color w:val="auto"/>
          <w:shd w:fill="FFFFFF" w:val="clear"/>
        </w:rPr>
        <w:t>-делопроизводител</w:t>
      </w:r>
      <w:r>
        <w:rPr>
          <w:iCs/>
          <w:color w:val="auto"/>
          <w:shd w:fill="FFFFFF" w:val="clear"/>
        </w:rPr>
        <w:t>ь</w:t>
      </w:r>
      <w:r>
        <w:rPr>
          <w:iCs/>
          <w:color w:val="auto"/>
          <w:shd w:fill="FFFFFF" w:val="clear"/>
        </w:rPr>
        <w:t xml:space="preserve"> Городничев</w:t>
      </w:r>
      <w:r>
        <w:rPr>
          <w:iCs/>
          <w:color w:val="auto"/>
          <w:shd w:fill="FFFFFF" w:val="clear"/>
        </w:rPr>
        <w:t>а</w:t>
      </w:r>
      <w:r>
        <w:rPr>
          <w:iCs/>
          <w:color w:val="auto"/>
          <w:shd w:fill="FFFFFF" w:val="clear"/>
        </w:rPr>
        <w:t xml:space="preserve"> Светлан</w:t>
      </w:r>
      <w:r>
        <w:rPr>
          <w:iCs/>
          <w:color w:val="auto"/>
          <w:shd w:fill="FFFFFF" w:val="clear"/>
        </w:rPr>
        <w:t>а</w:t>
      </w:r>
      <w:r>
        <w:rPr>
          <w:iCs/>
          <w:color w:val="auto"/>
          <w:shd w:fill="FFFFFF" w:val="clear"/>
        </w:rPr>
        <w:t xml:space="preserve"> Алексеевн</w:t>
      </w:r>
      <w:r>
        <w:rPr>
          <w:iCs/>
          <w:color w:val="auto"/>
          <w:shd w:fill="FFFFFF" w:val="clear"/>
        </w:rPr>
        <w:t>а</w:t>
      </w:r>
      <w:r>
        <w:rPr>
          <w:iCs/>
          <w:color w:val="auto"/>
          <w:shd w:fill="FFFFFF" w:val="clear"/>
        </w:rPr>
        <w:t xml:space="preserve"> (приказ от 10.01.2018 № 6), с обязанностями контрактного управляющего Учреждения (Трудовой договор от 10.01.2018 № 924)</w:t>
      </w:r>
      <w:r>
        <w:rPr>
          <w:rFonts w:eastAsia="Times New Roman" w:cs="Times New Roman"/>
          <w:color w:val="000000"/>
          <w:sz w:val="24"/>
          <w:szCs w:val="24"/>
        </w:rPr>
        <w:t>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Учреждение является муниципальным бюджетным учреждением. Учредитель городской округ города Калуги Калужской области. Функции и полномочия учредителя осуществляет управление культуры города Калуги (ГРБС) от имени администрации городского округа города Калуги.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Учреждение является самостоятельным юридическим лицом, имеет обособленное имущество, самостоятельный баланс, печать установленного образца, штамп, бланки, осуществляет деятельность на основании Устава. 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Финансовое обеспечение Учреждения осуществляется в соответствии с муниципальным заданием, утвержденным Учредителем.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Источниками финансового обеспечения Учреждения являются: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- субсидии, предоставляемые на выполнение муниципального задания;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- субсидии на иные цели; 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- средства от приносящей доход деятельности (платные услуги, добровольные пожертвования и безвозмездные поступления от физических и (или) юридических лиц и иные доходы от приносящей доход деятельности).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Учреждение осуществляет закупки товаров, работ, услуг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bCs/>
          <w:iCs/>
          <w:color w:val="000000"/>
        </w:rPr>
        <w:t>С 01.01.2019 Учреждение работает в информационной системе «WEB-Торги-КС» Калужской области, из которой вся информация размещается в ЕИС.</w:t>
      </w:r>
    </w:p>
    <w:p>
      <w:pPr>
        <w:pStyle w:val="ListParagraph"/>
        <w:ind w:firstLine="708" w:left="0" w:right="0"/>
        <w:jc w:val="both"/>
        <w:rPr>
          <w:color w:val="000000"/>
        </w:rPr>
      </w:pPr>
      <w:r>
        <w:rPr>
          <w:bCs/>
          <w:iCs/>
          <w:color w:val="000000"/>
          <w:lang w:eastAsia="ru-RU"/>
        </w:rPr>
        <w:t>В соответствии со статьей 73 БК РФ в Учреждении ведется реестр муниципальных контрактов, заключенных по основаниям части 1 статьи 93 Закона № 44-ФЗ в информационной системе «WEB-Торги-КС» Калужской области.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</w:rPr>
        <w:t>Договора на поставку товаров, выполнение работ, оказание услуг для нужд Учреждения в проверяемый период заключались по основаниям пунктов части 1 статьи 93 Закона № 44-ФЗ с единственным поставщиком, подрядчиком, исполнителем с регистрацией в автоматизированной системе управления закупками «</w:t>
      </w:r>
      <w:r>
        <w:rPr>
          <w:color w:val="000000"/>
          <w:lang w:val="en-US"/>
        </w:rPr>
        <w:t>Web</w:t>
      </w:r>
      <w:r>
        <w:rPr>
          <w:color w:val="000000"/>
        </w:rPr>
        <w:t xml:space="preserve">-Торги-КС», в т.ч. с использованием системы «Маркетинговые исследования малых закупок» Калужской области (МИМЗ). </w:t>
      </w:r>
    </w:p>
    <w:p>
      <w:pPr>
        <w:pStyle w:val="Normal"/>
        <w:keepNext w:val="true"/>
        <w:keepLines/>
        <w:spacing w:lineRule="auto" w:line="240"/>
        <w:ind w:firstLine="709" w:left="0" w:right="0"/>
        <w:jc w:val="both"/>
        <w:rPr>
          <w:color w:val="auto"/>
        </w:rPr>
      </w:pPr>
      <w:r>
        <w:rPr>
          <w:rFonts w:eastAsia="Calibri"/>
          <w:color w:val="auto"/>
          <w:lang w:eastAsia="en-US"/>
        </w:rPr>
        <w:t>Удостоверение о повышении квалификации в области закупочной деятельности:</w:t>
      </w:r>
    </w:p>
    <w:p>
      <w:pPr>
        <w:pStyle w:val="Normal"/>
        <w:widowControl/>
        <w:numPr>
          <w:ilvl w:val="0"/>
          <w:numId w:val="0"/>
        </w:numPr>
        <w:spacing w:lineRule="auto" w:line="240"/>
        <w:ind w:firstLine="737" w:left="0" w:right="0"/>
        <w:jc w:val="both"/>
        <w:rPr>
          <w:color w:val="auto"/>
          <w:highlight w:val="none"/>
        </w:rPr>
      </w:pPr>
      <w:r>
        <w:rPr>
          <w:rFonts w:eastAsia="Calibri"/>
          <w:color w:val="auto"/>
          <w:lang w:eastAsia="en-US"/>
        </w:rPr>
        <w:t xml:space="preserve">- Городничева Светлана Алексеевна — секретарь-делопроизводитель Учреждения, повысила свою квалификацию </w:t>
      </w:r>
      <w:r>
        <w:rPr>
          <w:rFonts w:eastAsia="Calibri"/>
          <w:color w:val="auto"/>
          <w:lang w:eastAsia="en-US"/>
        </w:rPr>
        <w:t xml:space="preserve">в период </w:t>
      </w:r>
      <w:r>
        <w:rPr>
          <w:rFonts w:eastAsia="Calibri"/>
          <w:b w:val="false"/>
          <w:bCs w:val="false"/>
          <w:color w:val="auto"/>
          <w:lang w:eastAsia="en-US"/>
        </w:rPr>
        <w:t xml:space="preserve">с </w:t>
      </w:r>
      <w:r>
        <w:rPr>
          <w:rFonts w:eastAsia="Calibri"/>
          <w:b w:val="false"/>
          <w:bCs w:val="false"/>
          <w:color w:val="auto"/>
          <w:lang w:eastAsia="en-US"/>
        </w:rPr>
        <w:t>11</w:t>
      </w:r>
      <w:r>
        <w:rPr>
          <w:rFonts w:eastAsia="Calibri"/>
          <w:b w:val="false"/>
          <w:bCs w:val="false"/>
          <w:color w:val="auto"/>
          <w:lang w:eastAsia="en-US"/>
        </w:rPr>
        <w:t>.0</w:t>
      </w:r>
      <w:r>
        <w:rPr>
          <w:rFonts w:eastAsia="Calibri"/>
          <w:b w:val="false"/>
          <w:bCs w:val="false"/>
          <w:color w:val="auto"/>
          <w:lang w:eastAsia="en-US"/>
        </w:rPr>
        <w:t>4</w:t>
      </w:r>
      <w:r>
        <w:rPr>
          <w:rFonts w:eastAsia="Calibri"/>
          <w:b w:val="false"/>
          <w:bCs w:val="false"/>
          <w:color w:val="auto"/>
          <w:lang w:eastAsia="en-US"/>
        </w:rPr>
        <w:t>.202</w:t>
      </w:r>
      <w:r>
        <w:rPr>
          <w:rFonts w:eastAsia="Calibri"/>
          <w:b w:val="false"/>
          <w:bCs w:val="false"/>
          <w:color w:val="auto"/>
          <w:lang w:eastAsia="en-US"/>
        </w:rPr>
        <w:t>4</w:t>
      </w:r>
      <w:r>
        <w:rPr>
          <w:rFonts w:eastAsia="Calibri"/>
          <w:b w:val="false"/>
          <w:bCs w:val="false"/>
          <w:color w:val="auto"/>
          <w:lang w:eastAsia="en-US"/>
        </w:rPr>
        <w:t xml:space="preserve"> по 0</w:t>
      </w:r>
      <w:r>
        <w:rPr>
          <w:rFonts w:eastAsia="Calibri"/>
          <w:b w:val="false"/>
          <w:bCs w:val="false"/>
          <w:color w:val="auto"/>
          <w:lang w:eastAsia="en-US"/>
        </w:rPr>
        <w:t>2</w:t>
      </w:r>
      <w:r>
        <w:rPr>
          <w:rFonts w:eastAsia="Calibri"/>
          <w:b w:val="false"/>
          <w:bCs w:val="false"/>
          <w:color w:val="auto"/>
          <w:lang w:eastAsia="en-US"/>
        </w:rPr>
        <w:t>.0</w:t>
      </w:r>
      <w:r>
        <w:rPr>
          <w:rFonts w:eastAsia="Calibri"/>
          <w:b w:val="false"/>
          <w:bCs w:val="false"/>
          <w:color w:val="auto"/>
          <w:lang w:eastAsia="en-US"/>
        </w:rPr>
        <w:t>5</w:t>
      </w:r>
      <w:r>
        <w:rPr>
          <w:rFonts w:eastAsia="Calibri"/>
          <w:b w:val="false"/>
          <w:bCs w:val="false"/>
          <w:color w:val="auto"/>
          <w:lang w:eastAsia="en-US"/>
        </w:rPr>
        <w:t>.202</w:t>
      </w:r>
      <w:r>
        <w:rPr>
          <w:rFonts w:eastAsia="Calibri"/>
          <w:b w:val="false"/>
          <w:bCs w:val="false"/>
          <w:color w:val="auto"/>
          <w:lang w:eastAsia="en-US"/>
        </w:rPr>
        <w:t>4</w:t>
      </w:r>
      <w:r>
        <w:rPr>
          <w:rFonts w:eastAsia="Calibri"/>
          <w:b w:val="false"/>
          <w:bCs w:val="false"/>
          <w:color w:val="auto"/>
          <w:lang w:eastAsia="en-US"/>
        </w:rPr>
        <w:t xml:space="preserve"> в </w:t>
      </w:r>
      <w:r>
        <w:rPr>
          <w:rFonts w:eastAsia="Calibri"/>
          <w:b w:val="false"/>
          <w:bCs w:val="false"/>
          <w:color w:val="auto"/>
          <w:lang w:eastAsia="en-US"/>
        </w:rPr>
        <w:t>ООО «Компьютер Инжиниринг Бизнес-Школа»</w:t>
      </w:r>
      <w:r>
        <w:rPr>
          <w:rFonts w:eastAsia="Calibri"/>
          <w:b w:val="false"/>
          <w:bCs w:val="false"/>
          <w:color w:val="auto"/>
          <w:lang w:eastAsia="en-US"/>
        </w:rPr>
        <w:t xml:space="preserve"> в объеме 1</w:t>
      </w:r>
      <w:r>
        <w:rPr>
          <w:rFonts w:eastAsia="Calibri"/>
          <w:b w:val="false"/>
          <w:bCs w:val="false"/>
          <w:color w:val="auto"/>
          <w:lang w:eastAsia="en-US"/>
        </w:rPr>
        <w:t>44</w:t>
      </w:r>
      <w:r>
        <w:rPr>
          <w:rFonts w:eastAsia="Calibri"/>
          <w:b w:val="false"/>
          <w:bCs w:val="false"/>
          <w:color w:val="auto"/>
          <w:lang w:eastAsia="en-US"/>
        </w:rPr>
        <w:t xml:space="preserve"> часов по программе «Контрактная система в сфере закупок товаров, работ, услуг. </w:t>
      </w:r>
      <w:r>
        <w:rPr>
          <w:rFonts w:eastAsia="Calibri"/>
          <w:b w:val="false"/>
          <w:bCs w:val="false"/>
          <w:color w:val="auto"/>
          <w:lang w:eastAsia="en-US"/>
        </w:rPr>
        <w:t>Управление государственными и муниципальными закупками</w:t>
      </w:r>
      <w:r>
        <w:rPr>
          <w:rFonts w:eastAsia="Calibri"/>
          <w:b w:val="false"/>
          <w:bCs w:val="false"/>
          <w:color w:val="auto"/>
          <w:lang w:eastAsia="en-US"/>
        </w:rPr>
        <w:t xml:space="preserve">». Регистрационный № </w:t>
      </w:r>
      <w:r>
        <w:rPr>
          <w:rFonts w:eastAsia="Calibri"/>
          <w:b w:val="false"/>
          <w:bCs w:val="false"/>
          <w:color w:val="auto"/>
          <w:lang w:eastAsia="en-US"/>
        </w:rPr>
        <w:t>22-05/2024 дата выдачи 02.05.2024</w:t>
      </w:r>
      <w:r>
        <w:rPr>
          <w:rFonts w:eastAsia="Calibri"/>
          <w:b w:val="false"/>
          <w:bCs w:val="false"/>
          <w:color w:val="auto"/>
          <w:lang w:eastAsia="en-US"/>
        </w:rPr>
        <w:t>.</w:t>
      </w:r>
    </w:p>
    <w:p>
      <w:pPr>
        <w:pStyle w:val="Normal"/>
        <w:spacing w:before="0" w:after="0"/>
        <w:ind w:firstLine="708"/>
        <w:contextualSpacing/>
        <w:jc w:val="both"/>
        <w:rPr>
          <w:color w:val="000000"/>
        </w:rPr>
      </w:pPr>
      <w:r>
        <w:rPr>
          <w:color w:val="000000"/>
        </w:rPr>
        <w:t>Отчеты об объемах закупок у субъектов малого предпринимательства, социально ориентированных некоммерческих организаций за 2024 и 2025 годы Учреждением размещены в ГИС ЕИС своевременно 2</w:t>
      </w:r>
      <w:r>
        <w:rPr>
          <w:color w:val="000000"/>
        </w:rPr>
        <w:t>3</w:t>
      </w:r>
      <w:r>
        <w:rPr>
          <w:color w:val="000000"/>
        </w:rPr>
        <w:t>.0</w:t>
      </w:r>
      <w:r>
        <w:rPr>
          <w:color w:val="000000"/>
        </w:rPr>
        <w:t>3</w:t>
      </w:r>
      <w:r>
        <w:rPr>
          <w:color w:val="000000"/>
        </w:rPr>
        <w:t xml:space="preserve">.2025 и </w:t>
      </w:r>
      <w:r>
        <w:rPr>
          <w:color w:val="000000"/>
        </w:rPr>
        <w:t>18</w:t>
      </w:r>
      <w:r>
        <w:rPr>
          <w:color w:val="000000"/>
        </w:rPr>
        <w:t>.0</w:t>
      </w:r>
      <w:r>
        <w:rPr>
          <w:color w:val="000000"/>
        </w:rPr>
        <w:t>3</w:t>
      </w:r>
      <w:r>
        <w:rPr>
          <w:color w:val="000000"/>
        </w:rPr>
        <w:t xml:space="preserve">.2026 соответственно. </w:t>
      </w:r>
    </w:p>
    <w:p>
      <w:pPr>
        <w:pStyle w:val="Normal"/>
        <w:spacing w:before="0" w:after="0"/>
        <w:ind w:firstLine="708"/>
        <w:contextualSpacing/>
        <w:jc w:val="both"/>
        <w:rPr>
          <w:color w:val="000000"/>
        </w:rPr>
      </w:pPr>
      <w:r>
        <w:rPr>
          <w:color w:val="000000"/>
        </w:rPr>
        <w:t>Отчеты о закупке товаров, произведенных в Российской Федерации за 2024 и 2025 годы Учреждением размещены в ГИС ЕИС своевременно 2</w:t>
      </w:r>
      <w:r>
        <w:rPr>
          <w:color w:val="000000"/>
        </w:rPr>
        <w:t>3</w:t>
      </w:r>
      <w:r>
        <w:rPr>
          <w:color w:val="000000"/>
        </w:rPr>
        <w:t>.0</w:t>
      </w:r>
      <w:r>
        <w:rPr>
          <w:color w:val="000000"/>
        </w:rPr>
        <w:t>3</w:t>
      </w:r>
      <w:r>
        <w:rPr>
          <w:color w:val="000000"/>
        </w:rPr>
        <w:t xml:space="preserve">.2025 и </w:t>
      </w:r>
      <w:r>
        <w:rPr>
          <w:color w:val="000000"/>
        </w:rPr>
        <w:t>30</w:t>
      </w:r>
      <w:r>
        <w:rPr>
          <w:color w:val="000000"/>
        </w:rPr>
        <w:t>.01.2026 соответственно.</w:t>
      </w:r>
    </w:p>
    <w:p>
      <w:pPr>
        <w:pStyle w:val="ListParagraph"/>
        <w:ind w:firstLine="708" w:left="0" w:right="0"/>
        <w:jc w:val="both"/>
        <w:rPr>
          <w:color w:val="000000"/>
        </w:rPr>
      </w:pPr>
      <w:r>
        <w:rPr>
          <w:color w:val="000000"/>
          <w:lang w:eastAsia="ru-RU"/>
        </w:rPr>
        <w:t xml:space="preserve">Первичные планы-графики закупок товаров, работ, услуг для обеспечения нужд субъекта Российской Федерации и муниципальных нужд на 2025 и 2026 финансовые года базовой версии 0.0 размещены в ГИС ЕИС своевременно </w:t>
      </w:r>
      <w:r>
        <w:rPr>
          <w:color w:val="000000"/>
        </w:rPr>
        <w:t>14.01.2025 и 16.01.2026 соответственно</w:t>
      </w:r>
      <w:r>
        <w:rPr>
          <w:color w:val="000000"/>
          <w:lang w:eastAsia="ru-RU"/>
        </w:rPr>
        <w:t xml:space="preserve">. </w:t>
      </w:r>
    </w:p>
    <w:p>
      <w:pPr>
        <w:pStyle w:val="ListParagraph"/>
        <w:ind w:firstLine="708" w:left="0" w:right="0"/>
        <w:jc w:val="both"/>
        <w:rPr>
          <w:color w:val="000000"/>
        </w:rPr>
      </w:pPr>
      <w:r>
        <w:rPr>
          <w:color w:val="000000"/>
          <w:lang w:eastAsia="ru-RU"/>
        </w:rPr>
        <w:t xml:space="preserve">В 2025 году в ГИС ЕИС размещен план-график закупок версии </w:t>
      </w:r>
      <w:r>
        <w:rPr>
          <w:color w:val="000000"/>
          <w:lang w:eastAsia="ru-RU"/>
        </w:rPr>
        <w:t>29</w:t>
      </w:r>
      <w:r>
        <w:rPr>
          <w:color w:val="000000"/>
          <w:lang w:eastAsia="ru-RU"/>
        </w:rPr>
        <w:t>.</w:t>
      </w:r>
      <w:r>
        <w:rPr>
          <w:color w:val="000000"/>
          <w:lang w:eastAsia="ru-RU"/>
        </w:rPr>
        <w:t>0 от 26.12.2025</w:t>
      </w:r>
      <w:r>
        <w:rPr>
          <w:color w:val="000000"/>
          <w:lang w:eastAsia="ru-RU"/>
        </w:rPr>
        <w:t xml:space="preserve">. </w:t>
      </w:r>
    </w:p>
    <w:p>
      <w:pPr>
        <w:pStyle w:val="ListParagraph"/>
        <w:ind w:firstLine="708" w:left="0" w:right="0"/>
        <w:jc w:val="both"/>
        <w:rPr>
          <w:color w:val="000000"/>
        </w:rPr>
      </w:pPr>
      <w:r>
        <w:rPr>
          <w:color w:val="000000"/>
          <w:lang w:eastAsia="ru-RU"/>
        </w:rPr>
        <w:t xml:space="preserve">На 2026 год совокупный годовой объем закупок (СГОЗ) утвержден в объеме 26 785 402 рублей 89 копеек, что подтверждает бухгалтерская справка от 22.06.2026. В указанную сумму входят взносы в Фонд капитального ремонта в размере 1 047 147 рублей 40 копеек. </w:t>
      </w:r>
      <w:r>
        <w:rPr>
          <w:color w:val="000000"/>
          <w:lang w:eastAsia="ru-RU"/>
        </w:rPr>
        <w:t>В 2026 году в ГИС ЕИС размещен план-график закупок версии 1</w:t>
      </w:r>
      <w:r>
        <w:rPr>
          <w:color w:val="000000"/>
          <w:lang w:eastAsia="ru-RU"/>
        </w:rPr>
        <w:t>9</w:t>
      </w:r>
      <w:r>
        <w:rPr>
          <w:color w:val="000000"/>
          <w:lang w:eastAsia="ru-RU"/>
        </w:rPr>
        <w:t xml:space="preserve">.0 </w:t>
      </w:r>
      <w:r>
        <w:rPr>
          <w:color w:val="000000"/>
          <w:lang w:eastAsia="ru-RU"/>
        </w:rPr>
        <w:t xml:space="preserve">от </w:t>
      </w:r>
      <w:r>
        <w:rPr>
          <w:color w:val="000000"/>
          <w:lang w:eastAsia="ru-RU"/>
        </w:rPr>
        <w:t>2</w:t>
      </w:r>
      <w:r>
        <w:rPr>
          <w:color w:val="000000"/>
          <w:lang w:eastAsia="ru-RU"/>
        </w:rPr>
        <w:t>3</w:t>
      </w:r>
      <w:r>
        <w:rPr>
          <w:color w:val="000000"/>
          <w:lang w:eastAsia="ru-RU"/>
        </w:rPr>
        <w:t>.0</w:t>
      </w:r>
      <w:r>
        <w:rPr>
          <w:color w:val="000000"/>
          <w:lang w:eastAsia="ru-RU"/>
        </w:rPr>
        <w:t>6</w:t>
      </w:r>
      <w:r>
        <w:rPr>
          <w:color w:val="000000"/>
          <w:lang w:eastAsia="ru-RU"/>
        </w:rPr>
        <w:t xml:space="preserve">.2026 на сумму </w:t>
      </w:r>
      <w:r>
        <w:rPr>
          <w:color w:val="000000"/>
          <w:lang w:eastAsia="ru-RU"/>
        </w:rPr>
        <w:t>18 196 702</w:t>
      </w:r>
      <w:r>
        <w:rPr>
          <w:color w:val="000000"/>
          <w:lang w:eastAsia="ru-RU"/>
        </w:rPr>
        <w:t xml:space="preserve"> рубля </w:t>
      </w:r>
      <w:r>
        <w:rPr>
          <w:color w:val="000000"/>
          <w:lang w:eastAsia="ru-RU"/>
        </w:rPr>
        <w:t>80</w:t>
      </w:r>
      <w:r>
        <w:rPr>
          <w:color w:val="000000"/>
          <w:lang w:eastAsia="ru-RU"/>
        </w:rPr>
        <w:t xml:space="preserve"> копеек, </w:t>
      </w:r>
      <w:r>
        <w:rPr>
          <w:color w:val="000000"/>
          <w:lang w:eastAsia="ru-RU"/>
        </w:rPr>
        <w:t xml:space="preserve">в т.ч. средства в рамках реализации национальных проектов в сумме 4 398 148 рублей 00 копеек. Учреждение в 2025 году заключило договора с оплатой в течении 2026 года на сумму </w:t>
        <w:br/>
        <w:t>7 535 634 рублей 71 копеек.</w:t>
      </w:r>
    </w:p>
    <w:p>
      <w:pPr>
        <w:pStyle w:val="ListParagraph"/>
        <w:ind w:firstLine="708" w:left="0" w:right="0"/>
        <w:jc w:val="both"/>
        <w:rPr>
          <w:color w:val="000000"/>
        </w:rPr>
      </w:pPr>
      <w:r>
        <w:rPr>
          <w:color w:val="000000"/>
          <w:lang w:eastAsia="ru-RU"/>
        </w:rPr>
        <w:t xml:space="preserve">При проведении выборочной проверки заключенных Учреждением в 2026 году договоров </w:t>
      </w:r>
      <w:r>
        <w:rPr>
          <w:color w:val="000000"/>
          <w:lang w:eastAsia="ru-RU"/>
        </w:rPr>
        <w:t>нарушений не выявлено</w:t>
      </w:r>
      <w:r>
        <w:rPr>
          <w:color w:val="000000"/>
          <w:lang w:eastAsia="ru-RU"/>
        </w:rPr>
        <w:t>.</w:t>
      </w:r>
    </w:p>
    <w:p>
      <w:pPr>
        <w:pStyle w:val="Normal"/>
        <w:tabs>
          <w:tab w:val="clear" w:pos="708"/>
          <w:tab w:val="left" w:pos="709" w:leader="none"/>
        </w:tabs>
        <w:ind w:firstLine="708"/>
        <w:jc w:val="both"/>
        <w:rPr>
          <w:color w:val="000000"/>
        </w:rPr>
      </w:pPr>
      <w:r>
        <w:rPr>
          <w:color w:val="000000"/>
        </w:rPr>
      </w:r>
    </w:p>
    <w:p>
      <w:pPr>
        <w:pStyle w:val="ListParagraph"/>
        <w:ind w:firstLine="708" w:left="0" w:right="0"/>
        <w:jc w:val="both"/>
        <w:rPr>
          <w:b/>
          <w:bCs/>
        </w:rPr>
      </w:pPr>
      <w:r>
        <w:rPr>
          <w:b/>
          <w:bCs/>
        </w:rPr>
        <w:t>Выводы: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ind w:firstLine="709"/>
        <w:jc w:val="both"/>
        <w:rPr/>
      </w:pPr>
      <w:r>
        <w:rPr/>
        <w:t>1. Направить Акт проверки Учреждению.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/>
      </w:pPr>
      <w:r>
        <w:rPr/>
        <w:t>2. Разместить настоящий Акт проверки в единой информационной системе в сфере закупок (ГИС ЕИС закупки).</w:t>
      </w:r>
    </w:p>
    <w:p>
      <w:pPr>
        <w:pStyle w:val="ListParagraph"/>
        <w:ind w:firstLine="708" w:left="0" w:right="0"/>
        <w:jc w:val="both"/>
        <w:rPr/>
      </w:pPr>
      <w:r>
        <w:rPr/>
      </w:r>
    </w:p>
    <w:p>
      <w:pPr>
        <w:pStyle w:val="ListParagraph"/>
        <w:ind w:firstLine="708" w:left="0" w:right="0"/>
        <w:jc w:val="both"/>
        <w:rPr>
          <w:highlight w:val="none"/>
        </w:rPr>
      </w:pPr>
      <w:r>
        <w:rPr>
          <w:bCs/>
        </w:rPr>
        <w:t>Акт составлен в 2-х экземплярах на 3 листах.</w:t>
      </w:r>
    </w:p>
    <w:p>
      <w:pPr>
        <w:pStyle w:val="ListParagraph"/>
        <w:ind w:hanging="0" w:left="0" w:right="0"/>
        <w:jc w:val="both"/>
        <w:rPr>
          <w:bCs/>
        </w:rPr>
      </w:pPr>
      <w:r>
        <w:rPr>
          <w:bCs/>
        </w:rPr>
      </w:r>
    </w:p>
    <w:tbl>
      <w:tblPr>
        <w:tblW w:w="9712" w:type="dxa"/>
        <w:jc w:val="left"/>
        <w:tblInd w:w="1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4042"/>
        <w:gridCol w:w="2162"/>
        <w:gridCol w:w="3508"/>
      </w:tblGrid>
      <w:tr>
        <w:trPr/>
        <w:tc>
          <w:tcPr>
            <w:tcW w:w="4042" w:type="dxa"/>
            <w:tcBorders/>
            <w:shd w:color="FFFFFF" w:fill="FFFFFF" w:val="clear"/>
          </w:tcPr>
          <w:p>
            <w:pPr>
              <w:pStyle w:val="ListParagraph"/>
              <w:ind w:hanging="0" w:left="0" w:right="0"/>
              <w:jc w:val="both"/>
              <w:rPr/>
            </w:pPr>
            <w:r>
              <w:rPr>
                <w:bCs/>
              </w:rPr>
              <w:t>Председатель комиссии:</w:t>
            </w:r>
          </w:p>
        </w:tc>
        <w:tc>
          <w:tcPr>
            <w:tcW w:w="2162" w:type="dxa"/>
            <w:tcBorders/>
            <w:shd w:color="FFFFFF" w:fill="FFFFFF" w:val="clear"/>
          </w:tcPr>
          <w:p>
            <w:pPr>
              <w:pStyle w:val="ListParagraph"/>
              <w:ind w:hanging="0" w:left="0" w:right="0"/>
              <w:jc w:val="both"/>
              <w:rPr/>
            </w:pPr>
            <w:r>
              <w:rPr>
                <w:bCs/>
              </w:rPr>
              <w:t>________________</w:t>
            </w:r>
          </w:p>
        </w:tc>
        <w:tc>
          <w:tcPr>
            <w:tcW w:w="3508" w:type="dxa"/>
            <w:tcBorders/>
            <w:shd w:color="FFFFFF" w:fill="FFFFFF" w:val="clear"/>
          </w:tcPr>
          <w:p>
            <w:pPr>
              <w:pStyle w:val="Normal"/>
              <w:rPr/>
            </w:pPr>
            <w:r>
              <w:rPr>
                <w:bCs/>
              </w:rPr>
              <w:t>Бубич И.Ю.</w:t>
            </w:r>
          </w:p>
          <w:p>
            <w:pPr>
              <w:pStyle w:val="ListParagraph"/>
              <w:ind w:hanging="0" w:left="0" w:right="0"/>
              <w:jc w:val="both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042" w:type="dxa"/>
            <w:tcBorders/>
            <w:shd w:color="auto" w:fill="FFFFFF" w:val="clear"/>
          </w:tcPr>
          <w:p>
            <w:pPr>
              <w:pStyle w:val="ListParagraph"/>
              <w:ind w:hanging="0" w:left="0" w:right="0"/>
              <w:jc w:val="both"/>
              <w:rPr/>
            </w:pPr>
            <w:r>
              <w:rPr>
                <w:bCs/>
              </w:rPr>
              <w:t>Члены комиссии:</w:t>
            </w:r>
          </w:p>
        </w:tc>
        <w:tc>
          <w:tcPr>
            <w:tcW w:w="2162" w:type="dxa"/>
            <w:tcBorders/>
            <w:shd w:color="auto" w:fill="FFFFFF" w:val="clear"/>
          </w:tcPr>
          <w:p>
            <w:pPr>
              <w:pStyle w:val="ListParagraph"/>
              <w:ind w:hanging="0" w:left="0" w:right="0"/>
              <w:jc w:val="both"/>
              <w:rPr/>
            </w:pPr>
            <w:r>
              <w:rPr>
                <w:bCs/>
              </w:rPr>
              <w:t>________________</w:t>
            </w:r>
          </w:p>
        </w:tc>
        <w:tc>
          <w:tcPr>
            <w:tcW w:w="3508" w:type="dxa"/>
            <w:tcBorders/>
            <w:shd w:color="auto" w:fill="FFFFFF" w:val="clear"/>
          </w:tcPr>
          <w:p>
            <w:pPr>
              <w:pStyle w:val="Normal"/>
              <w:rPr/>
            </w:pPr>
            <w:r>
              <w:rPr>
                <w:bCs/>
              </w:rPr>
              <w:t>Смирнов Г.В.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4042" w:type="dxa"/>
            <w:tcBorders/>
            <w:shd w:color="auto" w:fill="FFFFFF" w:val="clear"/>
          </w:tcPr>
          <w:p>
            <w:pPr>
              <w:pStyle w:val="ListParagraph"/>
              <w:ind w:hanging="0" w:left="0" w:right="0"/>
              <w:jc w:val="both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162" w:type="dxa"/>
            <w:tcBorders/>
            <w:shd w:color="auto" w:fill="FFFFFF" w:val="clear"/>
          </w:tcPr>
          <w:p>
            <w:pPr>
              <w:pStyle w:val="ListParagraph"/>
              <w:ind w:hanging="0" w:left="0" w:right="0"/>
              <w:jc w:val="both"/>
              <w:rPr/>
            </w:pPr>
            <w:r>
              <w:rPr>
                <w:bCs/>
              </w:rPr>
              <w:t>________________</w:t>
            </w:r>
          </w:p>
        </w:tc>
        <w:tc>
          <w:tcPr>
            <w:tcW w:w="3508" w:type="dxa"/>
            <w:tcBorders/>
            <w:shd w:color="auto" w:fill="FFFFFF" w:val="clear"/>
          </w:tcPr>
          <w:p>
            <w:pPr>
              <w:pStyle w:val="Normal"/>
              <w:rPr/>
            </w:pPr>
            <w:r>
              <w:rPr>
                <w:bCs/>
              </w:rPr>
              <w:t>Радова Н.С.</w:t>
            </w:r>
          </w:p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ind w:firstLine="709"/>
        <w:jc w:val="both"/>
        <w:rPr>
          <w:highlight w:val="none"/>
        </w:rPr>
      </w:pPr>
      <w:r>
        <w:rPr/>
      </w:r>
    </w:p>
    <w:p>
      <w:pPr>
        <w:pStyle w:val="Normal"/>
        <w:widowControl w:val="false"/>
        <w:ind w:firstLine="709"/>
        <w:jc w:val="both"/>
        <w:rPr>
          <w:highlight w:val="none"/>
        </w:rPr>
      </w:pPr>
      <w:r>
        <w:rPr/>
        <w:t>В случае несогласия с вынесенным решением Вы имеете право в течение 10 рабочих дней со дня получения копии акта проверки, представить в орган ведомственного контроля в сфере закупок управления культуры города Калуги, по адресу: г. Калуга, ул. Салтыкова-Щедрина, дом 72 письменные возражения по фактам, изложенным в акте проверки.</w:t>
      </w:r>
    </w:p>
    <w:p>
      <w:pPr>
        <w:pStyle w:val="Normal"/>
        <w:ind w:firstLine="390"/>
        <w:jc w:val="both"/>
        <w:rPr/>
      </w:pPr>
      <w:r>
        <w:rPr/>
      </w:r>
    </w:p>
    <w:p>
      <w:pPr>
        <w:pStyle w:val="Normal"/>
        <w:ind w:firstLine="390"/>
        <w:jc w:val="both"/>
        <w:rPr>
          <w:highlight w:val="none"/>
        </w:rPr>
      </w:pPr>
      <w:r>
        <w:rPr/>
        <w:t>Акт получил:</w:t>
      </w:r>
    </w:p>
    <w:p>
      <w:pPr>
        <w:pStyle w:val="Normal"/>
        <w:ind w:firstLine="390"/>
        <w:jc w:val="both"/>
        <w:rPr/>
      </w:pPr>
      <w:r>
        <w:rPr/>
        <w:t>_______________________________</w:t>
        <w:tab/>
        <w:tab/>
        <w:t xml:space="preserve">                      «___» </w:t>
      </w:r>
      <w:r>
        <w:rPr/>
        <w:t>июля</w:t>
      </w:r>
      <w:r>
        <w:rPr/>
        <w:t xml:space="preserve"> 2026 года</w:t>
      </w:r>
    </w:p>
    <w:p>
      <w:pPr>
        <w:pStyle w:val="Normal"/>
        <w:ind w:firstLine="390"/>
        <w:jc w:val="both"/>
        <w:rPr/>
      </w:pPr>
      <w:r>
        <w:rPr/>
        <w:t xml:space="preserve">           </w:t>
      </w:r>
      <w:r>
        <w:rPr/>
        <w:t>(должность, подпись, ФИО)</w:t>
      </w:r>
    </w:p>
    <w:sectPr>
      <w:type w:val="nextPage"/>
      <w:pgSz w:w="11906" w:h="16838"/>
      <w:pgMar w:left="1245" w:right="566" w:gutter="0" w:header="0" w:top="710" w:footer="0" w:bottom="53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pStyle w:val="Heading1"/>
      <w:isLgl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decimal"/>
      <w:pStyle w:val="Heading2"/>
      <w:isLgl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decimal"/>
      <w:pStyle w:val="Heading3"/>
      <w:isLgl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pStyle w:val="Heading4"/>
      <w:isLgl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isLgl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balanceSingleByteDoubleByteWidth/>
    <w:ulTrailSpa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A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BodyText"/>
    <w:link w:val="Heading1Char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szCs w:val="20"/>
    </w:rPr>
  </w:style>
  <w:style w:type="paragraph" w:styleId="Heading2">
    <w:name w:val="heading 2"/>
    <w:basedOn w:val="Normal"/>
    <w:next w:val="BodyText"/>
    <w:link w:val="Heading2Char"/>
    <w:qFormat/>
    <w:pPr>
      <w:keepNext w:val="true"/>
      <w:numPr>
        <w:ilvl w:val="1"/>
        <w:numId w:val="1"/>
      </w:numPr>
      <w:outlineLvl w:val="1"/>
    </w:pPr>
    <w:rPr>
      <w:b/>
      <w:bCs/>
    </w:rPr>
  </w:style>
  <w:style w:type="paragraph" w:styleId="Heading3">
    <w:name w:val="heading 3"/>
    <w:basedOn w:val="user2"/>
    <w:next w:val="BodyText"/>
    <w:link w:val="Heading3Char"/>
    <w:qFormat/>
    <w:pPr>
      <w:numPr>
        <w:ilvl w:val="2"/>
        <w:numId w:val="1"/>
      </w:numPr>
      <w:outlineLvl w:val="2"/>
    </w:pPr>
    <w:rPr/>
  </w:style>
  <w:style w:type="paragraph" w:styleId="Heading4">
    <w:name w:val="heading 4"/>
    <w:basedOn w:val="Normal"/>
    <w:next w:val="BodyText"/>
    <w:link w:val="Heading4Char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user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qFormat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Style6">
    <w:name w:val="Основной шрифт абзаца"/>
    <w:uiPriority w:val="1"/>
    <w:semiHidden/>
    <w:unhideWhenUsed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eastAsia="Calibri"/>
      <w:lang w:eastAsia="en-US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 w:default="1">
    <w:name w:val="Default Paragraph Font"/>
    <w:qFormat/>
    <w:rPr/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7">
    <w:name w:val="Символ сноски"/>
    <w:qFormat/>
    <w:rPr>
      <w:vertAlign w:val="superscript"/>
    </w:rPr>
  </w:style>
  <w:style w:type="character" w:styleId="user1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8">
    <w:name w:val="Цветовое выделение"/>
    <w:qFormat/>
    <w:rPr>
      <w:b/>
      <w:bCs/>
      <w:color w:val="26282F"/>
    </w:rPr>
  </w:style>
  <w:style w:type="character" w:styleId="Style9">
    <w:name w:val="Гипертекстовая ссылка"/>
    <w:qFormat/>
    <w:rPr>
      <w:b/>
      <w:bCs/>
      <w:color w:val="106BBE"/>
    </w:rPr>
  </w:style>
  <w:style w:type="character" w:styleId="Style10">
    <w:name w:val="Гиперссылка"/>
    <w:qFormat/>
    <w:rPr>
      <w:color w:val="0000FF"/>
      <w:u w:val="single"/>
    </w:rPr>
  </w:style>
  <w:style w:type="character" w:styleId="Style11">
    <w:name w:val="Подзаголовок Знак"/>
    <w:qFormat/>
    <w:rPr>
      <w:b/>
      <w:bCs/>
      <w:sz w:val="28"/>
      <w:szCs w:val="24"/>
    </w:rPr>
  </w:style>
  <w:style w:type="character" w:styleId="Style12">
    <w:name w:val="Верхний колонтитул Знак"/>
    <w:qFormat/>
    <w:rPr>
      <w:sz w:val="24"/>
      <w:szCs w:val="24"/>
    </w:rPr>
  </w:style>
  <w:style w:type="character" w:styleId="Style13">
    <w:name w:val="Нижний колонтитул Знак"/>
    <w:qFormat/>
    <w:rPr>
      <w:sz w:val="24"/>
      <w:szCs w:val="24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lineRule="auto" w:line="288" w:before="0" w:after="140"/>
    </w:pPr>
    <w:rPr/>
  </w:style>
  <w:style w:type="paragraph" w:styleId="List">
    <w:name w:val="List"/>
    <w:basedOn w:val="BodyText"/>
    <w:qFormat/>
    <w:pPr/>
    <w:rPr>
      <w:rFonts w:cs="Mangal"/>
    </w:rPr>
  </w:style>
  <w:style w:type="paragraph" w:styleId="Caption">
    <w:name w:val="caption"/>
    <w:basedOn w:val="user2"/>
    <w:next w:val="BodyText"/>
    <w:qFormat/>
    <w:pPr/>
    <w:rPr/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BodyText"/>
    <w:link w:val="SubtitleChar"/>
    <w:qFormat/>
    <w:pPr>
      <w:jc w:val="center"/>
    </w:pPr>
    <w:rPr>
      <w:b/>
      <w:bC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Style16">
    <w:name w:val="Колонтитулы"/>
    <w:basedOn w:val="Normal"/>
    <w:qFormat/>
    <w:pPr/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Normal"/>
    <w:link w:val="HeaderChar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FooterChar"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Style17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">
    <w:name w:val="Указатель1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Arial"/>
      <w:b/>
      <w:bCs/>
      <w:color w:val="00000A"/>
      <w:kern w:val="0"/>
      <w:sz w:val="16"/>
      <w:szCs w:val="16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NSimSun" w:cs="Arial"/>
      <w:color w:val="00000A"/>
      <w:kern w:val="0"/>
      <w:sz w:val="24"/>
      <w:szCs w:val="20"/>
      <w:lang w:val="ru-RU" w:eastAsia="ru-RU" w:bidi="ar-SA"/>
    </w:rPr>
  </w:style>
  <w:style w:type="paragraph" w:styleId="BodyTextIndent">
    <w:name w:val="Body Text Indent"/>
    <w:basedOn w:val="Normal"/>
    <w:qFormat/>
    <w:pPr>
      <w:ind w:firstLine="550" w:left="0" w:right="0"/>
      <w:jc w:val="both"/>
    </w:pPr>
    <w:rPr>
      <w:sz w:val="28"/>
      <w:szCs w:val="20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NSimSun" w:cs="Courier New"/>
      <w:color w:val="00000A"/>
      <w:kern w:val="0"/>
      <w:sz w:val="24"/>
      <w:szCs w:val="20"/>
      <w:lang w:val="ru-RU" w:eastAsia="ru-RU" w:bidi="ar-SA"/>
    </w:rPr>
  </w:style>
  <w:style w:type="paragraph" w:styleId="Style18">
    <w:name w:val="Знак"/>
    <w:basedOn w:val="Normal"/>
    <w:qFormat/>
    <w:pPr>
      <w:spacing w:lineRule="exact" w:line="240" w:before="0" w:after="160"/>
    </w:pPr>
    <w:rPr>
      <w:rFonts w:ascii="Verdana" w:hAnsi="Verdana" w:cs="Verdana"/>
      <w:lang w:val="en-US" w:eastAsia="en-US"/>
    </w:rPr>
  </w:style>
  <w:style w:type="paragraph" w:styleId="tekstob">
    <w:name w:val="tekstob"/>
    <w:basedOn w:val="Normal"/>
    <w:qFormat/>
    <w:pPr>
      <w:spacing w:before="280" w:after="280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0"/>
      <w:kern w:val="0"/>
      <w:sz w:val="24"/>
      <w:szCs w:val="24"/>
      <w:lang w:val="ru-RU" w:eastAsia="ru-RU" w:bidi="ar-SA"/>
    </w:rPr>
  </w:style>
  <w:style w:type="paragraph" w:styleId="Style19">
    <w:name w:val="Нормальный (таблица)"/>
    <w:basedOn w:val="Normal"/>
    <w:qFormat/>
    <w:pPr>
      <w:widowControl w:val="false"/>
      <w:jc w:val="both"/>
    </w:pPr>
    <w:rPr>
      <w:rFonts w:ascii="Arial" w:hAnsi="Arial" w:cs="Arial"/>
      <w:sz w:val="26"/>
      <w:szCs w:val="26"/>
    </w:rPr>
  </w:style>
  <w:style w:type="paragraph" w:styleId="Style20">
    <w:name w:val="Прижатый влево"/>
    <w:basedOn w:val="Normal"/>
    <w:qFormat/>
    <w:pPr>
      <w:widowControl w:val="false"/>
    </w:pPr>
    <w:rPr>
      <w:rFonts w:ascii="Arial" w:hAnsi="Arial" w:cs="Arial"/>
      <w:sz w:val="26"/>
      <w:szCs w:val="26"/>
    </w:rPr>
  </w:style>
  <w:style w:type="paragraph" w:styleId="11">
    <w:name w:val="Абзац списка1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>
      <w:lang w:eastAsia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/>
      <w:color w:val="00000A"/>
      <w:kern w:val="0"/>
      <w:sz w:val="22"/>
      <w:szCs w:val="22"/>
      <w:lang w:val="ru-RU" w:eastAsia="en-US" w:bidi="ar-SA"/>
    </w:rPr>
  </w:style>
  <w:style w:type="paragraph" w:styleId="2">
    <w:name w:val="Название объекта2"/>
    <w:basedOn w:val="Normal"/>
    <w:qFormat/>
    <w:pPr>
      <w:jc w:val="center"/>
    </w:pPr>
    <w:rPr>
      <w:sz w:val="28"/>
      <w:szCs w:val="20"/>
      <w:lang w:eastAsia="ar-SA"/>
    </w:rPr>
  </w:style>
  <w:style w:type="paragraph" w:styleId="21">
    <w:name w:val="Абзац списка2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parametervalue">
    <w:name w:val="parametervalue"/>
    <w:basedOn w:val="Normal"/>
    <w:qFormat/>
    <w:pPr>
      <w:spacing w:before="280" w:after="280"/>
    </w:pPr>
    <w:rPr>
      <w:lang w:eastAsia="zh-CN"/>
    </w:rPr>
  </w:style>
  <w:style w:type="paragraph" w:styleId="user5">
    <w:name w:val="Блочная цитата (user)"/>
    <w:basedOn w:val="Normal"/>
    <w:qFormat/>
    <w:pPr/>
    <w:rPr/>
  </w:style>
  <w:style w:type="paragraph" w:styleId="user6">
    <w:name w:val="Содержимое таблицы (user)"/>
    <w:basedOn w:val="Normal"/>
    <w:qFormat/>
    <w:pPr>
      <w:suppressLineNumbers/>
    </w:pPr>
    <w:rPr/>
  </w:style>
  <w:style w:type="paragraph" w:styleId="user7">
    <w:name w:val="Заголовок таблицы (user)"/>
    <w:basedOn w:val="user6"/>
    <w:qFormat/>
    <w:pPr>
      <w:suppressLineNumbers/>
      <w:jc w:val="center"/>
    </w:pPr>
    <w:rPr>
      <w:b/>
      <w:bCs/>
    </w:rPr>
  </w:style>
  <w:style w:type="paragraph" w:styleId="user8">
    <w:name w:val="Содержимое списка (user)"/>
    <w:basedOn w:val="Normal"/>
    <w:qFormat/>
    <w:pPr>
      <w:ind w:hanging="0" w:left="567" w:right="0"/>
    </w:pPr>
    <w:rPr/>
  </w:style>
  <w:style w:type="paragraph" w:styleId="user9">
    <w:name w:val="Заголовок списка (user)"/>
    <w:basedOn w:val="Normal"/>
    <w:next w:val="user8"/>
    <w:qFormat/>
    <w:pPr>
      <w:ind w:hanging="0" w:left="0" w:right="0"/>
    </w:pPr>
    <w:rPr/>
  </w:style>
  <w:style w:type="paragraph" w:styleId="Style21" w:customStyle="1">
    <w:name w:val="Без интервала"/>
    <w:qFormat/>
    <w:pPr>
      <w:keepNext w:val="false"/>
      <w:keepLines w:val="false"/>
      <w:pageBreakBefore w:val="false"/>
      <w:widowControl/>
      <w:shd w:val="nil" w:color="000000"/>
      <w:suppressAutoHyphens w:val="tru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kern w:val="0"/>
      <w:position w:val="0"/>
      <w:sz w:val="22"/>
      <w:szCs w:val="22"/>
      <w:u w:val="none"/>
      <w:vertAlign w:val="baseline"/>
      <w:lang w:val="ru-RU" w:eastAsia="en-US" w:bidi="ar-SA"/>
      <w14:ligatures w14:val="none"/>
    </w:rPr>
  </w:style>
  <w:style w:type="numbering" w:styleId="Style22" w:default="1">
    <w:name w:val="Без списка"/>
    <w:uiPriority w:val="99"/>
    <w:semiHidden/>
    <w:unhideWhenUsed/>
    <w:qFormat/>
  </w:style>
  <w:style w:type="numbering" w:styleId="Style23">
    <w:name w:val="Нет списка"/>
    <w:uiPriority w:val="99"/>
    <w:semiHidden/>
    <w:unhideWhenUsed/>
    <w:qFormat/>
  </w:style>
  <w:style w:type="table" w:default="1" w:styleId="668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9">
    <w:name w:val="Table Grid"/>
    <w:basedOn w:val="66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0">
    <w:name w:val="Table Grid Light"/>
    <w:basedOn w:val="66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1">
    <w:name w:val="Plain Table 1"/>
    <w:basedOn w:val="66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2">
    <w:name w:val="Plain Table 2"/>
    <w:basedOn w:val="66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3">
    <w:name w:val="Plain Table 3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4">
    <w:name w:val="Plain Table 4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5">
    <w:name w:val="Plain Table 5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6">
    <w:name w:val="Grid Table 1 Light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7">
    <w:name w:val="Grid Table 1 Light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8">
    <w:name w:val="Grid Table 1 Light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9">
    <w:name w:val="Grid Table 1 Light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0">
    <w:name w:val="Grid Table 1 Light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1">
    <w:name w:val="Grid Table 1 Light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2">
    <w:name w:val="Grid Table 1 Light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3">
    <w:name w:val="Grid Table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4">
    <w:name w:val="Grid Table 2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5">
    <w:name w:val="Grid Table 2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6">
    <w:name w:val="Grid Table 2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7">
    <w:name w:val="Grid Table 2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8">
    <w:name w:val="Grid Table 2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9">
    <w:name w:val="Grid Table 2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0">
    <w:name w:val="Grid Table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1">
    <w:name w:val="Grid Table 3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2">
    <w:name w:val="Grid Table 3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3">
    <w:name w:val="Grid Table 3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4">
    <w:name w:val="Grid Table 3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5">
    <w:name w:val="Grid Table 3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6">
    <w:name w:val="Grid Table 3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7">
    <w:name w:val="Grid Table 4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8">
    <w:name w:val="Grid Table 4 - Accent 1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Grid Table 4 - Accent 2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0">
    <w:name w:val="Grid Table 4 - Accent 3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1">
    <w:name w:val="Grid Table 4 - Accent 4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2">
    <w:name w:val="Grid Table 4 - Accent 5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3">
    <w:name w:val="Grid Table 4 - Accent 6"/>
    <w:basedOn w:val="66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Grid Table 5 Dark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5">
    <w:name w:val="Grid Table 5 Dark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6">
    <w:name w:val="Grid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7">
    <w:name w:val="Grid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Grid Table 5 Dark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9">
    <w:name w:val="Grid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0">
    <w:name w:val="Grid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1">
    <w:name w:val="Grid Table 6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12">
    <w:name w:val="Grid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13">
    <w:name w:val="Grid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14">
    <w:name w:val="Grid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15">
    <w:name w:val="Grid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16">
    <w:name w:val="Grid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17">
    <w:name w:val="Grid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18">
    <w:name w:val="Grid Table 7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9">
    <w:name w:val="Grid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0">
    <w:name w:val="Grid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1">
    <w:name w:val="Grid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2">
    <w:name w:val="Grid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3">
    <w:name w:val="Grid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4">
    <w:name w:val="Grid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5">
    <w:name w:val="List Table 1 Light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6">
    <w:name w:val="List Table 1 Light - Accent 1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List Table 1 Light - Accent 2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List Table 1 Light - Accent 3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List Table 1 Light - Accent 4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List Table 1 Light - Accent 5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List Table 1 Light - Accent 6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List Table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List Table 2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List Table 2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List Table 2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List Table 2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List Table 2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List Table 2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List Table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List Table 3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List Table 3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List Table 3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List Table 3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List Table 3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List Table 3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List Table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List Table 4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List Table 4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List Table 4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List Table 4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List Table 4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List Table 4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List Table 5 Dark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54">
    <w:name w:val="List Table 5 Dark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55">
    <w:name w:val="List Table 5 Dark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56">
    <w:name w:val="List Table 5 Dark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57">
    <w:name w:val="List Table 5 Dark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58">
    <w:name w:val="List Table 5 Dark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59">
    <w:name w:val="List Table 5 Dark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0">
    <w:name w:val="List Table 6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1">
    <w:name w:val="List Table 6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List Table 6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List Table 6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List Table 6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List Table 6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List Table 6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List Table 7 Colorful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768">
    <w:name w:val="List Table 7 Colorful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769">
    <w:name w:val="List Table 7 Colorful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770">
    <w:name w:val="List Table 7 Colorful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771">
    <w:name w:val="List Table 7 Colorful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772">
    <w:name w:val="List Table 7 Colorful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773">
    <w:name w:val="List Table 7 Colorful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774">
    <w:name w:val="Lined - Accent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5">
    <w:name w:val="Lined - Accent 1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Lined - Accent 2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Lined - Accent 3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Lined - Accent 4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Lined - Accent 5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Lined - Accent 6"/>
    <w:basedOn w:val="66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Bordered &amp; Lined - Accent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Bordered &amp; Lined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Bordered &amp; Lined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Bordered &amp; Lined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Bordered &amp; Lined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Bordered &amp; Lined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Bordered &amp; Lined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Bordered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Bordered - Accent 1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Bordered - Accent 2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Bordered - Accent 3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Bordered - Accent 4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Bordered - Accent 5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Bordered - Accent 6"/>
    <w:basedOn w:val="66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9">
    <w:name w:val="Обычная таблица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zakupki.gov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LibreOffice/26.2.4.2$Windows_X86_64 LibreOffice_project/0229ac93fcf0d7cbc6376066c6f35021cef002dc</Application>
  <AppVersion>15.0000</AppVersion>
  <Pages>3</Pages>
  <Words>1193</Words>
  <Characters>8437</Characters>
  <CharactersWithSpaces>9630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2021-11-10T14:41:00Z</dcterms:created>
  <dc:creator>gricynaia</dc:creator>
  <dc:description/>
  <dc:language>ru-RU</dc:language>
  <cp:lastModifiedBy/>
  <cp:lastPrinted>2026-05-15T11:28:47Z</cp:lastPrinted>
  <dcterms:modified xsi:type="dcterms:W3CDTF">2026-07-06T16:05:48Z</dcterms:modified>
  <cp:revision>14</cp:revision>
  <dc:subject/>
  <dc:title>ГОРОДСКАЯ УПРАВА ГОРОДА КАЛУГИ</dc:title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