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Сводка предложений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Style w:val="Style13"/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Наименование проекта: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Проект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ar-SA"/>
        </w:rPr>
        <w:t>изменений в Правила благоустройства территорий муниципального образования «Город Калуга», утвержденные решением Городской Думы города Калуги  29.06.2022 № 149</w:t>
      </w:r>
      <w:r>
        <w:rPr>
          <w:rStyle w:val="Style13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ar-SA"/>
        </w:rPr>
        <w:t xml:space="preserve"> (далее - Проект)</w:t>
      </w:r>
    </w:p>
    <w:p>
      <w:pPr>
        <w:pStyle w:val="Normal"/>
        <w:spacing w:lineRule="auto" w:line="240" w:before="0" w:after="0"/>
        <w:jc w:val="both"/>
        <w:rPr>
          <w:rStyle w:val="Style13"/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Style w:val="Style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yle13"/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Дата проведения публичного обсуждения: </w:t>
      </w:r>
      <w:r>
        <w:rPr>
          <w:rFonts w:cs="Times New Roman" w:ascii="Times New Roman" w:hAnsi="Times New Roman"/>
          <w:sz w:val="24"/>
          <w:szCs w:val="24"/>
        </w:rPr>
        <w:t>13.03.2025 - 28.03.2025</w:t>
      </w:r>
    </w:p>
    <w:p>
      <w:pPr>
        <w:pStyle w:val="Normal"/>
        <w:spacing w:lineRule="auto" w:line="240" w:before="0" w:after="0"/>
        <w:jc w:val="both"/>
        <w:rPr>
          <w:rStyle w:val="Style13"/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Style w:val="Style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yle13"/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Количество экспертов, участвовавших в обсуждениях: </w:t>
      </w:r>
      <w:r>
        <w:rPr>
          <w:rStyle w:val="Style13"/>
          <w:rFonts w:cs="Times New Roman" w:ascii="Times New Roman" w:hAnsi="Times New Roman"/>
          <w:color w:val="000000"/>
          <w:sz w:val="24"/>
          <w:szCs w:val="24"/>
        </w:rPr>
        <w:t>1</w:t>
      </w:r>
    </w:p>
    <w:p>
      <w:pPr>
        <w:pStyle w:val="Normal"/>
        <w:spacing w:lineRule="auto" w:line="240" w:before="0" w:after="0"/>
        <w:jc w:val="both"/>
        <w:rPr>
          <w:rStyle w:val="Style13"/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Style w:val="Style1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yle13"/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Дата составления: </w:t>
      </w:r>
      <w:r>
        <w:rPr>
          <w:rStyle w:val="Style13"/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01.</w:t>
      </w:r>
      <w:r>
        <w:rPr>
          <w:rStyle w:val="Style13"/>
          <w:rFonts w:cs="Times New Roman" w:ascii="Times New Roman" w:hAnsi="Times New Roman"/>
          <w:color w:val="000000"/>
          <w:sz w:val="24"/>
          <w:szCs w:val="24"/>
        </w:rPr>
        <w:t>04.2025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Style w:val="af3"/>
        <w:tblW w:w="9486" w:type="dxa"/>
        <w:jc w:val="left"/>
        <w:tblInd w:w="119" w:type="dxa"/>
        <w:tblLayout w:type="fixed"/>
        <w:tblCellMar>
          <w:top w:w="0" w:type="dxa"/>
          <w:left w:w="110" w:type="dxa"/>
          <w:bottom w:w="0" w:type="dxa"/>
          <w:right w:w="108" w:type="dxa"/>
        </w:tblCellMar>
        <w:tblLook w:val="04a0"/>
      </w:tblPr>
      <w:tblGrid>
        <w:gridCol w:w="420"/>
        <w:gridCol w:w="1530"/>
        <w:gridCol w:w="3100"/>
        <w:gridCol w:w="4435"/>
      </w:tblGrid>
      <w:tr>
        <w:trPr/>
        <w:tc>
          <w:tcPr>
            <w:tcW w:w="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Участник обсуждения</w:t>
            </w:r>
          </w:p>
        </w:tc>
        <w:tc>
          <w:tcPr>
            <w:tcW w:w="3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Позиция участника обсуждения</w:t>
            </w:r>
          </w:p>
        </w:tc>
        <w:tc>
          <w:tcPr>
            <w:tcW w:w="4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Комментарий</w:t>
            </w:r>
          </w:p>
        </w:tc>
      </w:tr>
      <w:tr>
        <w:trPr>
          <w:trHeight w:val="6750" w:hRule="atLeast"/>
        </w:trPr>
        <w:tc>
          <w:tcPr>
            <w:tcW w:w="42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Уполномоченный по защите прав предпринимателей в Калужской области</w:t>
            </w:r>
          </w:p>
        </w:tc>
        <w:tc>
          <w:tcPr>
            <w:tcW w:w="3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20"/>
                <w:tab w:val="left" w:pos="1615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/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1. Подпункт «г» пункта 1.2 Проекта не соответствует пункту 4 части 1 статьи 36 Жилищного кодекса Российской Федерации</w:t>
            </w:r>
          </w:p>
        </w:tc>
        <w:tc>
          <w:tcPr>
            <w:tcW w:w="4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jc w:val="both"/>
              <w:rPr>
                <w:b/>
                <w:b/>
              </w:rPr>
            </w:pPr>
            <w:r>
              <w:rPr>
                <w:b/>
                <w:bCs w:val="false"/>
                <w:color w:val="000000"/>
                <w:kern w:val="0"/>
                <w:sz w:val="24"/>
                <w:szCs w:val="24"/>
                <w:lang w:val="ru-RU" w:bidi="ar-SA"/>
              </w:rPr>
              <w:t>Отклонено.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 xml:space="preserve">Понятие «придомовая территория» приведено в </w:t>
            </w:r>
            <w:r>
              <w:rPr>
                <w:rStyle w:val="Style19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СП 476.1325800.2020</w:t>
            </w:r>
            <w:r>
              <w:rPr>
                <w:rStyle w:val="Style19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 xml:space="preserve">.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«Территории городских и сельских поселений. Правила планировки, застройки и благоустройства жилых микрорайонов» и определяется как территория, часть участка многоквартирного жилого дома, группы домов, примыкающая к жилым зданиям, находящаяся в преимущественном пользовании жителей домов и предназначенная для обеспечения бытовых нужд и досуга жителей дома (домов). Приватная территория отделена от внутриквартальных территорий общего пользования периметром застройки, а также ландшафтными и планировочными решениями.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 xml:space="preserve">Приватная придомовая территория включает следующие обязательные элементы: подходы и подъезды к входным группам зданий, территории зеленых насаждений с площадками отдыха взрослого населения и детскими игровыми площадками (п.7.26 </w:t>
            </w:r>
            <w:r>
              <w:rPr>
                <w:rStyle w:val="Style19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СП 476.1325800.2020).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Нормируемый комплекс элементов благоустройства придомовой территории включает: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- детские игровые площадки;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- площадки отдыха взрослого населения;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- площадки для хозяйственных целей;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- озеленение;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- источники света;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- информационные стенды;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 xml:space="preserve">- ограждения(п.8.15 </w:t>
            </w:r>
            <w:r>
              <w:rPr>
                <w:rStyle w:val="Style19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СП 476.1325800.2020).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yle19"/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Также в пункте 6 Методических рекомендаций по проведению работ по формированию земельных участков, на которых расположены многоквартирные дома (приказ Минстроя России от 07.03.2019 № 153/пр), при образовании такого участка в его границы целесообразно включать земли и земельные участки, на которых расположены трансформаторные подстанции, тепловые пункты, объекты инженерной инфраструктуры, в том числе сети инженерно-технического обеспечения, коллективные автостоянки, гаражи, детские и спортивные площадки, площадки для отдыха, площадки для размещения контейнеров для сбора твердых коммунальных отходов, предназначенные для обслуживания многоквартирного дома.</w:t>
            </w:r>
          </w:p>
          <w:p>
            <w:pPr>
              <w:pStyle w:val="Pboth"/>
              <w:widowControl w:val="false"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rStyle w:val="Style19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 xml:space="preserve">Таким образом, понятие «придомовая территория», приведенное в Проекте,  соответствует </w:t>
            </w:r>
            <w:r>
              <w:rPr>
                <w:rStyle w:val="Style19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>вышеуказанным</w:t>
            </w:r>
            <w:r>
              <w:rPr>
                <w:rStyle w:val="Style19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sz w:val="24"/>
                <w:szCs w:val="24"/>
                <w:u w:val="none"/>
                <w:effect w:val="none"/>
                <w:shd w:fill="FFFFFF" w:val="clear"/>
              </w:rPr>
              <w:t xml:space="preserve"> нормам.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3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w w:val="95"/>
                <w:sz w:val="24"/>
                <w:szCs w:val="24"/>
              </w:rPr>
              <w:t>2. Пункт 13 части 2 статьи 45.1 Федерального закона «Об общих принципах организации местного самоуправления в Российской Федерации» исключает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домов, из категории лиц, которые обязаны участвовать в содержании прилегающих территорий. В то же время Проектом в пункте 3.1 вышеназванные обязанности (в форме определения порядка содержания и вытекающего из этого порядка участия в содержании прилегающих территорий) возложены на собственников помещений в многоквартирном доме, расположенном на земельных участках, не поставленных на государственный кадастровый учет или образованных по границам таких домов. В указанном случае подпункт «б» пункта 1.3 Проекта вступает в противоречие с пунктом 13 частью 2 статьи 45.1, который не допускает возложения обязанностей на собственников и (или) законных владельцев помещений в многоквартирных домах, земельные участки под которыми не образованы (согласно законодательству земельный участок, не поставленный на государственный учет, может быть и не образован) или образованы по границам таких домов.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w w:val="95"/>
                <w:sz w:val="24"/>
                <w:szCs w:val="24"/>
              </w:rPr>
              <w:t>Указанным пунктом устанавливаются требования к собственникам и владельцам по содержанию объектов благоустройства, что противоречит пункту 3 части 2 статьи 45.1 Федерального закона «Об общих принципах организации местного самоуправления в Российской Федерации», который предусматривает, что правила благоустройства в указанной части могут регулировать только вопросы содержания элементов благоустройства, а не самих объектов благоустройства.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w w:val="95"/>
                <w:sz w:val="24"/>
                <w:szCs w:val="24"/>
              </w:rPr>
              <w:t>Действующая норма абзаца 3 пункта 3.1 по указанным причинам также противоречит пункту 13 части 2 статьи 45.1 Федерального закона «Об общих принципах организации местного самоуправления в Российской Федерации», о чем ранее было направлено соответствующее обращение Уполномоченного.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w w:val="95"/>
                <w:sz w:val="24"/>
                <w:szCs w:val="24"/>
              </w:rPr>
              <w:t>Кроме того, формулировка «при использовании преимущественно собственниками помещений двух и более многоквартирных домов» носит оценочный характер, что согласно Методики проведения антикоррупционнной экспертизы, утвержденной постановлением Правительства Российской Федерации от 26.02.2006 № 96, является коррупциогенным фактором, выражающимся в выборочном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 и наличии завышенных требований к лицу, предъявляемых для реализации принадлежащего ему права , - установление неопределенных, трудновыполнимых и обременительных требований к гражданам и организациям.</w:t>
            </w:r>
          </w:p>
        </w:tc>
        <w:tc>
          <w:tcPr>
            <w:tcW w:w="4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/>
              </w:rPr>
            </w:pPr>
            <w:r>
              <w:rPr>
                <w:b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>Отклонено.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>В соответствии с частью 2 статьи 45.1 Ф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w w:val="95"/>
                <w:kern w:val="0"/>
                <w:sz w:val="24"/>
                <w:szCs w:val="24"/>
                <w:lang w:val="ru-RU" w:bidi="ar-SA"/>
              </w:rPr>
              <w:t xml:space="preserve">едерального закона от </w:t>
            </w:r>
            <w:r>
              <w:rPr>
                <w:rStyle w:val="Style19"/>
                <w:b w:val="false"/>
                <w:i w:val="false"/>
                <w:caps w:val="false"/>
                <w:smallCaps w:val="false"/>
                <w:color w:val="000000"/>
                <w:spacing w:val="0"/>
                <w:w w:val="95"/>
                <w:kern w:val="0"/>
                <w:sz w:val="24"/>
                <w:szCs w:val="24"/>
                <w:lang w:val="ru-RU" w:bidi="ar-SA"/>
              </w:rPr>
              <w:t>от 06.10.2003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w w:val="95"/>
                <w:kern w:val="0"/>
                <w:sz w:val="24"/>
                <w:szCs w:val="24"/>
                <w:lang w:val="ru-RU" w:bidi="ar-SA"/>
              </w:rPr>
              <w:t xml:space="preserve">       № 131-ФЗ «Об общих принципах организации местного самоуправления в Российской Федерации» Правила благоустройства территории муниципального образования могут регулировать вопросы в том числе: внешнего вида фасадов и ограждающих конструкций зданий, строений, сооружений (п.2); размещения и содержания детских и спортивных площадок, площадок для выгула животных, парковок (парковочных мест), малых архитектурных форм (п.7); порядка участия граждан и организаций в реализации мероприятий по благоустройству территории муниципального образования (п.16).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 xml:space="preserve">Как указано выше в </w:t>
            </w:r>
            <w:r>
              <w:rPr>
                <w:rStyle w:val="Style19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 xml:space="preserve">СП 476.1325800.2020 придомовая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>территория может быть как частью участка многоквартирного жилого дома, так и группы домов и примыкать к жилым зданиям, находящимся в преимущественном пользовании жителей домов, предназначенная для обеспечения бытовых нужд и досуга жителей дома (домов).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>Согласно разъяснениям, содержащимся в пункте 67 постановления Пленума Верховного Суда Российской Федерации и Пленума Высшего Арбитражного Суда Российской Федерации от 29.04.2010        № 10/22 «О некоторых вопросах, возникающих в судебной практике при разрешении споров, связанных с защитой права собственности и других вещных прав», н</w:t>
            </w:r>
            <w:r>
              <w:rPr/>
              <w:t>аличие государственного кадастрового учета земельного участка под многоквартирным домом и прилегающей к нему территории имеет значение для определения собственника земельного участка, но не влияет на обязанность управляющей организации по содержанию, уборке и санитарно-гигиенической очистке придомовой территории многоквартирного дома (земельного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дома).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>Таким образом, само по себе отсутствие земельного участка на кадастровом учете не освобождает управляющую организацию от исполнения обязательных требований пункта 3.6 Правил и норм технической эксплуатации жилищного фонда, утвержденных постановлением Госстроя Российской Федерации от 27.09.2003 № 170, пунктами 24, 25 Минимального перечня услуг и работ, необходимых для обеспечения надлежащего содержания общего имущества в многоквартирном доме, и порядке их оказания и выполнения, утвержденного постановлением Правительства Российской Федерации от 03.04.2013 № 290, подпункт «ж» пункта 11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утвержденных постановлением Правительства Российской Федерации от 13.08.2006         № 491.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Autospacing="0" w:before="0" w:afterAutospacing="0" w:after="0"/>
              <w:ind w:left="0" w:right="0" w:hanging="0"/>
              <w:jc w:val="both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>Аналогичный подход изложен в постановлении Арбитражного суда Центрального округа от 26.07.2017 по делу А48-6826/2016 и определении Верховного Суда Российской Федерации от 04.12.2017 № 310-КГ17-17665.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 xml:space="preserve">Таким образом, подпункт «б» пункта 1.3 Проекта оговаривает случаи содержания объектов, расположенных на придомовой территории группы домов, а также в случае осуществления управления данными многоквартирными домами разными управляющими организациями или в случае использования разных способов управления на таких домах. (Например в случае размещения детской площадки на совместной придомовой территории). Данной нормой собственникам помещений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>или уполномоченным ими лицам (управляющим организациям)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 xml:space="preserve"> предлагается самостоятельно определить 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>порядок содержания совместных объектов  соглашением.</w:t>
            </w:r>
          </w:p>
          <w:p>
            <w:pPr>
              <w:pStyle w:val="ListParagraph"/>
              <w:widowControl w:val="false"/>
              <w:shd w:val="clear" w:fill="FFFFFF"/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Autospacing="0" w:before="0" w:afterAutospacing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 xml:space="preserve">Формулировка «при использовании преимущественно собственниками помещений двух и более многоквартирных домов» по смыслу идентична формулировке из </w:t>
            </w:r>
            <w:r>
              <w:rPr>
                <w:rStyle w:val="Style1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95"/>
                <w:kern w:val="0"/>
                <w:sz w:val="24"/>
                <w:szCs w:val="24"/>
                <w:u w:val="none"/>
                <w:effect w:val="none"/>
                <w:shd w:fill="FFFFFF" w:val="clear"/>
                <w:lang w:val="ru-RU" w:bidi="ar-SA"/>
              </w:rPr>
              <w:t>СП 476.1325800.2020.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310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Употребление по тексту понятие «придомовая территория» в контексте участия в содержании прилегающих территорий не соответствует предмету правил благоустройства (статья 45.1 Федерального закона «Об общих принципах организации местного самоуправления в Российской Федерации»).</w:t>
            </w:r>
          </w:p>
        </w:tc>
        <w:tc>
          <w:tcPr>
            <w:tcW w:w="443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b/>
                <w:b/>
              </w:rPr>
            </w:pPr>
            <w:r>
              <w:rPr>
                <w:b/>
              </w:rPr>
              <w:t>Отклонено.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Как указано выше понятие «придомовая территория» определено федеральным законодательством.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 тексту Правил благоустройства территорий муниципального образования «Город Калуга», утвержденных решением Городской Думы города Калуги от 29.06.2022 № 149 (далее - Правила благоустройства) и данного Проекта идет разграничение придомовой и прилегающей территории.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При этом, как указано в постановление Конституционного Суда РФ от 19.04.2021 № 14-П «По делу о проверке конституционности пункта 2 статьи 209 Гражданского кодекса Российской Федерации, части 7 статьи 10 Федерального закона «Об основах государственного регулирования торговой деятельности в Российской Федерации», а также абзаца двадцать второго части 1 статьи 2, пункта 25 части 1 статьи 16 и пункта 3 части 2 статьи 45.1 Федерального закона «Об общих принципах организации местного самоуправления в Российской Федерации» в связи с жалобами граждан Г.С. Дадашова, И.Н. Касимова и других» </w:t>
            </w:r>
            <w:r>
              <w:rPr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допускается воспроизводить в правилах благоустройства положения обязательных требований, предусмотренных законодательством Российской Федерации, сохраняющих свою юридическую силу, при условии, что это не ведет к установлению запретов и ограничений сверх предусмотренных данными обязательными требованиями.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bidi w:val="0"/>
              <w:snapToGrid w:val="false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Также согласно пункту 21 Методических рекомендаций по проведению правовой экспертизы нормативных правовых актов субъектов Российской Федерации, утвержденных приказом Минюста России от 31.05.2012 № 87, воспроизведение в правовом акте положений нормативного правового акта, имеющего большую юридическую силу, не свидетельствует о незаконности этого акта. Аналогичная позиция указана в пункте 28 постановления Пленума Верховного Суда Российской Федерации от 25.12.2018 № 50 «О практике рассмотрения судами дел об оспаривании нормативных правовых актов и актов, содержащих разъяснения законодательства и обладающих нормативными свойствами».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310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Пункт 1.5 Проекта необходимо привести в соответствии с положениями подпункта 5 пункта 3.3 Порядка определения границ прилегающих территорий, установленного Законом Калужской области от 22 июня 2018 года № 362-ОЗ «О благоустройстве территорий муниципальных образований Калужской области».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Кроме того, определение внешней границы в зависимости от «внешней части границы прилегающей территории другого объекта» некорректно, т.к. внешняя часть границы другого объекта будет определяться в этом же порядке, в связи с чем создается неопределенность. Предлагается исключить норму в этой части с учетом абзаца 2 пункта 3.4. Кроме того, требуется исключить внутреннюю коллизию между пунктами 3.3 и 3.4 в части определения границ. Т.е. необходимо определить случаи применения пункта 3.4 — если внешняя часть границ прилегающей территории выходит за пределы соответствующих территорий. В ином случае возможен произвольный выбор между пунктами 3.3 и 3.4 (в случае применения пункта 3.4 без указанного условия, возможны злоупотребления, при которых не будут учитываться расстояния, определенные пунктом 3.3).</w:t>
            </w:r>
          </w:p>
        </w:tc>
        <w:tc>
          <w:tcPr>
            <w:tcW w:w="443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b/>
                <w:b/>
              </w:rPr>
            </w:pPr>
            <w:r>
              <w:rPr>
                <w:b/>
              </w:rPr>
              <w:t>Удовлетворено.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Внести изменения в пункты 1.4, 1.5 Проекта, изложив пункты 3.3, 3.4 Правил благоустройства в новой редакции: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«3.3. Границы прилегающих территорий определяются в метрах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 периметру от границы земельного участка, если такой земельный участок образован и поставлен на государственный кадастровый учет, или от здания, строения, сооружения в случае если земельный участок не образован, до внешней границы прилегающей территории, определенной согласно Закону Калужской области «О благоустройстве территорий муниципальных образований Калужской области» в зависимости от вида разрешенного использования земельного участка и (или) фактического назначения здания, строения, сооружения с учетом пункта 3.4 настоящих Правил в следующих размерах: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для индивидуальных жилых домов - 15 мет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ров;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б) для многоквартирных домов в зависимости от высотности дома: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до 4 этажей составляет 15 метров;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от 5 до 8 этажей составляет 20 метров;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от 9 этажей и выше составляет 25 метров.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случае если дом имеет переменную этажность, за отчет берется наибольшая высотность здания;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в) для рынков - 20 метров;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г)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для контейнерных площадок - 5 метров (в случае, если земельный участок, на котором расположена контейнерная площадка, не предоставлен третьим лицам);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д)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для отдельно стоящих информационных и рекламных конструкций - 5 метров по периметру основания конструкции;</w:t>
            </w:r>
          </w:p>
          <w:p>
            <w:pPr>
              <w:pStyle w:val="Style22"/>
              <w:widowControl w:val="false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 xml:space="preserve">е) для нестационарных торговых объектов, нестационарных объектов по оказанию бытовых и иных услуг (в том числе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</w:rPr>
              <w:t>расположенных на посадочных площадках общественного транспорта)</w:t>
            </w:r>
            <w:r>
              <w:rPr>
                <w:rFonts w:cs="Times New Roman"/>
                <w:sz w:val="24"/>
                <w:szCs w:val="24"/>
                <w:shd w:fill="auto" w:val="clear"/>
              </w:rPr>
              <w:t>, временных сооружений общественного питания (летние кафе), мест парковки (проката) средств индивидуальной мобильности (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</w:rPr>
              <w:t xml:space="preserve">понятие «Средства индивидуальной мобильности» используется в значении, установленном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shd w:fill="auto" w:val="clear"/>
              </w:rPr>
              <w:t>Правилами дорожного движения Российской Федерации, утвержденными Поста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</w:rPr>
              <w:t>новлением Правительства Российской Федерации от 23.10.1993 № 1090)</w:t>
            </w:r>
            <w:r>
              <w:rPr>
                <w:rFonts w:cs="Times New Roman"/>
                <w:sz w:val="24"/>
                <w:szCs w:val="24"/>
                <w:shd w:fill="auto" w:val="clear"/>
              </w:rPr>
              <w:t>, велосипедов и иного спортивного оборудования: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площадь которых составляет менее 50 кв.м. - 5 м,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площадь которых составляет 50 кв.м и более - 10 м;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ж) для индивидуальных гаражей, не являющихся капитальными сооружениями - 5 метров;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з) для гаражно-строительных кооперативов, садоводческих, дачных,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огороднических товариществ, автостоянок, автогазозаправочных станций, автозаправочных комплексов и предприятий по продаже, обслуживанию и ре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монту автотранспорта - 30 метров;</w:t>
            </w:r>
          </w:p>
          <w:p>
            <w:pPr>
              <w:pStyle w:val="NoSpacing"/>
              <w:widowControl w:val="false"/>
              <w:bidi w:val="0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для наземных частей линейных объектов инженерной инфраструктуры - в</w:t>
            </w:r>
            <w:r>
              <w:rPr>
                <w:rFonts w:cs="Times New Roman" w:ascii="Times New Roman" w:hAnsi="Times New Roman"/>
                <w:b w:val="false"/>
                <w:i w:val="false"/>
                <w:iCs/>
                <w:strike w:val="false"/>
                <w:dstrike w:val="false"/>
                <w:sz w:val="24"/>
                <w:szCs w:val="24"/>
                <w:u w:val="none"/>
              </w:rPr>
              <w:t xml:space="preserve"> границах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охранной зоны линейного объекта;</w:t>
            </w:r>
          </w:p>
          <w:p>
            <w:pPr>
              <w:pStyle w:val="NoSpacing"/>
              <w:widowControl w:val="false"/>
              <w:shd w:val="clear" w:fill="FFFFFF"/>
              <w:suppressAutoHyphens w:val="true"/>
              <w:bidi w:val="0"/>
              <w:spacing w:lineRule="auto" w:line="240" w:beforeAutospacing="0" w:before="0" w:afterAutospacing="0" w:after="0"/>
              <w:ind w:left="0" w:right="0" w:firstLine="709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к) в отношении иных зданий, строений, сооружений, земельных участков - 25 метров.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3.4. Внешняя граница прилегающих территорий ограничивается ближайшим к зданию, строению, сооружению, земельному участку краем проезжей части автомобильной дороги общего пользования, границей охранной, санитарно-защитной зоны, зоной охраны объектов культурного наследия и иной зоной, установленной в соответствии с законодательством Российской Федерации.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bidi w:val="0"/>
              <w:spacing w:lineRule="auto" w:line="240" w:beforeAutospacing="0" w:before="0" w:afterAutospacing="0" w:after="0"/>
              <w:ind w:left="0" w:right="0" w:firstLine="709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В случае наложения прилегающих территорий  зданий, строений, сооружений, земельных участков в случае, если такой земельный участок образован, внешняя граница данных прилегающих территорий определяется исходя из принципа равноудаленности границ прилегающих территорий в пределах зоны наложения.»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310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С учетом пунктов 8.2, 10 Правил благоустройства в       пункте 1.25 Проекта не ясна функция уполномоченного органа по координации сроков. Неопределенность в регламентации выполнении указанной функции может создавать условия для злоупотреблений и также является коррупциогенным фактором.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Аналогичное замечание — относительно избыточности процедуры «согласования методов ведения земляных работ» при наличии требования о получении специального разрешения на право производства земляных работ (ордера).</w:t>
            </w:r>
          </w:p>
        </w:tc>
        <w:tc>
          <w:tcPr>
            <w:tcW w:w="443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Отклонено.</w:t>
            </w:r>
          </w:p>
          <w:p>
            <w:pPr>
              <w:pStyle w:val="Pboth"/>
              <w:widowControl w:val="false"/>
              <w:shd w:val="clear" w:fill="FFFFFF"/>
              <w:suppressAutoHyphens w:val="true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Специалист уполномоченного органа при оказании муниципальной услуги по подготовке и выдаче специального разрешения на право производства земляных работ (ордера), обладая служебной информацией, корректирует и обговаривает с заявителем (при необходимости) сроки производства земляных работ, указанных в заявлении на оказание муниципальной услуги. Такая необходимость может возникнуть например в случае проведения развлекательных мероприятий, ярмарок, шествий выпускников, проведения экзаменов в общеобразовательных школах по адресу работ, проведение ранее одобренных земляных работ по планируемой территории.</w:t>
            </w:r>
          </w:p>
          <w:p>
            <w:pPr>
              <w:pStyle w:val="ConsPlusNormal"/>
              <w:widowControl w:val="false"/>
              <w:shd w:val="clear" w:fill="FFFFFF"/>
              <w:suppressAutoHyphens w:val="true"/>
              <w:bidi w:val="0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Сроки осуществления земляных работ определяются исходя из объема, вида, способа производства работ, в том числе исходя из технологических особенностей производства работ, а также с учетом положений, установленных настоящим пунктом (пунктом 10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Правил благоустройства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).</w:t>
            </w:r>
          </w:p>
          <w:p>
            <w:pPr>
              <w:pStyle w:val="ConsPlus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Организации, осуществляющие производство работ по прокладке (ремонту) подземных коммуникаций, связанных с пересечением проезжих частей улиц и тротуаров, а также земельных участков, содержащих элементы благоустройства (газоны, зеленые насаждения и т.п.), обязаны использовать бестраншейные технологии производства работ. В исключительных случаях (при невозможности применения бестраншейных технологий на отдельных участках трасс коммуникаций) выполнение работ производится иными способами, согласованными с уполномоченным органом Городской Управы города Калуги в сфере городского хозяйства.</w:t>
            </w:r>
          </w:p>
          <w:p>
            <w:pPr>
              <w:pStyle w:val="ConsPlusNormal"/>
              <w:widowControl w:val="false"/>
              <w:shd w:val="clear" w:fill="FFFFFF"/>
              <w:suppressAutoHyphens w:val="true"/>
              <w:bidi w:val="0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 случае невозможности применения бестраншейных технологий проведения земляных работ организация, планирующая выполнять данные работы, в составе заявки на выдачу ордера обязана предоставить мотивированное обоснование, а также письменное заключение от запрещающих работы служб, о невозможности производства данных работ с применения бестраншейных технологий (п.11.1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Правил благоустройства).</w:t>
            </w:r>
          </w:p>
          <w:p>
            <w:pPr>
              <w:pStyle w:val="ConsPlusNormal"/>
              <w:widowControl w:val="false"/>
              <w:shd w:val="clear" w:fill="FFFFFF"/>
              <w:suppressAutoHyphens w:val="true"/>
              <w:bidi w:val="0"/>
              <w:spacing w:beforeAutospacing="0" w:before="0" w:afterAutospacing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Тем самым обеспечивается  согласование методов ведения земляных работ: бестраншейный или открытый способ прокладки инженерных сетей.</w:t>
            </w:r>
          </w:p>
        </w:tc>
      </w:tr>
      <w:tr>
        <w:trPr/>
        <w:tc>
          <w:tcPr>
            <w:tcW w:w="4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310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Пункт 1.48 Проекта предусматривает требование об обращении с «заявлением об установке информационной конструкции», что является некорректным, т.к. заявление об установке должно содержать просьбу установить информационную конструкцию - решения вопроса, который не входит в полномочия органов местного самоуправления. Не обозначены принимаемые решения по результатам рассмотрения заявления.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614" w:leader="none"/>
              </w:tabs>
              <w:suppressAutoHyphens w:val="true"/>
              <w:bidi w:val="0"/>
              <w:spacing w:lineRule="auto" w:line="264" w:before="0" w:after="0"/>
              <w:ind w:left="0" w:right="0" w:hanging="0"/>
              <w:contextualSpacing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Кроме того, получение разрешительной документации на установление информационной конструкции в два этапа: заявление на установку и согласование дизайн-проекта, является избыточным. Считаю, что согласование может быть проведено в рамках процедуры рассмотрения заявления.</w:t>
            </w:r>
          </w:p>
        </w:tc>
        <w:tc>
          <w:tcPr>
            <w:tcW w:w="4435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/>
                <w:b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Отклонено.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Название муниципальной услуги «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Установка информационной вывески, согласование дизайн-проекта размеще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auto" w:val="clear"/>
              </w:rPr>
              <w:t>ния вывески»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</w:rPr>
              <w:t xml:space="preserve"> определено в пункте 204 </w:t>
            </w:r>
            <w:r>
              <w:fldChar w:fldCharType="begin"/>
            </w:r>
            <w:r>
              <w:rPr>
                <w:smallCaps w:val="false"/>
                <w:caps w:val="false"/>
                <w:sz w:val="24"/>
                <w:spacing w:val="0"/>
                <w:i w:val="false"/>
                <w:u w:val="none"/>
                <w:b w:val="false"/>
                <w:shd w:fill="FFFFFF" w:val="clear"/>
                <w:szCs w:val="24"/>
                <w:bCs w:val="false"/>
                <w:rFonts w:ascii="Times New Roman" w:hAnsi="Times New Roman"/>
                <w:color w:val="000000"/>
              </w:rPr>
              <w:instrText xml:space="preserve"> HYPERLINK "https://docs.cntd.ru/document/561260507" \l "6540IN"</w:instrText>
            </w:r>
            <w:r>
              <w:rPr>
                <w:smallCaps w:val="false"/>
                <w:caps w:val="false"/>
                <w:sz w:val="24"/>
                <w:spacing w:val="0"/>
                <w:i w:val="false"/>
                <w:u w:val="none"/>
                <w:b w:val="false"/>
                <w:shd w:fill="FFFFFF" w:val="clear"/>
                <w:szCs w:val="24"/>
                <w:bCs w:val="false"/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FF" w:val="clear"/>
              </w:rPr>
              <w:t>перечн</w:t>
            </w:r>
            <w:r>
              <w:rPr>
                <w:smallCaps w:val="false"/>
                <w:caps w:val="false"/>
                <w:sz w:val="24"/>
                <w:spacing w:val="0"/>
                <w:i w:val="false"/>
                <w:u w:val="none"/>
                <w:b w:val="false"/>
                <w:shd w:fill="FFFFFF" w:val="clear"/>
                <w:szCs w:val="24"/>
                <w:bCs w:val="false"/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FF" w:val="clear"/>
              </w:rPr>
              <w:t>я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</w:rPr>
              <w:t>, утвержденного Распоряжением Правительст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ва Российской Федерации от 18.09.2019             № 2113-р.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Результатом оказания муниципальной услуги «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Установка информационной вывески, согласование дизайн-проекта размещения вывески в муниципальном образовании «Город Калуга» в соответствии с административным регламентом, утвержденным постановлением Городской Управы города Калуги от 01.11.2022 № 396-п (далее - административный регламент), является уведомление о согласовании установки информационной вывески, дизайн-проекта размещения вывески, оформленное в виде письма управления архитектуры, градостроительства и земельных отношений города Калуги.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Образец заявления об установке информационной вывески, согласовании дизайн-проекта размещения вывески указан в приложении 1 к административному регламенту предоставления муниципальной услуги.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9440" w:type="dxa"/>
        <w:jc w:val="left"/>
        <w:tblInd w:w="15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6429"/>
        <w:gridCol w:w="3010"/>
      </w:tblGrid>
      <w:tr>
        <w:trPr>
          <w:trHeight w:val="414" w:hRule="atLeast"/>
        </w:trPr>
        <w:tc>
          <w:tcPr>
            <w:tcW w:w="6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Western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Western"/>
              <w:widowControl w:val="false"/>
              <w:snapToGrid w:val="false"/>
              <w:spacing w:lineRule="atLeast" w:line="15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>
          <w:trHeight w:val="414" w:hRule="atLeast"/>
        </w:trPr>
        <w:tc>
          <w:tcPr>
            <w:tcW w:w="6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Western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414" w:hRule="atLeast"/>
        </w:trPr>
        <w:tc>
          <w:tcPr>
            <w:tcW w:w="6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Western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6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Western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</w:tbl>
    <w:p>
      <w:pPr>
        <w:pStyle w:val="Normal"/>
        <w:spacing w:before="0" w:after="0"/>
        <w:ind w:left="-113" w:hanging="0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-113" w:hanging="0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9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08"/>
        <w:gridCol w:w="242"/>
        <w:gridCol w:w="1700"/>
        <w:gridCol w:w="230"/>
        <w:gridCol w:w="2229"/>
      </w:tblGrid>
      <w:tr>
        <w:trPr/>
        <w:tc>
          <w:tcPr>
            <w:tcW w:w="4808" w:type="dxa"/>
            <w:tcBorders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-113" w:hanging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 отдела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  <w:tc>
          <w:tcPr>
            <w:tcW w:w="242" w:type="dxa"/>
            <w:tcBorders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ind w:left="-113" w:hanging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ind w:left="-113" w:hanging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" w:type="dxa"/>
            <w:tcBorders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ind w:left="-113" w:hanging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Тимофеев С.В.</w:t>
            </w:r>
          </w:p>
        </w:tc>
      </w:tr>
      <w:tr>
        <w:trPr/>
        <w:tc>
          <w:tcPr>
            <w:tcW w:w="4808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>Руководитель ответственного подразделения органа-разработчика</w:t>
            </w:r>
          </w:p>
        </w:tc>
        <w:tc>
          <w:tcPr>
            <w:tcW w:w="242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30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>Ф.И.О. руководителя</w:t>
            </w:r>
          </w:p>
        </w:tc>
      </w:tr>
      <w:tr>
        <w:trPr/>
        <w:tc>
          <w:tcPr>
            <w:tcW w:w="4808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2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08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textAlignment w:val="baselin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«01» апреля 2025 г.</w:t>
            </w:r>
          </w:p>
        </w:tc>
        <w:tc>
          <w:tcPr>
            <w:tcW w:w="242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>
              <w:top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701" w:right="709" w:gutter="0" w:header="709" w:top="1134" w:footer="0" w:bottom="1134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PS-BoldItalicMT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right"/>
      <w:rPr/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10</w:t>
    </w:r>
    <w:r>
      <w:rPr>
        <w:sz w:val="24"/>
        <w:szCs w:val="24"/>
        <w:rFonts w:cs="Times New Roman" w:ascii="Times New Roman" w:hAnsi="Times New Roman"/>
      </w:rPr>
      <w:fldChar w:fldCharType="end"/>
    </w:r>
  </w:p>
  <w:p>
    <w:pPr>
      <w:pStyle w:val="Style28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3fe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3"/>
    <w:uiPriority w:val="9"/>
    <w:qFormat/>
    <w:rsid w:val="002c170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qFormat/>
    <w:rsid w:val="00994dd4"/>
    <w:rPr>
      <w:sz w:val="26"/>
      <w:szCs w:val="26"/>
      <w:lang w:bidi="ar-SA"/>
    </w:rPr>
  </w:style>
  <w:style w:type="character" w:styleId="Style14" w:customStyle="1">
    <w:name w:val="Основной текст_"/>
    <w:link w:val="3"/>
    <w:qFormat/>
    <w:rsid w:val="00af4d64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1" w:customStyle="1">
    <w:name w:val="Основной текст1"/>
    <w:qFormat/>
    <w:rsid w:val="00af4d64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6"/>
      <w:szCs w:val="26"/>
      <w:u w:val="single"/>
    </w:rPr>
  </w:style>
  <w:style w:type="character" w:styleId="4" w:customStyle="1">
    <w:name w:val="Основной текст (4)_"/>
    <w:link w:val="41"/>
    <w:qFormat/>
    <w:rsid w:val="00af4d64"/>
    <w:rPr>
      <w:rFonts w:ascii="Times New Roman" w:hAnsi="Times New Roman" w:eastAsia="Times New Roman" w:cs="Times New Roman"/>
      <w:sz w:val="19"/>
      <w:szCs w:val="19"/>
      <w:shd w:fill="FFFFFF" w:val="clear"/>
    </w:rPr>
  </w:style>
  <w:style w:type="character" w:styleId="12" w:customStyle="1">
    <w:name w:val="Основной текст Знак1"/>
    <w:basedOn w:val="DefaultParagraphFont"/>
    <w:qFormat/>
    <w:rsid w:val="00037367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Fontstyle01" w:customStyle="1">
    <w:name w:val="fontstyle01"/>
    <w:basedOn w:val="DefaultParagraphFont"/>
    <w:qFormat/>
    <w:rsid w:val="00a60871"/>
    <w:rPr>
      <w:rFonts w:ascii="TimesNewRomanPS-BoldItalicMT" w:hAnsi="TimesNewRomanPS-BoldItalicMT"/>
      <w:b/>
      <w:bCs/>
      <w:i/>
      <w:iCs/>
      <w:color w:val="000000"/>
      <w:sz w:val="20"/>
      <w:szCs w:val="20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60871"/>
    <w:rPr/>
  </w:style>
  <w:style w:type="character" w:styleId="Style16" w:customStyle="1">
    <w:name w:val="Нижний колонтитул Знак"/>
    <w:basedOn w:val="DefaultParagraphFont"/>
    <w:uiPriority w:val="99"/>
    <w:qFormat/>
    <w:rsid w:val="00a60871"/>
    <w:rPr/>
  </w:style>
  <w:style w:type="character" w:styleId="2" w:customStyle="1">
    <w:name w:val="Основной текст2"/>
    <w:basedOn w:val="Style14"/>
    <w:qFormat/>
    <w:rsid w:val="00ea5382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72e86"/>
    <w:rPr>
      <w:rFonts w:ascii="Tahoma" w:hAnsi="Tahoma" w:cs="Tahoma"/>
      <w:sz w:val="16"/>
      <w:szCs w:val="16"/>
    </w:rPr>
  </w:style>
  <w:style w:type="character" w:styleId="Style18">
    <w:name w:val="Интернет-ссылка"/>
    <w:basedOn w:val="DefaultParagraphFont"/>
    <w:uiPriority w:val="99"/>
    <w:semiHidden/>
    <w:unhideWhenUsed/>
    <w:rsid w:val="002863e2"/>
    <w:rPr>
      <w:color w:val="0000FF"/>
      <w:u w:val="single"/>
    </w:rPr>
  </w:style>
  <w:style w:type="character" w:styleId="Style19" w:customStyle="1">
    <w:name w:val="Выделение жирным"/>
    <w:qFormat/>
    <w:rsid w:val="008820d4"/>
    <w:rPr>
      <w:b/>
      <w:bCs/>
    </w:rPr>
  </w:style>
  <w:style w:type="character" w:styleId="Style20" w:customStyle="1">
    <w:name w:val="Символ нумерации"/>
    <w:qFormat/>
    <w:rsid w:val="00244cc9"/>
    <w:rPr/>
  </w:style>
  <w:style w:type="character" w:styleId="13" w:customStyle="1">
    <w:name w:val="Заголовок 1 Знак"/>
    <w:basedOn w:val="DefaultParagraphFont"/>
    <w:uiPriority w:val="9"/>
    <w:qFormat/>
    <w:rsid w:val="002c170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14" w:customStyle="1">
    <w:name w:val="Верхний колонтитул Знак1"/>
    <w:basedOn w:val="DefaultParagraphFont"/>
    <w:uiPriority w:val="99"/>
    <w:semiHidden/>
    <w:qFormat/>
    <w:rsid w:val="005e43a7"/>
    <w:rPr/>
  </w:style>
  <w:style w:type="character" w:styleId="15" w:customStyle="1">
    <w:name w:val="Нижний колонтитул Знак1"/>
    <w:basedOn w:val="DefaultParagraphFont"/>
    <w:uiPriority w:val="99"/>
    <w:semiHidden/>
    <w:qFormat/>
    <w:rsid w:val="005e43a7"/>
    <w:rPr/>
  </w:style>
  <w:style w:type="paragraph" w:styleId="Style21" w:customStyle="1">
    <w:name w:val="Заголовок"/>
    <w:basedOn w:val="Normal"/>
    <w:next w:val="Style22"/>
    <w:qFormat/>
    <w:rsid w:val="007b3fe5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rsid w:val="00037367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23">
    <w:name w:val="List"/>
    <w:basedOn w:val="Style22"/>
    <w:rsid w:val="007b3fe5"/>
    <w:pPr/>
    <w:rPr>
      <w:rFonts w:cs="Mangal"/>
    </w:rPr>
  </w:style>
  <w:style w:type="paragraph" w:styleId="Style24" w:customStyle="1">
    <w:name w:val="Caption"/>
    <w:basedOn w:val="Normal"/>
    <w:qFormat/>
    <w:rsid w:val="007b3f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Indexheading">
    <w:name w:val="index heading"/>
    <w:basedOn w:val="Normal"/>
    <w:qFormat/>
    <w:rsid w:val="007b3fe5"/>
    <w:pPr>
      <w:suppressLineNumbers/>
    </w:pPr>
    <w:rPr>
      <w:rFonts w:cs="Mangal"/>
    </w:rPr>
  </w:style>
  <w:style w:type="paragraph" w:styleId="3" w:customStyle="1">
    <w:name w:val="Основной текст3"/>
    <w:basedOn w:val="Normal"/>
    <w:link w:val="Style14"/>
    <w:qFormat/>
    <w:rsid w:val="00af4d64"/>
    <w:pPr>
      <w:shd w:val="clear" w:color="auto" w:fill="FFFFFF"/>
      <w:spacing w:lineRule="exact" w:line="343" w:before="360" w:after="0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41" w:customStyle="1">
    <w:name w:val="Основной текст (4)"/>
    <w:basedOn w:val="Normal"/>
    <w:link w:val="4"/>
    <w:qFormat/>
    <w:rsid w:val="00af4d64"/>
    <w:pPr>
      <w:shd w:val="clear" w:color="auto" w:fill="FFFFFF"/>
      <w:spacing w:lineRule="exact" w:line="245" w:before="0" w:after="0"/>
    </w:pPr>
    <w:rPr>
      <w:rFonts w:ascii="Times New Roman" w:hAnsi="Times New Roman" w:eastAsia="Times New Roman" w:cs="Times New Roman"/>
      <w:sz w:val="19"/>
      <w:szCs w:val="19"/>
    </w:rPr>
  </w:style>
  <w:style w:type="paragraph" w:styleId="Western" w:customStyle="1">
    <w:name w:val="western"/>
    <w:basedOn w:val="Normal"/>
    <w:qFormat/>
    <w:rsid w:val="00a60871"/>
    <w:pPr>
      <w:spacing w:lineRule="auto" w:line="288" w:before="100" w:after="142"/>
    </w:pPr>
    <w:rPr>
      <w:rFonts w:ascii="Calibri" w:hAnsi="Calibri" w:eastAsia="Times New Roman" w:cs="Calibri"/>
      <w:lang w:eastAsia="zh-CN"/>
    </w:rPr>
  </w:style>
  <w:style w:type="paragraph" w:styleId="Style26" w:customStyle="1">
    <w:name w:val="Верхний и нижний колонтитулы"/>
    <w:basedOn w:val="Normal"/>
    <w:qFormat/>
    <w:rsid w:val="007b3fe5"/>
    <w:pPr/>
    <w:rPr/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link w:val="14"/>
    <w:uiPriority w:val="99"/>
    <w:semiHidden/>
    <w:unhideWhenUsed/>
    <w:rsid w:val="005e43a7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15"/>
    <w:uiPriority w:val="99"/>
    <w:semiHidden/>
    <w:unhideWhenUsed/>
    <w:rsid w:val="005e43a7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e14c5b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e72e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2e15fe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zh-CN" w:bidi="ar-SA"/>
    </w:rPr>
  </w:style>
  <w:style w:type="paragraph" w:styleId="NormalWeb">
    <w:name w:val="Normal (Web)"/>
    <w:basedOn w:val="Normal"/>
    <w:uiPriority w:val="99"/>
    <w:unhideWhenUsed/>
    <w:qFormat/>
    <w:rsid w:val="000f3268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0a3cce"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" w:cs="Arial Unicode MS"/>
      <w:color w:val="00000A"/>
      <w:kern w:val="0"/>
      <w:sz w:val="20"/>
      <w:szCs w:val="24"/>
      <w:lang w:val="ru-RU" w:eastAsia="zh-CN" w:bidi="hi-IN"/>
    </w:rPr>
  </w:style>
  <w:style w:type="paragraph" w:styleId="Pboth" w:customStyle="1">
    <w:name w:val="pboth"/>
    <w:basedOn w:val="Normal"/>
    <w:qFormat/>
    <w:rsid w:val="002863e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994d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5DC3E-7B6A-4F28-985B-AA3933F9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Application>LibreOffice/7.3.4.2$Windows_X86_64 LibreOffice_project/728fec16bd5f605073805c3c9e7c4212a0120dc5</Application>
  <AppVersion>15.0000</AppVersion>
  <Pages>10</Pages>
  <Words>2444</Words>
  <Characters>17843</Characters>
  <CharactersWithSpaces>20240</CharactersWithSpaces>
  <Paragraphs>95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2025-04-01T16:19:00Z</dcterms:created>
  <dc:creator>Киселев Андрей Петрович</dc:creator>
  <dc:description/>
  <dc:language>ru-RU</dc:language>
  <cp:lastModifiedBy/>
  <cp:lastPrinted>2024-07-22T15:26:41Z</cp:lastPrinted>
  <dcterms:modified xsi:type="dcterms:W3CDTF">2025-04-10T16:26:22Z</dcterms:modified>
  <cp:revision>62</cp:revision>
  <dc:subject/>
  <dc:title>Постановление Конституционного Суда РФ от 19.04.2021 N 14-П"По делу о проверке конституционности пункта 2 статьи 209 Гражданского кодекса Российской Федерации, части 7 статьи 10 Федерального закона "Об основах государственного регулирования торговой деятельности в Российской Федерации", а также абзаца двадцать второго части 1 статьи 2, пункта 25 части 1 статьи 16 и пункта 3 части 2 статьи 45.1 Федерального закона "Об общих принципах организации местного самоуправления в Российской Федерации" в связи с жало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