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21"/>
        <w:tabs>
          <w:tab w:val="clear" w:pos="720"/>
          <w:tab w:val="left" w:pos="3135" w:leader="none"/>
        </w:tabs>
        <w:spacing w:before="0" w:after="0"/>
        <w:contextualSpacing/>
        <w:jc w:val="center"/>
        <w:rPr/>
      </w:pPr>
      <w:r>
        <w:drawing>
          <wp:anchor distT="0" distB="0" distL="0" distR="0" simplePos="0" relativeHeight="2" behindDoc="0" locked="0" layoutInCell="0" allowOverlap="1">
            <wp:simplePos x="0" y="0"/>
            <wp:positionH relativeFrom="page">
              <wp:posOffset>3733165</wp:posOffset>
            </wp:positionH>
            <wp:positionV relativeFrom="page">
              <wp:posOffset>313055</wp:posOffset>
            </wp:positionV>
            <wp:extent cx="360045" cy="467995"/>
            <wp:effectExtent l="0" t="0" r="0" b="0"/>
            <wp:wrapSquare wrapText="larges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718" t="-631" r="-751" b="-6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  <w:szCs w:val="22"/>
        </w:rPr>
        <w:t xml:space="preserve"> </w:t>
      </w:r>
    </w:p>
    <w:p>
      <w:pPr>
        <w:pStyle w:val="21"/>
        <w:spacing w:before="0" w:after="0"/>
        <w:contextualSpacing/>
        <w:jc w:val="center"/>
        <w:rPr/>
      </w:pPr>
      <w:r>
        <w:rPr>
          <w:b/>
          <w:bCs/>
          <w:sz w:val="28"/>
          <w:szCs w:val="28"/>
        </w:rPr>
        <w:t>АДМИНИСТРАЦИЯ ГОРОДСКОГО ОКРУГА</w:t>
      </w:r>
    </w:p>
    <w:p>
      <w:pPr>
        <w:pStyle w:val="21"/>
        <w:spacing w:before="0" w:after="0"/>
        <w:contextualSpacing/>
        <w:jc w:val="center"/>
        <w:rPr/>
      </w:pPr>
      <w:r>
        <w:rPr>
          <w:b/>
          <w:bCs/>
          <w:sz w:val="28"/>
          <w:szCs w:val="28"/>
        </w:rPr>
        <w:t xml:space="preserve">ГОРОДА КАЛУГИ </w:t>
      </w:r>
    </w:p>
    <w:p>
      <w:pPr>
        <w:pStyle w:val="BodyText"/>
        <w:spacing w:before="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21"/>
        <w:tabs>
          <w:tab w:val="clear" w:pos="720"/>
          <w:tab w:val="left" w:pos="3135" w:leader="none"/>
        </w:tabs>
        <w:spacing w:before="0" w:after="0"/>
        <w:contextualSpacing/>
        <w:jc w:val="center"/>
        <w:rPr/>
      </w:pPr>
      <w:r>
        <w:rPr>
          <w:b/>
          <w:bCs/>
          <w:sz w:val="36"/>
          <w:szCs w:val="36"/>
        </w:rPr>
        <w:t>ПОСТАНОВЛЕНИЕ</w:t>
      </w:r>
    </w:p>
    <w:p>
      <w:pPr>
        <w:pStyle w:val="21"/>
        <w:spacing w:before="0" w:after="0"/>
        <w:ind w:firstLine="2622"/>
        <w:contextualSpacing/>
        <w:rPr>
          <w:sz w:val="36"/>
          <w:szCs w:val="36"/>
        </w:rPr>
      </w:pPr>
      <w:r>
        <w:rPr>
          <w:sz w:val="36"/>
          <w:szCs w:val="36"/>
        </w:rPr>
      </w:r>
    </w:p>
    <w:tbl>
      <w:tblPr>
        <w:tblW w:w="951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0" w:lastRow="0" w:firstColumn="0" w:lastColumn="0" w:noHBand="0" w:val="0000"/>
      </w:tblPr>
      <w:tblGrid>
        <w:gridCol w:w="474"/>
        <w:gridCol w:w="2415"/>
        <w:gridCol w:w="4136"/>
        <w:gridCol w:w="554"/>
        <w:gridCol w:w="1940"/>
      </w:tblGrid>
      <w:tr>
        <w:trPr/>
        <w:tc>
          <w:tcPr>
            <w:tcW w:w="474" w:type="dxa"/>
            <w:tcBorders/>
            <w:shd w:color="auto" w:fill="auto" w:val="clear"/>
          </w:tcPr>
          <w:p>
            <w:pPr>
              <w:pStyle w:val="Subtitle"/>
              <w:widowControl w:val="false"/>
              <w:jc w:val="start"/>
              <w:rPr/>
            </w:pPr>
            <w:r>
              <w:rPr>
                <w:b w:val="false"/>
                <w:sz w:val="24"/>
              </w:rPr>
              <w:t>от</w:t>
            </w:r>
          </w:p>
        </w:tc>
        <w:tc>
          <w:tcPr>
            <w:tcW w:w="2415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Subtitle"/>
              <w:widowControl w:val="false"/>
              <w:snapToGrid w:val="false"/>
              <w:jc w:val="start"/>
              <w:rPr>
                <w:b w:val="false"/>
                <w:sz w:val="24"/>
              </w:rPr>
            </w:pPr>
            <w:r>
              <w:rPr>
                <w:b w:val="false"/>
                <w:sz w:val="24"/>
              </w:rPr>
            </w:r>
          </w:p>
        </w:tc>
        <w:tc>
          <w:tcPr>
            <w:tcW w:w="4136" w:type="dxa"/>
            <w:tcBorders/>
            <w:shd w:color="auto" w:fill="auto" w:val="clear"/>
          </w:tcPr>
          <w:p>
            <w:pPr>
              <w:pStyle w:val="Subtitle"/>
              <w:widowControl w:val="false"/>
              <w:snapToGrid w:val="false"/>
              <w:rPr>
                <w:b w:val="false"/>
                <w:spacing w:val="60"/>
                <w:sz w:val="24"/>
              </w:rPr>
            </w:pPr>
            <w:r>
              <w:rPr>
                <w:b w:val="false"/>
                <w:spacing w:val="60"/>
                <w:sz w:val="24"/>
              </w:rPr>
            </w:r>
          </w:p>
        </w:tc>
        <w:tc>
          <w:tcPr>
            <w:tcW w:w="554" w:type="dxa"/>
            <w:tcBorders/>
            <w:shd w:color="auto" w:fill="auto" w:val="clear"/>
          </w:tcPr>
          <w:p>
            <w:pPr>
              <w:pStyle w:val="Subtitle"/>
              <w:widowControl w:val="false"/>
              <w:rPr/>
            </w:pPr>
            <w:r>
              <w:rPr>
                <w:b w:val="false"/>
                <w:spacing w:val="60"/>
                <w:sz w:val="24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Subtitle"/>
              <w:widowControl w:val="false"/>
              <w:snapToGrid w:val="false"/>
              <w:rPr>
                <w:b w:val="false"/>
                <w:spacing w:val="60"/>
                <w:sz w:val="24"/>
              </w:rPr>
            </w:pPr>
            <w:r>
              <w:rPr>
                <w:b w:val="false"/>
                <w:spacing w:val="60"/>
                <w:sz w:val="24"/>
              </w:rPr>
            </w:r>
          </w:p>
        </w:tc>
      </w:tr>
    </w:tbl>
    <w:p>
      <w:pPr>
        <w:pStyle w:val="Subtitle"/>
        <w:jc w:val="both"/>
        <w:rPr>
          <w:sz w:val="24"/>
        </w:rPr>
      </w:pPr>
      <w:r>
        <w:rPr>
          <w:sz w:val="24"/>
        </w:rPr>
      </w:r>
    </w:p>
    <w:tbl>
      <w:tblPr>
        <w:tblW w:w="4953" w:type="dxa"/>
        <w:jc w:val="start"/>
        <w:tblInd w:w="-36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0" w:lastRow="0" w:firstColumn="0" w:lastColumn="0" w:noHBand="0" w:val="0000"/>
      </w:tblPr>
      <w:tblGrid>
        <w:gridCol w:w="4953"/>
      </w:tblGrid>
      <w:tr>
        <w:trPr>
          <w:trHeight w:val="2265" w:hRule="atLeast"/>
        </w:trPr>
        <w:tc>
          <w:tcPr>
            <w:tcW w:w="4953" w:type="dxa"/>
            <w:tcBorders/>
            <w:shd w:color="auto" w:fill="auto" w:val="clear"/>
          </w:tcPr>
          <w:p>
            <w:pPr>
              <w:pStyle w:val="Subtitle"/>
              <w:widowControl w:val="false"/>
              <w:tabs>
                <w:tab w:val="clear" w:pos="720"/>
                <w:tab w:val="left" w:pos="4962" w:leader="none"/>
              </w:tabs>
              <w:snapToGrid w:val="false"/>
              <w:jc w:val="star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Subtitle"/>
              <w:widowControl w:val="false"/>
              <w:tabs>
                <w:tab w:val="clear" w:pos="720"/>
                <w:tab w:val="left" w:pos="4962" w:leader="none"/>
              </w:tabs>
              <w:jc w:val="start"/>
              <w:rPr/>
            </w:pPr>
            <w:r>
              <w:rPr>
                <w:sz w:val="24"/>
              </w:rPr>
              <w:t>О внесении изменений в постановление Городской Управы города Калуги от 29.06.2012 № 244-п «Об утверждении административного регламента предоставления муниципальной услуги по выдаче разрешения на право организации розничного рынка</w:t>
            </w:r>
          </w:p>
          <w:p>
            <w:pPr>
              <w:pStyle w:val="Subtitle"/>
              <w:widowControl w:val="false"/>
              <w:tabs>
                <w:tab w:val="clear" w:pos="720"/>
                <w:tab w:val="left" w:pos="4962" w:leader="none"/>
              </w:tabs>
              <w:jc w:val="start"/>
              <w:rPr/>
            </w:pPr>
            <w:r>
              <w:rPr>
                <w:sz w:val="24"/>
              </w:rPr>
              <w:t>на территории городского округа города Калуги Калужской области»</w:t>
            </w:r>
          </w:p>
        </w:tc>
      </w:tr>
    </w:tbl>
    <w:p>
      <w:pPr>
        <w:pStyle w:val="Subtitle"/>
        <w:spacing w:lineRule="auto" w:line="192"/>
        <w:ind w:hanging="0" w:end="6163"/>
        <w:rPr>
          <w:sz w:val="24"/>
        </w:rPr>
      </w:pPr>
      <w:r>
        <w:rPr>
          <w:sz w:val="24"/>
        </w:rPr>
      </w:r>
    </w:p>
    <w:p>
      <w:pPr>
        <w:pStyle w:val="BodyText"/>
        <w:spacing w:lineRule="auto" w:line="192"/>
        <w:ind w:hanging="0" w:end="6163"/>
        <w:rPr>
          <w:sz w:val="24"/>
        </w:rPr>
      </w:pPr>
      <w:r>
        <w:rPr>
          <w:sz w:val="24"/>
        </w:rPr>
      </w:r>
    </w:p>
    <w:p>
      <w:pPr>
        <w:pStyle w:val="Subtitle"/>
        <w:tabs>
          <w:tab w:val="clear" w:pos="720"/>
          <w:tab w:val="left" w:pos="0" w:leader="none"/>
        </w:tabs>
        <w:spacing w:lineRule="auto" w:line="240"/>
        <w:ind w:firstLine="709" w:end="6"/>
        <w:jc w:val="both"/>
        <w:rPr/>
      </w:pPr>
      <w:r>
        <w:rPr>
          <w:b w:val="false"/>
          <w:bCs w:val="false"/>
          <w:color w:val="000000"/>
          <w:sz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>
        <w:rPr>
          <w:rFonts w:eastAsia="NSimSun"/>
          <w:b w:val="false"/>
          <w:bCs w:val="false"/>
          <w:color w:val="000000"/>
          <w:kern w:val="2"/>
          <w:sz w:val="24"/>
          <w:lang w:bidi="hi-IN"/>
        </w:rPr>
        <w:t>Федеральным законом от 30.12.2006 № 271-ФЗ «О розничных рынках и о внесении изменений в Трудовой кодекс Российской Федерации»</w:t>
      </w:r>
      <w:r>
        <w:rPr>
          <w:b w:val="false"/>
          <w:bCs w:val="false"/>
          <w:color w:val="000000"/>
          <w:sz w:val="24"/>
        </w:rPr>
        <w:t xml:space="preserve">, статьями 29, 31, 36 Устава городского округа города Калуги Калужской области </w:t>
      </w:r>
      <w:r>
        <w:rPr>
          <w:color w:val="000000"/>
          <w:sz w:val="24"/>
        </w:rPr>
        <w:t xml:space="preserve">ПОСТАНОВЛЯЮ:                                                                                           </w:t>
      </w:r>
    </w:p>
    <w:p>
      <w:pPr>
        <w:pStyle w:val="Subtitle"/>
        <w:spacing w:lineRule="auto" w:line="240"/>
        <w:ind w:firstLine="708"/>
        <w:jc w:val="both"/>
        <w:rPr/>
      </w:pPr>
      <w:r>
        <w:rPr>
          <w:b w:val="false"/>
          <w:bCs w:val="false"/>
          <w:color w:val="000000"/>
          <w:sz w:val="24"/>
        </w:rPr>
        <w:t>1. Внести в административный регламент предоставления муниципальной услуги по выдаче разрешения на право организации розничного рынка на территории городского округа города Калуги Калужской области, утвержденный постановлением Городской Управы города Калуги от 29.06.2012 № 244-п (далее - административный регламент), следующие изменения: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highlight w:val="none"/>
          <w:shd w:fill="auto" w:val="clear"/>
        </w:rPr>
      </w:pPr>
      <w:r>
        <w:rPr>
          <w:color w:val="000000"/>
          <w:shd w:fill="auto" w:val="clear"/>
        </w:rPr>
        <w:t>1.1. В абзаце 4 пункта 1.3 раздела 1 административного регламента слова «комитета по управлению имуществом управления экономики и имущественных отношений города Калуги» исключить.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highlight w:val="none"/>
          <w:shd w:fill="auto" w:val="clear"/>
        </w:rPr>
      </w:pPr>
      <w:r>
        <w:rPr>
          <w:color w:val="000000"/>
          <w:shd w:fill="auto" w:val="clear"/>
        </w:rPr>
        <w:t>1.2. Пункт 2.1. раздела 2 административного регламента изложить в новой редакции: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highlight w:val="none"/>
          <w:shd w:fill="auto" w:val="clear"/>
        </w:rPr>
      </w:pPr>
      <w:r>
        <w:rPr>
          <w:color w:val="000000"/>
          <w:shd w:fill="auto" w:val="clear"/>
        </w:rPr>
        <w:t>«</w:t>
      </w:r>
      <w:r>
        <w:rPr>
          <w:shd w:fill="auto" w:val="clear"/>
        </w:rPr>
        <w:t>2.1. Наименование муниципальной услуги: Выдача разрешения на право организации розничного рынка на территории городского округа города Калуги Калужской области.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highlight w:val="none"/>
          <w:shd w:fill="auto" w:val="clear"/>
        </w:rPr>
      </w:pPr>
      <w:r>
        <w:rPr>
          <w:shd w:fill="auto" w:val="clear"/>
        </w:rPr>
        <w:t>Муниципальную услугу по выдаче разрешения на право организации розничного рынка на территории городского округа города Калуги Калужской области предоставляет Управление от имени администрации городского округа города Калуги».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1.3. Пункт 2.2. раздела 2 административного регламента дополнить абзацем следующего содержания:</w:t>
      </w:r>
    </w:p>
    <w:p>
      <w:pPr>
        <w:pStyle w:val="Normal"/>
        <w:suppressAutoHyphens w:val="true"/>
        <w:ind w:firstLine="720"/>
        <w:jc w:val="both"/>
        <w:rPr/>
      </w:pPr>
      <w:r>
        <w:rPr>
          <w:shd w:fill="auto" w:val="clear"/>
        </w:rPr>
        <w:t xml:space="preserve">«5) предоставления на бумажном носителе документов и информации, электронные образы которых ранее были заверены в соответствии с </w:t>
      </w:r>
      <w:r>
        <w:rPr>
          <w:color w:val="auto"/>
          <w:shd w:fill="auto" w:val="clear"/>
        </w:rPr>
        <w:t>пунктом 7.2 части 1 статьи 16</w:t>
      </w:r>
      <w:r>
        <w:rPr>
          <w:color w:val="auto"/>
          <w:shd w:fill="auto" w:val="clear"/>
        </w:rPr>
        <w:t xml:space="preserve"> </w:t>
      </w:r>
      <w:r>
        <w:rPr>
          <w:shd w:fill="auto" w:val="clear"/>
        </w:rPr>
        <w:t xml:space="preserve">Федерального закона </w:t>
      </w:r>
      <w:r>
        <w:rPr>
          <w:shd w:fill="auto" w:val="clear"/>
        </w:rPr>
        <w:t>№</w:t>
      </w:r>
      <w:r>
        <w:rPr>
          <w:shd w:fill="auto" w:val="clear"/>
        </w:rPr>
        <w:t xml:space="preserve"> 210-ФЗ, за исключением случаев, если нанесение отметок на такие документы либо их изъятие является необходимым условием предоставления  муниципальной услуги, и иных случаев, установленных федеральными законами».</w:t>
      </w:r>
    </w:p>
    <w:p>
      <w:pPr>
        <w:pStyle w:val="BodyText"/>
        <w:suppressAutoHyphens w:val="true"/>
        <w:spacing w:lineRule="auto" w:line="240" w:before="0" w:after="0"/>
        <w:ind w:hanging="0" w:start="0"/>
        <w:contextualSpacing/>
        <w:jc w:val="both"/>
        <w:rPr>
          <w:rFonts w:ascii="Times New Roman" w:hAnsi="Times New Roman"/>
          <w:color w:val="000000"/>
        </w:rPr>
      </w:pPr>
      <w:r>
        <w:rPr>
          <w:color w:val="000000"/>
          <w:shd w:fill="auto" w:val="clear"/>
        </w:rPr>
        <w:tab/>
        <w:t>1.4. Пункт 2.3 административного регламент дополнить абзацами следующего содержания:</w:t>
      </w:r>
    </w:p>
    <w:p>
      <w:pPr>
        <w:pStyle w:val="Normal"/>
        <w:suppressAutoHyphens w:val="true"/>
        <w:ind w:firstLine="720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«В случае наличия оснований для отказа в предоставлении муниципальной услуги, указанных в </w:t>
      </w:r>
      <w:r>
        <w:rPr>
          <w:color w:val="auto"/>
          <w:shd w:fill="auto" w:val="clear"/>
        </w:rPr>
        <w:t>пункте 2.7</w:t>
      </w:r>
      <w:r>
        <w:rPr>
          <w:color w:val="auto"/>
          <w:shd w:fill="auto" w:val="clear"/>
        </w:rPr>
        <w:t xml:space="preserve"> </w:t>
      </w:r>
      <w:r>
        <w:rPr>
          <w:shd w:fill="auto" w:val="clear"/>
        </w:rPr>
        <w:t xml:space="preserve">Административного регламента, заявителю </w:t>
      </w:r>
      <w:r>
        <w:rPr>
          <w:shd w:fill="auto" w:val="clear"/>
        </w:rPr>
        <w:t xml:space="preserve">направляется </w:t>
      </w:r>
      <w:r>
        <w:rPr>
          <w:shd w:fill="auto" w:val="clear"/>
        </w:rPr>
        <w:t>уведомление об отказе в предоставлении муниципальной услуги.</w:t>
      </w:r>
    </w:p>
    <w:p>
      <w:pPr>
        <w:pStyle w:val="ConsPlusNormal"/>
        <w:suppressAutoHyphens w:val="true"/>
        <w:ind w:firstLine="720"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sz w:val="24"/>
          <w:szCs w:val="24"/>
          <w:shd w:fill="auto" w:val="clear"/>
          <w:lang w:eastAsia="en-US"/>
        </w:rPr>
        <w:t>2.3.1. Результат предоставления муниципальной услуги может быть получен:</w:t>
      </w:r>
    </w:p>
    <w:p>
      <w:pPr>
        <w:pStyle w:val="ConsPlusNormal"/>
        <w:suppressAutoHyphens w:val="true"/>
        <w:ind w:firstLine="720"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sz w:val="24"/>
          <w:szCs w:val="24"/>
          <w:shd w:fill="auto" w:val="clear"/>
          <w:lang w:eastAsia="en-US"/>
        </w:rPr>
        <w:t>- в Управлении на бумажном носителе при личном обращении;</w:t>
      </w:r>
    </w:p>
    <w:p>
      <w:pPr>
        <w:pStyle w:val="ConsPlusNormal"/>
        <w:suppressAutoHyphens w:val="true"/>
        <w:ind w:firstLine="720"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sz w:val="24"/>
          <w:szCs w:val="24"/>
          <w:shd w:fill="auto" w:val="clear"/>
          <w:lang w:eastAsia="en-US"/>
        </w:rPr>
        <w:t>- посредством Портала госуслуг, в том числе в форме электронного документа, подписанного усиленной квалифицированной электронной подписью заместителя главы городского округа города Калуги - начальника Управления;</w:t>
      </w:r>
    </w:p>
    <w:p>
      <w:pPr>
        <w:pStyle w:val="ConsPlusNormal"/>
        <w:suppressAutoHyphens w:val="true"/>
        <w:ind w:firstLine="720"/>
        <w:jc w:val="both"/>
        <w:rPr/>
      </w:pPr>
      <w:r>
        <w:rPr>
          <w:rFonts w:eastAsia="Calibri" w:cs="Times New Roman" w:ascii="Times New Roman" w:hAnsi="Times New Roman" w:eastAsiaTheme="minorHAnsi"/>
          <w:sz w:val="24"/>
          <w:szCs w:val="24"/>
          <w:shd w:fill="auto" w:val="clear"/>
          <w:lang w:eastAsia="en-US"/>
        </w:rPr>
        <w:t>Уведомление о принятом решении независимо от результата предоставления муниципальной услуги направляется в личный кабинет заявителя на Портале госуслуг».</w:t>
      </w:r>
    </w:p>
    <w:p>
      <w:pPr>
        <w:pStyle w:val="Normal"/>
        <w:suppressAutoHyphens w:val="true"/>
        <w:ind w:firstLine="720"/>
        <w:jc w:val="both"/>
        <w:rPr>
          <w:highlight w:val="none"/>
          <w:shd w:fill="auto" w:val="clear"/>
        </w:rPr>
      </w:pPr>
      <w:r>
        <w:rPr>
          <w:color w:val="000000"/>
          <w:shd w:fill="auto" w:val="clear"/>
        </w:rPr>
        <w:t xml:space="preserve">1.5. Абзац а) </w:t>
      </w:r>
      <w:r>
        <w:rPr>
          <w:color w:val="000000"/>
          <w:shd w:fill="auto" w:val="clear"/>
        </w:rPr>
        <w:t>подпункта 2.5.1 пункта 2.5. раздела 2 административного регламента дополнить абзац</w:t>
      </w:r>
      <w:r>
        <w:rPr>
          <w:color w:val="000000"/>
          <w:shd w:fill="auto" w:val="clear"/>
        </w:rPr>
        <w:t>ами следующего содержания:</w:t>
      </w:r>
    </w:p>
    <w:p>
      <w:pPr>
        <w:pStyle w:val="Normal"/>
        <w:suppressAutoHyphens w:val="true"/>
        <w:ind w:firstLine="720"/>
        <w:jc w:val="both"/>
        <w:rPr>
          <w:highlight w:val="none"/>
          <w:shd w:fill="auto" w:val="clear"/>
        </w:rPr>
      </w:pPr>
      <w:r>
        <w:rPr>
          <w:shd w:fill="auto" w:val="clear"/>
        </w:rPr>
        <w:t>«В заявлении также указывается один из следующих способов направления результата предоставления муниципальной услуги:</w:t>
      </w:r>
    </w:p>
    <w:p>
      <w:pPr>
        <w:pStyle w:val="Normal"/>
        <w:suppressAutoHyphens w:val="true"/>
        <w:ind w:firstLine="720"/>
        <w:jc w:val="both"/>
        <w:rPr>
          <w:highlight w:val="none"/>
          <w:shd w:fill="auto" w:val="clear"/>
        </w:rPr>
      </w:pPr>
      <w:r>
        <w:rPr>
          <w:shd w:fill="auto" w:val="clear"/>
        </w:rPr>
        <w:t>- в форме электронного документа в личном кабинете на Портале госуслуг;</w:t>
      </w:r>
    </w:p>
    <w:p>
      <w:pPr>
        <w:pStyle w:val="Normal"/>
        <w:suppressAutoHyphens w:val="true"/>
        <w:ind w:firstLine="720"/>
        <w:jc w:val="both"/>
        <w:rPr>
          <w:highlight w:val="none"/>
          <w:shd w:fill="auto" w:val="clear"/>
        </w:rPr>
      </w:pPr>
      <w:r>
        <w:rPr>
          <w:shd w:fill="auto" w:val="clear"/>
        </w:rPr>
        <w:t>- на бумажном носителе в Управлении»</w:t>
      </w:r>
    </w:p>
    <w:p>
      <w:pPr>
        <w:pStyle w:val="Normal"/>
        <w:suppressAutoHyphens w:val="true"/>
        <w:ind w:firstLine="720"/>
        <w:jc w:val="both"/>
        <w:rPr>
          <w:highlight w:val="none"/>
          <w:shd w:fill="auto" w:val="clear"/>
        </w:rPr>
      </w:pPr>
      <w:r>
        <w:rPr>
          <w:shd w:fill="auto" w:val="clear"/>
        </w:rPr>
        <w:t>В случае направления заявления посредством Портала госуслуг формирование заявления осуществляется посредством заполнения интерактивной формы на Портале госуслуг без необходимости дополнительной подачи заявления в какой-либо иной форме».</w:t>
      </w:r>
    </w:p>
    <w:p>
      <w:pPr>
        <w:pStyle w:val="Normal"/>
        <w:suppressAutoHyphens w:val="true"/>
        <w:ind w:firstLine="720"/>
        <w:jc w:val="both"/>
        <w:rPr>
          <w:rFonts w:ascii="Times New Roman" w:hAnsi="Times New Roman"/>
        </w:rPr>
      </w:pPr>
      <w:r>
        <w:rPr/>
        <w:t>1.6. Пункт 2.5 раздела 2 административного регламента дополнить подпунктом 2.5.3 следующего содержания:</w:t>
      </w:r>
    </w:p>
    <w:p>
      <w:pPr>
        <w:pStyle w:val="Normal"/>
        <w:suppressAutoHyphens w:val="true"/>
        <w:ind w:firstLine="720"/>
        <w:jc w:val="both"/>
        <w:rPr>
          <w:rFonts w:ascii="Times New Roman" w:hAnsi="Times New Roman"/>
        </w:rPr>
      </w:pPr>
      <w:r>
        <w:rPr/>
        <w:t xml:space="preserve"> </w:t>
      </w:r>
      <w:r>
        <w:rPr/>
        <w:t>«2.5.3. По усмотрению заявителя документы могут быть поданы: лично, через уполномоченного представителя, с использованием услуг почтовой связи, а также в электронной форме с использованием Портала госуслуг».</w:t>
      </w:r>
    </w:p>
    <w:p>
      <w:pPr>
        <w:pStyle w:val="Subtitle"/>
        <w:suppressAutoHyphens w:val="true"/>
        <w:spacing w:before="0" w:after="0"/>
        <w:ind w:firstLine="720"/>
        <w:contextualSpacing w:val="false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>1.</w:t>
      </w:r>
      <w:r>
        <w:rPr>
          <w:b w:val="false"/>
          <w:bCs w:val="false"/>
          <w:color w:val="000000"/>
          <w:sz w:val="24"/>
          <w:szCs w:val="24"/>
        </w:rPr>
        <w:t>7</w:t>
      </w:r>
      <w:r>
        <w:rPr>
          <w:b w:val="false"/>
          <w:bCs w:val="false"/>
          <w:color w:val="000000"/>
          <w:sz w:val="24"/>
          <w:szCs w:val="24"/>
        </w:rPr>
        <w:t>. Пункт 2.10 раздела 2 административного регламента изложить в новой редакции: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«2.10. Срок регистрации запроса заявителя о предоставлении муниципальной услуги.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Регистрация заявления о предоставлении муниципальной услуги осуществляется не позднее 1 рабочего дня, следующего за днем его получения.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 xml:space="preserve">В случае представления заявления о предоставлении муниципальной услуги посредством Портала госуслуг вне рабочего времени </w:t>
      </w:r>
      <w:r>
        <w:rPr>
          <w:color w:val="000000"/>
        </w:rPr>
        <w:t>У</w:t>
      </w:r>
      <w:r>
        <w:rPr>
          <w:color w:val="000000"/>
        </w:rPr>
        <w:t>правления либо в выходной, нерабочий, праздничный день днем получения заявления считается первый рабочий день, следующий за днем представления заявителем указанного заявления».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highlight w:val="none"/>
          <w:shd w:fill="auto" w:val="clear"/>
        </w:rPr>
      </w:pPr>
      <w:r>
        <w:rPr>
          <w:color w:val="000000"/>
          <w:shd w:fill="auto" w:val="clear"/>
        </w:rPr>
        <w:t>1.8. Пункты 2.12, 2.13 раздела 2 административного регламента изложить в новой редакции:</w:t>
      </w:r>
    </w:p>
    <w:p>
      <w:pPr>
        <w:pStyle w:val="Normal"/>
        <w:suppressAutoHyphens w:val="true"/>
        <w:ind w:firstLine="720"/>
        <w:jc w:val="both"/>
        <w:rPr>
          <w:highlight w:val="none"/>
          <w:shd w:fill="auto" w:val="clear"/>
        </w:rPr>
      </w:pPr>
      <w:r>
        <w:rPr>
          <w:shd w:fill="auto" w:val="clear"/>
        </w:rPr>
        <w:t>«2.12. Показатели доступности и качества муниципальной услуги.</w:t>
      </w:r>
    </w:p>
    <w:p>
      <w:pPr>
        <w:pStyle w:val="Normal"/>
        <w:suppressAutoHyphens w:val="true"/>
        <w:ind w:firstLine="720"/>
        <w:jc w:val="both"/>
        <w:rPr>
          <w:highlight w:val="none"/>
          <w:shd w:fill="auto" w:val="clear"/>
        </w:rPr>
      </w:pPr>
      <w:r>
        <w:rPr>
          <w:shd w:fill="auto" w:val="clear"/>
        </w:rPr>
        <w:t>2.12.1. Основными показателями доступности предоставления услуги являются:</w:t>
      </w:r>
    </w:p>
    <w:p>
      <w:pPr>
        <w:pStyle w:val="Normal"/>
        <w:suppressAutoHyphens w:val="true"/>
        <w:ind w:firstLine="720"/>
        <w:jc w:val="both"/>
        <w:rPr>
          <w:highlight w:val="none"/>
          <w:shd w:fill="auto" w:val="clear"/>
        </w:rPr>
      </w:pPr>
      <w:r>
        <w:rPr>
          <w:shd w:fill="auto" w:val="clear"/>
        </w:rPr>
        <w:t>- наличие полной и понятной информации о порядке, сроках и ходе предоставления услуги в информационно-телекоммуникационных сетях общего пользования (в том числе в сети Интернет);</w:t>
      </w:r>
    </w:p>
    <w:p>
      <w:pPr>
        <w:pStyle w:val="Normal"/>
        <w:suppressAutoHyphens w:val="true"/>
        <w:ind w:firstLine="720"/>
        <w:jc w:val="both"/>
        <w:rPr>
          <w:highlight w:val="none"/>
          <w:shd w:fill="auto" w:val="clear"/>
        </w:rPr>
      </w:pPr>
      <w:r>
        <w:rPr>
          <w:shd w:fill="auto" w:val="clear"/>
        </w:rPr>
        <w:t>- возможность получения заявителем уведомлений о предоставлении услуги с помощью Портала госуслуг;</w:t>
      </w:r>
    </w:p>
    <w:p>
      <w:pPr>
        <w:pStyle w:val="Normal"/>
        <w:suppressAutoHyphens w:val="true"/>
        <w:ind w:firstLine="720"/>
        <w:jc w:val="both"/>
        <w:rPr>
          <w:highlight w:val="none"/>
          <w:shd w:fill="auto" w:val="clear"/>
        </w:rPr>
      </w:pPr>
      <w:r>
        <w:rPr>
          <w:shd w:fill="auto" w:val="clear"/>
        </w:rPr>
        <w:t>- возможность получения информации о ходе предоставления услуги, в том числе с использованием информационно-коммуникационных технологий;</w:t>
      </w:r>
    </w:p>
    <w:p>
      <w:pPr>
        <w:pStyle w:val="Normal"/>
        <w:suppressAutoHyphens w:val="true"/>
        <w:ind w:firstLine="720"/>
        <w:jc w:val="both"/>
        <w:rPr>
          <w:highlight w:val="none"/>
          <w:shd w:fill="auto" w:val="clear"/>
        </w:rPr>
      </w:pPr>
      <w:r>
        <w:rPr>
          <w:shd w:fill="auto" w:val="clear"/>
        </w:rPr>
        <w:t>- доступность электронных форм документов, необходимых для предоставления услуги;</w:t>
      </w:r>
    </w:p>
    <w:p>
      <w:pPr>
        <w:pStyle w:val="Normal"/>
        <w:suppressAutoHyphens w:val="true"/>
        <w:ind w:firstLine="720"/>
        <w:jc w:val="both"/>
        <w:rPr>
          <w:highlight w:val="none"/>
          <w:shd w:fill="auto" w:val="clear"/>
        </w:rPr>
      </w:pPr>
      <w:r>
        <w:rPr>
          <w:shd w:fill="auto" w:val="clear"/>
        </w:rPr>
        <w:t>- возможность подачи заявлений и прилагаемых к ним документов в электронной форме.</w:t>
      </w:r>
    </w:p>
    <w:p>
      <w:pPr>
        <w:pStyle w:val="Normal"/>
        <w:suppressAutoHyphens w:val="true"/>
        <w:ind w:firstLine="720"/>
        <w:jc w:val="both"/>
        <w:rPr>
          <w:highlight w:val="none"/>
          <w:shd w:fill="auto" w:val="clear"/>
        </w:rPr>
      </w:pPr>
      <w:r>
        <w:rPr>
          <w:shd w:fill="auto" w:val="clear"/>
        </w:rPr>
        <w:t>2.12.2. Основными показателями качества предоставления услуги являются:</w:t>
      </w:r>
    </w:p>
    <w:p>
      <w:pPr>
        <w:pStyle w:val="Normal"/>
        <w:suppressAutoHyphens w:val="true"/>
        <w:ind w:firstLine="720"/>
        <w:jc w:val="both"/>
        <w:rPr>
          <w:highlight w:val="none"/>
          <w:shd w:fill="auto" w:val="clear"/>
        </w:rPr>
      </w:pPr>
      <w:r>
        <w:rPr>
          <w:shd w:fill="auto" w:val="clear"/>
        </w:rPr>
        <w:t>- своевременность предоставления услуги в соответствии со стандартом ее предоставления, установленным административным регламентом;</w:t>
      </w:r>
    </w:p>
    <w:p>
      <w:pPr>
        <w:pStyle w:val="Normal"/>
        <w:suppressAutoHyphens w:val="true"/>
        <w:ind w:firstLine="720"/>
        <w:jc w:val="both"/>
        <w:rPr>
          <w:highlight w:val="none"/>
          <w:shd w:fill="auto" w:val="clear"/>
        </w:rPr>
      </w:pPr>
      <w:r>
        <w:rPr>
          <w:shd w:fill="auto" w:val="clear"/>
        </w:rPr>
        <w:t>- 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>
      <w:pPr>
        <w:pStyle w:val="Normal"/>
        <w:suppressAutoHyphens w:val="true"/>
        <w:ind w:firstLine="720"/>
        <w:jc w:val="both"/>
        <w:rPr>
          <w:highlight w:val="none"/>
          <w:shd w:fill="auto" w:val="clear"/>
        </w:rPr>
      </w:pPr>
      <w:r>
        <w:rPr>
          <w:shd w:fill="auto" w:val="clear"/>
        </w:rPr>
        <w:t>- отсутствие обоснованных жалоб на действия (бездействие) сотрудников и их некорректное (невнимательное) отношение к заявителям;</w:t>
      </w:r>
    </w:p>
    <w:p>
      <w:pPr>
        <w:pStyle w:val="Normal"/>
        <w:suppressAutoHyphens w:val="true"/>
        <w:ind w:firstLine="720"/>
        <w:jc w:val="both"/>
        <w:rPr>
          <w:highlight w:val="none"/>
          <w:shd w:fill="auto" w:val="clear"/>
        </w:rPr>
      </w:pPr>
      <w:r>
        <w:rPr>
          <w:shd w:fill="auto" w:val="clear"/>
        </w:rPr>
        <w:t>- отсутствие нарушений установленных сроков в процессе предоставления муниципальной услуги;</w:t>
      </w:r>
    </w:p>
    <w:p>
      <w:pPr>
        <w:pStyle w:val="Normal"/>
        <w:suppressAutoHyphens w:val="true"/>
        <w:ind w:firstLine="720"/>
        <w:jc w:val="both"/>
        <w:rPr>
          <w:highlight w:val="none"/>
          <w:shd w:fill="auto" w:val="clear"/>
        </w:rPr>
      </w:pPr>
      <w:r>
        <w:rPr>
          <w:shd w:fill="auto" w:val="clear"/>
        </w:rPr>
        <w:t>- отсутствие заявлений об оспаривании решений, действий (бездействия) Управления, его должностных лиц, принимаемых (совершенных) при предоставлении услуги, по итогам рассмотрения которых вынесены решения об удовлетворении (частичном удовлетворении) требований заявителей.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highlight w:val="none"/>
          <w:shd w:fill="auto" w:val="clear"/>
        </w:rPr>
      </w:pPr>
      <w:r>
        <w:rPr>
          <w:color w:val="000000"/>
          <w:shd w:fill="auto" w:val="clear"/>
        </w:rPr>
        <w:t>2.13. Иные требования, в том числе учитывающие особенности предоставления муниципальной услуги в электронной форме.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highlight w:val="none"/>
          <w:shd w:fill="auto" w:val="clear"/>
        </w:rPr>
      </w:pPr>
      <w:r>
        <w:rPr>
          <w:color w:val="000000"/>
          <w:shd w:fill="auto" w:val="clear"/>
        </w:rPr>
        <w:t>2.13.1. При направлении заявления и документов в форме электронных документов посредством Портала госуслуг используется электронная подпись заявителя.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highlight w:val="none"/>
          <w:shd w:fill="auto" w:val="clear"/>
        </w:rPr>
      </w:pPr>
      <w:r>
        <w:rPr>
          <w:color w:val="000000"/>
          <w:shd w:fill="auto" w:val="clear"/>
        </w:rPr>
        <w:t>2.13.2. При предоставлении муниципальной услуги посредством Портала госуслуг заявителю обеспечивается возможность: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highlight w:val="none"/>
          <w:shd w:fill="auto" w:val="clear"/>
        </w:rPr>
      </w:pPr>
      <w:r>
        <w:rPr>
          <w:color w:val="000000"/>
          <w:shd w:fill="auto" w:val="clear"/>
        </w:rPr>
        <w:t>а) получения информации о порядке и сроках предоставления муниципальной услуги;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highlight w:val="none"/>
          <w:shd w:fill="auto" w:val="clear"/>
        </w:rPr>
      </w:pPr>
      <w:r>
        <w:rPr>
          <w:color w:val="000000"/>
          <w:shd w:fill="auto" w:val="clear"/>
        </w:rPr>
        <w:t>б) формирования и направления заявления на предоставление муниципальной услуги в электронной форме;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highlight w:val="none"/>
          <w:shd w:fill="auto" w:val="clear"/>
        </w:rPr>
      </w:pPr>
      <w:r>
        <w:rPr>
          <w:color w:val="000000"/>
          <w:shd w:fill="auto" w:val="clear"/>
        </w:rPr>
        <w:t>в) приема и регистрации управлением заявления и иных документов, необходимых для предоставления муниципальной услуги;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highlight w:val="none"/>
          <w:shd w:fill="auto" w:val="clear"/>
        </w:rPr>
      </w:pPr>
      <w:r>
        <w:rPr>
          <w:color w:val="000000"/>
          <w:shd w:fill="auto" w:val="clear"/>
        </w:rPr>
        <w:t>г) получения результата предоставления муниципальной услуги;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highlight w:val="none"/>
          <w:shd w:fill="auto" w:val="clear"/>
        </w:rPr>
      </w:pPr>
      <w:r>
        <w:rPr>
          <w:color w:val="000000"/>
          <w:shd w:fill="auto" w:val="clear"/>
        </w:rPr>
        <w:t>д) получения сведений о ходе предоставления муниципальной услуги;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highlight w:val="none"/>
          <w:shd w:fill="auto" w:val="clear"/>
        </w:rPr>
      </w:pPr>
      <w:r>
        <w:rPr>
          <w:color w:val="000000"/>
          <w:shd w:fill="auto" w:val="clear"/>
        </w:rPr>
        <w:t>е) осуществление оценки качества предоставления услуги;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highlight w:val="none"/>
          <w:shd w:fill="auto" w:val="clear"/>
        </w:rPr>
      </w:pPr>
      <w:r>
        <w:rPr>
          <w:color w:val="000000"/>
          <w:shd w:fill="auto" w:val="clear"/>
        </w:rPr>
        <w:t>ж) досудебного (внесудебного) обжалования решений и действий (бездействия) управления, должностного лица, ответственного за предоставление муниципальной услуги;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highlight w:val="none"/>
          <w:shd w:fill="auto" w:val="clear"/>
        </w:rPr>
      </w:pPr>
      <w:r>
        <w:rPr>
          <w:color w:val="000000"/>
          <w:shd w:fill="auto" w:val="clear"/>
        </w:rPr>
        <w:t>3) 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регламентом, соответствующего признакам заявителя;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highlight w:val="none"/>
          <w:shd w:fill="auto" w:val="clear"/>
        </w:rPr>
      </w:pPr>
      <w:r>
        <w:rPr>
          <w:color w:val="000000"/>
          <w:shd w:fill="auto" w:val="clear"/>
        </w:rPr>
        <w:t>и) предъявление заявителю варианта предоставления муниципальной услуги, предусмотренного административным регламентом.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highlight w:val="none"/>
          <w:shd w:fill="auto" w:val="clear"/>
        </w:rPr>
      </w:pPr>
      <w:r>
        <w:rPr>
          <w:color w:val="000000"/>
          <w:shd w:fill="auto" w:val="clear"/>
        </w:rPr>
        <w:t>2.13.3. При предоставлении муниципальной услуги посредством Портала госуслуг заявителю направляется: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highlight w:val="none"/>
          <w:shd w:fill="auto" w:val="clear"/>
        </w:rPr>
      </w:pPr>
      <w:r>
        <w:rPr>
          <w:color w:val="000000"/>
          <w:shd w:fill="auto" w:val="clear"/>
        </w:rPr>
        <w:t>а)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муниципальной услуги, и начале процедуры предоставления муниципальной услуги;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highlight w:val="none"/>
          <w:shd w:fill="auto" w:val="clear"/>
        </w:rPr>
      </w:pPr>
      <w:r>
        <w:rPr>
          <w:color w:val="000000"/>
          <w:shd w:fill="auto" w:val="clear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решения о предоставлении муниципальной услуги (или об отказе в предоставлении муниципальной услуги) и возможности получить результат предоставления муниципальной услуги либо мотивированный отказ в предоставлении муниципальной услуги;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/>
      </w:pPr>
      <w:r>
        <w:rPr>
          <w:color w:val="000000"/>
          <w:shd w:fill="auto" w:val="clear"/>
        </w:rPr>
        <w:t>2.13.4. 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</w:t>
      </w:r>
      <w:r>
        <w:rPr>
          <w:color w:val="000000"/>
          <w:shd w:fill="auto" w:val="clear"/>
        </w:rPr>
        <w:t>».</w:t>
      </w:r>
    </w:p>
    <w:p>
      <w:pPr>
        <w:pStyle w:val="Normal"/>
        <w:suppressAutoHyphens w:val="true"/>
        <w:ind w:firstLine="720"/>
        <w:jc w:val="both"/>
        <w:rPr>
          <w:highlight w:val="none"/>
          <w:shd w:fill="auto" w:val="clear"/>
        </w:rPr>
      </w:pPr>
      <w:r>
        <w:rPr>
          <w:color w:val="000000"/>
          <w:shd w:fill="auto" w:val="clear"/>
        </w:rPr>
        <w:t>1</w:t>
      </w:r>
      <w:r>
        <w:rPr>
          <w:color w:val="000000"/>
          <w:shd w:fill="auto" w:val="clear"/>
        </w:rPr>
        <w:t>.9. В подпункте 3.1.2 пункта 3.1. раздела 3 административного регламента слова «</w:t>
      </w:r>
      <w:r>
        <w:rPr>
          <w:shd w:fill="auto" w:val="clear"/>
        </w:rPr>
        <w:t>или электронной почты» исключить.</w:t>
      </w:r>
    </w:p>
    <w:p>
      <w:pPr>
        <w:pStyle w:val="Normal"/>
        <w:suppressAutoHyphens w:val="true"/>
        <w:ind w:firstLine="720"/>
        <w:jc w:val="both"/>
        <w:rPr>
          <w:highlight w:val="none"/>
          <w:shd w:fill="auto" w:val="clear"/>
        </w:rPr>
      </w:pPr>
      <w:r>
        <w:rPr>
          <w:color w:val="000000"/>
          <w:shd w:fill="auto" w:val="clear"/>
        </w:rPr>
        <w:t>1.10. В абзаце 5 пункта 3.1.4 пункта 3.1 раздела 3 административного регламента слова «</w:t>
      </w:r>
      <w:r>
        <w:rPr>
          <w:shd w:fill="auto" w:val="clear"/>
        </w:rPr>
        <w:t>выписку из Единого государственного реестра прав на недвижимое имущество и сделок о зарегистрированных правах» заменить словами «выписку из Единого государственного реестра недвижимости».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 xml:space="preserve">1.11. </w:t>
      </w:r>
      <w:r>
        <w:rPr>
          <w:color w:val="000000"/>
          <w:shd w:fill="auto" w:val="clear"/>
        </w:rPr>
        <w:t>Пункт 3.1. раздела</w:t>
      </w:r>
      <w:r>
        <w:rPr>
          <w:color w:val="000000"/>
          <w:shd w:fill="auto" w:val="clear"/>
        </w:rPr>
        <w:t xml:space="preserve"> </w:t>
      </w:r>
      <w:r>
        <w:rPr>
          <w:color w:val="000000"/>
        </w:rPr>
        <w:t>3 административного регламента дополнить подпунктом 3.1.6 следующего содержания: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«3.1.6. Особенности предоставления муниципальной услуги в электронной форме.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3.1.6.1. Порядок формирования заявления на предоставление муниципальной услуги.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Формирование заявления на предоставление муниципальной услуги осуществляется посредством заполнения электронной формы запроса на Портале госуслуг без необходимости дополнительной подачи запроса в какой-либо иной форме.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Форматно-логическая проверка сформированного заявления осуществляется Порталом госуслуг автоматически после заполнения заявителем каждого из полей электронной формы заявления. При выявлении Порталом госуслуг некорректно заполненного поля электронной формы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При формировании заявления заявителю обеспечивается: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а) возможность копирования и сохранения заявления и иных документов, указанных в подпункте 2.5.1 пункта 2.5 Административного регламента, необходимых для предоставления муниципальной услуги;</w:t>
      </w:r>
    </w:p>
    <w:p>
      <w:pPr>
        <w:pStyle w:val="BodyText"/>
        <w:suppressAutoHyphens w:val="true"/>
        <w:spacing w:lineRule="auto" w:line="240" w:before="0" w:after="0"/>
        <w:contextualSpacing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ab/>
        <w:t>б) возможность печати на бумажном носителе копии электронной формы заявления;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г) заполнение полей электронной формы заявления до начала ввода сведений заявителем с использованием сведений, размещенных на Портале госуслуг, обеспечивающем информационно-технологическое взаимодействие информационных систем, используемых для предоставления муниципальной услуги в форме электронного документа (далее - единая система идентификации и аутентификации), и сведений, опубликованных на Портале госуслуг в части, касающейся сведений, отсутствующих в Единой системе идентификации и аутентификации;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е) возможность доступа заявителя на Портале госуслуг к ранее поданным им заявлениям в течение 1 года, а также частично сформированным заявлениям - в течение 3 месяцев;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ж) возможность выбора способа получения результата предоставления муниципальной услуги.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 xml:space="preserve">Сформированное и подписанное заявление и иные документы, указанные в подпункте 2.5.1 пункта 2.5 Административного регламента, необходимые для предоставления муниципальной услуги, направляются в </w:t>
      </w:r>
      <w:r>
        <w:rPr>
          <w:color w:val="000000"/>
          <w:shd w:fill="auto" w:val="clear"/>
        </w:rPr>
        <w:t>У</w:t>
      </w:r>
      <w:r>
        <w:rPr>
          <w:color w:val="000000"/>
          <w:shd w:fill="auto" w:val="clear"/>
        </w:rPr>
        <w:t>п</w:t>
      </w:r>
      <w:r>
        <w:rPr>
          <w:color w:val="000000"/>
        </w:rPr>
        <w:t>равление посредством Портала госуслуг.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3.1.6.2. Порядок приема и рассмотрения заявления, направленного в электронной форме.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Предоставление муниципальной услуги в электронной форме осуществляется на основании полученного через платформу государственных сервисов заявления, направленного в форме электронного документа, подписанного электронной подписью.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Управление обеспечивает прием заявления и приложенных к нему документов без необходимости повторного представления заявителем таких документов на бумажном носителе. Регистрационный номер и дата заявлению, направленному в форме электронного документа, подписанному электронной подписью, присваиваются автоматически при формировании заявления.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 xml:space="preserve">Прием заявления, направленного в форме электронного документа, подписанного электронной подписью, осуществляется начальником </w:t>
      </w:r>
      <w:r>
        <w:rPr>
          <w:color w:val="000000"/>
          <w:shd w:fill="auto" w:val="clear"/>
        </w:rPr>
        <w:t>Отдела</w:t>
      </w:r>
      <w:r>
        <w:rPr>
          <w:color w:val="000000"/>
        </w:rPr>
        <w:t xml:space="preserve"> с направлением такого заявления специалисту </w:t>
      </w:r>
      <w:r>
        <w:rPr>
          <w:color w:val="000000"/>
          <w:shd w:fill="auto" w:val="clear"/>
        </w:rPr>
        <w:t>Отдела</w:t>
      </w:r>
      <w:r>
        <w:rPr>
          <w:color w:val="000000"/>
          <w:shd w:fill="auto" w:val="clear"/>
        </w:rPr>
        <w:t xml:space="preserve"> </w:t>
      </w:r>
      <w:r>
        <w:rPr>
          <w:color w:val="000000"/>
        </w:rPr>
        <w:t xml:space="preserve">не позднее 1 рабочего дня с даты формирования и отправки заявителем заявления в </w:t>
      </w:r>
      <w:r>
        <w:rPr>
          <w:color w:val="000000"/>
          <w:shd w:fill="auto" w:val="clear"/>
        </w:rPr>
        <w:t>У</w:t>
      </w:r>
      <w:r>
        <w:rPr>
          <w:color w:val="000000"/>
        </w:rPr>
        <w:t>правление.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 xml:space="preserve">Предоставление муниципальной услуги начинается с момента поступления в </w:t>
      </w:r>
      <w:r>
        <w:rPr>
          <w:color w:val="000000"/>
          <w:shd w:fill="auto" w:val="clear"/>
        </w:rPr>
        <w:t>У</w:t>
      </w:r>
      <w:r>
        <w:rPr>
          <w:color w:val="000000"/>
        </w:rPr>
        <w:t>правление заявления, направленного в форме электронного документа, подписанного электронной подписью, и электронных документов, необходимых для предоставления муниципальной услуги.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При получении заявления, направленного в форме электронного документа, подписанного электронной подписью, заявителю сообщается присвоенный заявлению уникальный номер, по которому в соответствующем разделе Портала госуслуг последнему будет представлена информация о ходе предоставления муниципальной услуги.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 xml:space="preserve">После принятия заявления, направленного в форме электронного документа, подписанного электронной подписью, специалистом </w:t>
      </w:r>
      <w:r>
        <w:rPr>
          <w:color w:val="000000"/>
          <w:shd w:fill="auto" w:val="clear"/>
        </w:rPr>
        <w:t>Отдела</w:t>
      </w:r>
      <w:r>
        <w:rPr>
          <w:color w:val="000000"/>
        </w:rPr>
        <w:t>, ответственным за предоставление муниципальной услуги, статус данного заявления в личном кабинете на Портале госуслуг обновляется до статуса «Заявление зарегистрировано».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После принятия электронного заявления, направленного через Портал госуслуг, с помощью платформы государственных сервисов в автоматическом режиме осуществляется запрос сведений по каналам системы межведомственного электронного взаимодействия в адрес федеральных органов исполнительной власти, указанных в подпункте 2.5.2        пункта 2.5 Административного регламента.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Информация о ходе рассмотрения заявления и о принятом решении направляется заявителю на адрес электронной почты или с использованием средств Портала госуслуг в личный кабинет по выбору заявителя.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3.1.6.3. Порядок выдачи результата предоставления муниципальной услуги в электронной форме.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По выбору заявителя результат предоставления муниципальной услуги может быть получен заявителем в форме: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>а) электронного документа, подписанного заместителем главы городского округа города Калуги - начальником управления с использованием усиленной квалифицированной электронной подписи, через личный кабинет Портала госуслуг;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 xml:space="preserve">б) документа на бумажном носителе в </w:t>
      </w:r>
      <w:r>
        <w:rPr>
          <w:color w:val="000000"/>
          <w:shd w:fill="auto" w:val="clear"/>
        </w:rPr>
        <w:t>У</w:t>
      </w:r>
      <w:r>
        <w:rPr>
          <w:color w:val="000000"/>
        </w:rPr>
        <w:t>правлении».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highlight w:val="none"/>
          <w:shd w:fill="auto" w:val="clear"/>
        </w:rPr>
      </w:pPr>
      <w:r>
        <w:rPr>
          <w:color w:val="000000"/>
          <w:shd w:fill="auto" w:val="clear"/>
        </w:rPr>
        <w:t>1.12 В пункте 3.4. административного регламента слова «Городской Управы города Калуги» заменить словами «администрации городского округа города Калуги».</w:t>
      </w:r>
      <w:r>
        <w:rPr>
          <w:color w:val="000000"/>
          <w:shd w:fill="auto" w:val="clear"/>
        </w:rPr>
        <w:t xml:space="preserve"> </w:t>
      </w:r>
    </w:p>
    <w:p>
      <w:pPr>
        <w:pStyle w:val="BodyText"/>
        <w:suppressAutoHyphens w:val="true"/>
        <w:spacing w:before="0" w:after="140"/>
        <w:ind w:firstLine="720"/>
        <w:contextualSpacing/>
        <w:jc w:val="both"/>
        <w:rPr>
          <w:highlight w:val="none"/>
          <w:shd w:fill="auto" w:val="clear"/>
        </w:rPr>
      </w:pPr>
      <w:bookmarkStart w:id="0" w:name="_GoBack"/>
      <w:bookmarkEnd w:id="0"/>
      <w:r>
        <w:rPr>
          <w:color w:val="000000"/>
          <w:shd w:fill="auto" w:val="clear"/>
        </w:rPr>
        <w:t>1.13 По тексту раздела 2, 3 административного регламента слова «управление экономики и имущественных отношений города Калуги» заменить словами «Управление» в соответствующих падежах.</w:t>
      </w:r>
    </w:p>
    <w:p>
      <w:pPr>
        <w:pStyle w:val="BodyText"/>
        <w:suppressAutoHyphens w:val="true"/>
        <w:spacing w:lineRule="auto" w:line="240" w:before="0" w:after="0"/>
        <w:ind w:firstLine="720"/>
        <w:contextualSpacing/>
        <w:jc w:val="both"/>
        <w:rPr>
          <w:highlight w:val="none"/>
          <w:shd w:fill="auto" w:val="clear"/>
        </w:rPr>
      </w:pPr>
      <w:r>
        <w:rPr>
          <w:color w:val="000000"/>
          <w:shd w:fill="auto" w:val="clear"/>
        </w:rPr>
        <w:t>1.14. Приложение 1 к административному регламенту после слов «Копии учредительных документов» дополнить абзацами следующего содержания:</w:t>
      </w:r>
    </w:p>
    <w:p>
      <w:pPr>
        <w:pStyle w:val="Normal"/>
        <w:suppressAutoHyphens w:val="true"/>
        <w:ind w:firstLine="720"/>
        <w:jc w:val="both"/>
        <w:rPr>
          <w:highlight w:val="none"/>
          <w:shd w:fill="auto" w:val="clear"/>
        </w:rPr>
      </w:pPr>
      <w:r>
        <w:rPr>
          <w:shd w:fill="auto" w:val="clear"/>
        </w:rPr>
        <w:t>«Результат рассмотрения настоящего заявления прошу:</w:t>
      </w:r>
    </w:p>
    <w:p>
      <w:pPr>
        <w:pStyle w:val="BodyText"/>
        <w:numPr>
          <w:ilvl w:val="0"/>
          <w:numId w:val="2"/>
        </w:numPr>
        <w:suppressAutoHyphens w:val="true"/>
        <w:spacing w:lineRule="auto" w:line="240" w:before="0" w:after="0"/>
        <w:ind w:firstLine="720" w:start="0"/>
        <w:contextualSpacing/>
        <w:jc w:val="both"/>
        <w:rPr>
          <w:highlight w:val="none"/>
          <w:shd w:fill="auto" w:val="clear"/>
        </w:rPr>
      </w:pPr>
      <w:r>
        <w:rPr>
          <w:shd w:fill="auto" w:val="clear"/>
        </w:rPr>
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</w:r>
    </w:p>
    <w:p>
      <w:pPr>
        <w:pStyle w:val="BodyText"/>
        <w:numPr>
          <w:ilvl w:val="0"/>
          <w:numId w:val="2"/>
        </w:numPr>
        <w:suppressAutoHyphens w:val="true"/>
        <w:spacing w:lineRule="auto" w:line="240" w:before="0" w:after="0"/>
        <w:ind w:firstLine="720" w:start="0"/>
        <w:contextualSpacing/>
        <w:jc w:val="both"/>
        <w:rPr>
          <w:highlight w:val="none"/>
          <w:shd w:fill="auto" w:val="clear"/>
        </w:rPr>
      </w:pPr>
      <w:r>
        <w:rPr>
          <w:shd w:fill="auto" w:val="clear"/>
        </w:rPr>
        <w:t>выдать на бумажном носителе при личном обращении в управление экономики и имущественных отношений города Калуги</w:t>
      </w:r>
    </w:p>
    <w:p>
      <w:pPr>
        <w:pStyle w:val="BodyText"/>
        <w:numPr>
          <w:ilvl w:val="0"/>
          <w:numId w:val="2"/>
        </w:numPr>
        <w:suppressAutoHyphens w:val="true"/>
        <w:spacing w:lineRule="auto" w:line="240" w:before="0" w:after="0"/>
        <w:ind w:firstLine="720" w:start="0"/>
        <w:contextualSpacing/>
        <w:jc w:val="both"/>
        <w:rPr>
          <w:highlight w:val="none"/>
          <w:shd w:fill="auto" w:val="clear"/>
        </w:rPr>
      </w:pPr>
      <w:r>
        <w:rPr>
          <w:shd w:fill="auto" w:val="clear"/>
        </w:rPr>
        <w:t>направить на бумажном носителе на почтовый адрес: _______________________________________________________»</w:t>
      </w:r>
    </w:p>
    <w:p>
      <w:pPr>
        <w:pStyle w:val="Normal"/>
        <w:suppressAutoHyphens w:val="true"/>
        <w:spacing w:before="0" w:after="0"/>
        <w:ind w:firstLine="720"/>
        <w:contextualSpacing/>
        <w:jc w:val="both"/>
        <w:rPr>
          <w:rFonts w:ascii="Times New Roman" w:hAnsi="Times New Roman"/>
        </w:rPr>
      </w:pPr>
      <w:r>
        <w:rPr>
          <w:rFonts w:eastAsia="Arial" w:cs="Times New Roman"/>
          <w:b w:val="false"/>
          <w:bCs w:val="false"/>
          <w:color w:val="000000"/>
          <w:sz w:val="24"/>
          <w:szCs w:val="24"/>
          <w:shd w:fill="auto" w:val="clear"/>
        </w:rPr>
        <w:t>2. Настоящее постановление вступает в силу с момента его принятия.</w:t>
      </w:r>
    </w:p>
    <w:p>
      <w:pPr>
        <w:pStyle w:val="Normal"/>
        <w:suppressAutoHyphens w:val="true"/>
        <w:spacing w:before="0" w:after="0"/>
        <w:ind w:firstLine="720"/>
        <w:contextualSpacing/>
        <w:jc w:val="both"/>
        <w:rPr>
          <w:rFonts w:ascii="Times New Roman" w:hAnsi="Times New Roman"/>
        </w:rPr>
      </w:pPr>
      <w:r>
        <w:rPr>
          <w:rFonts w:eastAsia="Arial"/>
          <w:color w:val="000000"/>
        </w:rPr>
        <w:t>3. Контроль за исполнением настоящего постановления возложить на управление экономики и имущественных отношений города Калуги.</w:t>
      </w:r>
    </w:p>
    <w:p>
      <w:pPr>
        <w:pStyle w:val="Normal"/>
        <w:spacing w:before="0" w:after="0"/>
        <w:contextualSpacing/>
        <w:jc w:val="both"/>
        <w:rPr/>
      </w:pPr>
      <w:r>
        <w:rPr/>
      </w:r>
    </w:p>
    <w:p>
      <w:pPr>
        <w:pStyle w:val="Normal"/>
        <w:spacing w:before="0" w:after="0"/>
        <w:contextualSpacing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28"/>
        <w:jc w:val="both"/>
        <w:rPr/>
      </w:pPr>
      <w:r>
        <w:rPr>
          <w:b/>
          <w:bCs/>
        </w:rPr>
        <w:t xml:space="preserve">Глава городского округа </w:t>
      </w:r>
    </w:p>
    <w:p>
      <w:pPr>
        <w:pStyle w:val="Normal"/>
        <w:spacing w:lineRule="auto" w:line="228"/>
        <w:jc w:val="both"/>
        <w:rPr/>
      </w:pPr>
      <w:r>
        <w:rPr>
          <w:b/>
          <w:bCs/>
        </w:rPr>
        <w:t>города Калуги                                                                                                         Д.А. Денисов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851" w:gutter="0" w:header="720" w:top="1282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Arial">
    <w:charset w:val="cc" w:characterSet="windows-1251"/>
    <w:family w:val="swiss"/>
    <w:pitch w:val="variable"/>
  </w:font>
  <w:font w:name="Symbol">
    <w:charset w:val="cc" w:characterSet="windows-1251"/>
    <w:family w:val="roman"/>
    <w:pitch w:val="variable"/>
  </w:font>
  <w:font w:name="Courier New">
    <w:charset w:val="cc" w:characterSet="windows-1251"/>
    <w:family w:val="roman"/>
    <w:pitch w:val="variable"/>
  </w:font>
  <w:font w:name="Wingdings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ahoma">
    <w:charset w:val="cc" w:characterSet="windows-1251"/>
    <w:family w:val="roman"/>
    <w:pitch w:val="variable"/>
  </w:font>
  <w:font w:name="Calibri">
    <w:charset w:val="cc" w:characterSet="windows-125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bullet"/>
      <w:lvlText w:val=""/>
      <w:lvlJc w:val="start"/>
      <w:pPr>
        <w:tabs>
          <w:tab w:val="num" w:pos="0"/>
        </w:tabs>
        <w:ind w:star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189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50"/>
  <w:displayBackgroundShape/>
  <w:embedSystemFonts/>
  <w:defaultTabStop w:val="720"/>
  <w:autoHyphenation w:val="true"/>
  <w:hyphenationZone w:val="36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21"/>
    <w:next w:val="BodyText"/>
    <w:qFormat/>
    <w:pPr>
      <w:numPr>
        <w:ilvl w:val="0"/>
        <w:numId w:val="1"/>
      </w:numPr>
      <w:spacing w:before="240" w:after="120"/>
      <w:contextualSpacing w:val="false"/>
      <w:outlineLvl w:val="0"/>
    </w:pPr>
    <w:rPr>
      <w:b/>
      <w:bCs/>
      <w:sz w:val="36"/>
      <w:szCs w:val="36"/>
    </w:rPr>
  </w:style>
  <w:style w:type="paragraph" w:styleId="Heading2">
    <w:name w:val="heading 2"/>
    <w:basedOn w:val="21"/>
    <w:next w:val="BodyText"/>
    <w:qFormat/>
    <w:pPr>
      <w:numPr>
        <w:ilvl w:val="1"/>
        <w:numId w:val="1"/>
      </w:numPr>
      <w:spacing w:before="200" w:after="120"/>
      <w:contextualSpacing w:val="false"/>
      <w:outlineLvl w:val="1"/>
    </w:pPr>
    <w:rPr>
      <w:b/>
      <w:bCs/>
      <w:sz w:val="32"/>
      <w:szCs w:val="32"/>
    </w:rPr>
  </w:style>
  <w:style w:type="paragraph" w:styleId="Heading3">
    <w:name w:val="heading 3"/>
    <w:basedOn w:val="21"/>
    <w:next w:val="BodyText"/>
    <w:qFormat/>
    <w:pPr>
      <w:numPr>
        <w:ilvl w:val="2"/>
        <w:numId w:val="1"/>
      </w:numPr>
      <w:spacing w:before="140" w:after="120"/>
      <w:contextualSpacing w:val="false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BodyText"/>
    <w:qFormat/>
    <w:pPr>
      <w:keepNext w:val="true"/>
      <w:keepLines/>
      <w:numPr>
        <w:ilvl w:val="3"/>
        <w:numId w:val="1"/>
      </w:numPr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BodyText"/>
    <w:qFormat/>
    <w:pPr>
      <w:keepNext w:val="true"/>
      <w:keepLines/>
      <w:numPr>
        <w:ilvl w:val="4"/>
        <w:numId w:val="1"/>
      </w:numPr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next w:val="BodyText"/>
    <w:qFormat/>
    <w:pPr>
      <w:keepNext w:val="true"/>
      <w:keepLines/>
      <w:numPr>
        <w:ilvl w:val="5"/>
        <w:numId w:val="1"/>
      </w:numPr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BodyText"/>
    <w:qFormat/>
    <w:pPr>
      <w:keepNext w:val="true"/>
      <w:keepLines/>
      <w:numPr>
        <w:ilvl w:val="6"/>
        <w:numId w:val="1"/>
      </w:numPr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BodyText"/>
    <w:qFormat/>
    <w:pPr>
      <w:keepNext w:val="true"/>
      <w:keepLines/>
      <w:numPr>
        <w:ilvl w:val="7"/>
        <w:numId w:val="1"/>
      </w:numPr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BodyText"/>
    <w:qFormat/>
    <w:pPr>
      <w:keepNext w:val="true"/>
      <w:keepLines/>
      <w:numPr>
        <w:ilvl w:val="8"/>
        <w:numId w:val="1"/>
      </w:numPr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customStyle="1">
    <w:name w:val="Default Paragraph Font"/>
    <w:qFormat/>
    <w:rPr/>
  </w:style>
  <w:style w:type="character" w:styleId="4" w:customStyle="1">
    <w:name w:val="Основной шрифт абзаца4"/>
    <w:qFormat/>
    <w:rPr/>
  </w:style>
  <w:style w:type="character" w:styleId="3" w:customStyle="1">
    <w:name w:val="Основной шрифт абзаца3"/>
    <w:qFormat/>
    <w:rPr/>
  </w:style>
  <w:style w:type="character" w:styleId="2" w:customStyle="1">
    <w:name w:val="Основной шрифт абзаца2"/>
    <w:qFormat/>
    <w:rPr/>
  </w:style>
  <w:style w:type="character" w:styleId="Hyperlink">
    <w:name w:val="Hyperlink"/>
    <w:rPr>
      <w:color w:val="000080"/>
      <w:u w:val="single"/>
      <w:lang w:val="en-US" w:bidi="en-US"/>
    </w:rPr>
  </w:style>
  <w:style w:type="character" w:styleId="Style5" w:customStyle="1">
    <w:name w:val="Символ сноски"/>
    <w:qFormat/>
    <w:rPr>
      <w:vertAlign w:val="superscript"/>
    </w:rPr>
  </w:style>
  <w:style w:type="character" w:styleId="1" w:customStyle="1">
    <w:name w:val="Знак сноски1"/>
    <w:qFormat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Style6" w:customStyle="1">
    <w:name w:val="Символ концевой сноски"/>
    <w:qFormat/>
    <w:rPr>
      <w:vertAlign w:val="superscript"/>
    </w:rPr>
  </w:style>
  <w:style w:type="character" w:styleId="11" w:customStyle="1">
    <w:name w:val="Знак концевой сноски1"/>
    <w:qFormat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Heading1Char" w:customStyle="1">
    <w:name w:val="Heading 1 Char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qFormat/>
    <w:rPr>
      <w:sz w:val="48"/>
      <w:szCs w:val="48"/>
    </w:rPr>
  </w:style>
  <w:style w:type="character" w:styleId="SubtitleChar" w:customStyle="1">
    <w:name w:val="Subtitle Char"/>
    <w:qFormat/>
    <w:rPr>
      <w:sz w:val="24"/>
      <w:szCs w:val="24"/>
    </w:rPr>
  </w:style>
  <w:style w:type="character" w:styleId="QuoteChar" w:customStyle="1">
    <w:name w:val="Quote Char"/>
    <w:qFormat/>
    <w:rPr>
      <w:i/>
    </w:rPr>
  </w:style>
  <w:style w:type="character" w:styleId="IntenseQuoteChar" w:customStyle="1">
    <w:name w:val="Intense Quote Char"/>
    <w:qFormat/>
    <w:rPr>
      <w:i/>
    </w:rPr>
  </w:style>
  <w:style w:type="character" w:styleId="HeaderChar" w:customStyle="1">
    <w:name w:val="Header Char"/>
    <w:qFormat/>
    <w:rPr/>
  </w:style>
  <w:style w:type="character" w:styleId="FooterChar" w:customStyle="1">
    <w:name w:val="Footer Char"/>
    <w:qFormat/>
    <w:rPr/>
  </w:style>
  <w:style w:type="character" w:styleId="CaptionChar" w:customStyle="1">
    <w:name w:val="Caption Char"/>
    <w:qFormat/>
    <w:rPr/>
  </w:style>
  <w:style w:type="character" w:styleId="FootnoteTextChar" w:customStyle="1">
    <w:name w:val="Footnote Text Char"/>
    <w:qFormat/>
    <w:rPr>
      <w:sz w:val="18"/>
    </w:rPr>
  </w:style>
  <w:style w:type="character" w:styleId="EndnoteTextChar" w:customStyle="1">
    <w:name w:val="Endnote Text Char"/>
    <w:qFormat/>
    <w:rPr>
      <w:sz w:val="20"/>
    </w:rPr>
  </w:style>
  <w:style w:type="character" w:styleId="WW8Num2z0" w:customStyle="1">
    <w:name w:val="WW8Num2z0"/>
    <w:qFormat/>
    <w:rPr/>
  </w:style>
  <w:style w:type="character" w:styleId="WW8Num3z0" w:customStyle="1">
    <w:name w:val="WW8Num3z0"/>
    <w:qFormat/>
    <w:rPr/>
  </w:style>
  <w:style w:type="character" w:styleId="WW8Num4z0" w:customStyle="1">
    <w:name w:val="WW8Num4z0"/>
    <w:qFormat/>
    <w:rPr>
      <w:rFonts w:ascii="Symbol" w:hAnsi="Symbol" w:cs="Symbol"/>
    </w:rPr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4z2" w:customStyle="1">
    <w:name w:val="WW8Num4z2"/>
    <w:qFormat/>
    <w:rPr>
      <w:rFonts w:ascii="Wingdings" w:hAnsi="Wingdings" w:cs="Wingdings"/>
    </w:rPr>
  </w:style>
  <w:style w:type="character" w:styleId="WW8Num5z0" w:customStyle="1">
    <w:name w:val="WW8Num5z0"/>
    <w:qFormat/>
    <w:rPr/>
  </w:style>
  <w:style w:type="character" w:styleId="WW8Num6z0" w:customStyle="1">
    <w:name w:val="WW8Num6z0"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12" w:customStyle="1">
    <w:name w:val="Основной шрифт абзаца1"/>
    <w:qFormat/>
    <w:rPr/>
  </w:style>
  <w:style w:type="character" w:styleId="Style7" w:customStyle="1">
    <w:name w:val="Подзаголовок Знак"/>
    <w:qFormat/>
    <w:rPr>
      <w:b/>
      <w:bCs/>
      <w:sz w:val="28"/>
      <w:szCs w:val="24"/>
      <w:lang w:val="ru-RU" w:bidi="ar-SA"/>
    </w:rPr>
  </w:style>
  <w:style w:type="character" w:styleId="PageNumber">
    <w:name w:val="page number"/>
    <w:basedOn w:val="12"/>
    <w:qFormat/>
    <w:rPr/>
  </w:style>
  <w:style w:type="character" w:styleId="Strong" w:customStyle="1">
    <w:name w:val="Strong"/>
    <w:qFormat/>
    <w:rPr>
      <w:b/>
      <w:bCs/>
    </w:rPr>
  </w:style>
  <w:style w:type="character" w:styleId="Style8" w:customStyle="1">
    <w:name w:val="Нижний колонтитул Знак"/>
    <w:qFormat/>
    <w:rPr>
      <w:sz w:val="24"/>
      <w:szCs w:val="24"/>
      <w:lang w:eastAsia="zh-CN"/>
    </w:rPr>
  </w:style>
  <w:style w:type="character" w:styleId="Style9" w:customStyle="1">
    <w:name w:val="Верхний колонтитул Знак"/>
    <w:qFormat/>
    <w:rPr>
      <w:sz w:val="24"/>
      <w:szCs w:val="24"/>
      <w:lang w:eastAsia="zh-CN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Style11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41" w:customStyle="1">
    <w:name w:val="Заголовок4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5" w:customStyle="1">
    <w:name w:val="Указатель5"/>
    <w:basedOn w:val="Normal"/>
    <w:qFormat/>
    <w:pPr>
      <w:suppressLineNumbers/>
    </w:pPr>
    <w:rPr/>
  </w:style>
  <w:style w:type="paragraph" w:styleId="21" w:customStyle="1">
    <w:name w:val="Заголовок2"/>
    <w:basedOn w:val="Normal"/>
    <w:next w:val="BodyText"/>
    <w:qFormat/>
    <w:pPr>
      <w:spacing w:before="300" w:after="200"/>
      <w:contextualSpacing/>
    </w:pPr>
    <w:rPr>
      <w:sz w:val="48"/>
      <w:szCs w:val="48"/>
    </w:rPr>
  </w:style>
  <w:style w:type="paragraph" w:styleId="31" w:customStyle="1">
    <w:name w:val="Заголовок3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32" w:customStyle="1">
    <w:name w:val="Название объекта3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42" w:customStyle="1">
    <w:name w:val="Указатель4"/>
    <w:basedOn w:val="Normal"/>
    <w:qFormat/>
    <w:pPr>
      <w:suppressLineNumbers/>
    </w:pPr>
    <w:rPr/>
  </w:style>
  <w:style w:type="paragraph" w:styleId="22" w:customStyle="1">
    <w:name w:val="Название объекта2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33" w:customStyle="1">
    <w:name w:val="Указатель3"/>
    <w:basedOn w:val="Normal"/>
    <w:qFormat/>
    <w:pPr>
      <w:suppressLineNumbers/>
    </w:pPr>
    <w:rPr/>
  </w:style>
  <w:style w:type="paragraph" w:styleId="13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14" w:customStyle="1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23" w:customStyle="1">
    <w:name w:val="Указатель2"/>
    <w:basedOn w:val="Normal"/>
    <w:qFormat/>
    <w:pPr>
      <w:suppressLineNumbers/>
    </w:pPr>
    <w:rPr/>
  </w:style>
  <w:style w:type="paragraph" w:styleId="indexheading1" w:customStyle="1">
    <w:name w:val="index heading1"/>
    <w:basedOn w:val="21"/>
    <w:qFormat/>
    <w:pPr/>
    <w:rPr/>
  </w:style>
  <w:style w:type="paragraph" w:styleId="ListParagraph" w:customStyle="1">
    <w:name w:val="List Paragraph"/>
    <w:basedOn w:val="Normal"/>
    <w:qFormat/>
    <w:pPr>
      <w:spacing w:before="0" w:after="0"/>
      <w:ind w:hanging="0" w:start="720"/>
      <w:contextualSpacing/>
    </w:pPr>
    <w:rPr/>
  </w:style>
  <w:style w:type="paragraph" w:styleId="NoSpacing" w:customStyle="1">
    <w:name w:val="No Spacing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NSimSun" w:cs="Arial"/>
      <w:color w:val="auto"/>
      <w:kern w:val="0"/>
      <w:sz w:val="20"/>
      <w:szCs w:val="20"/>
      <w:lang w:val="ru-RU" w:eastAsia="zh-CN" w:bidi="hi-IN"/>
    </w:rPr>
  </w:style>
  <w:style w:type="paragraph" w:styleId="Subtitle">
    <w:name w:val="Subtitle"/>
    <w:basedOn w:val="Normal"/>
    <w:next w:val="BodyText"/>
    <w:qFormat/>
    <w:pPr>
      <w:spacing w:before="0" w:after="0"/>
      <w:contextualSpacing/>
      <w:jc w:val="center"/>
    </w:pPr>
    <w:rPr>
      <w:b/>
      <w:bCs/>
      <w:sz w:val="28"/>
    </w:rPr>
  </w:style>
  <w:style w:type="paragraph" w:styleId="Quote" w:customStyle="1">
    <w:name w:val="Quote"/>
    <w:basedOn w:val="Normal"/>
    <w:qFormat/>
    <w:pPr>
      <w:ind w:hanging="0" w:start="720" w:end="720"/>
    </w:pPr>
    <w:rPr>
      <w:i/>
    </w:rPr>
  </w:style>
  <w:style w:type="paragraph" w:styleId="IntenseQuote" w:customStyle="1">
    <w:name w:val="Intense Quote"/>
    <w:basedOn w:val="Normal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hanging="0" w:start="720" w:end="720"/>
    </w:pPr>
    <w:rPr>
      <w:i/>
    </w:rPr>
  </w:style>
  <w:style w:type="paragraph" w:styleId="Style12" w:customStyle="1">
    <w:name w:val="Колонтитул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Style13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pPr>
      <w:spacing w:before="0" w:after="40"/>
    </w:pPr>
    <w:rPr>
      <w:sz w:val="18"/>
    </w:rPr>
  </w:style>
  <w:style w:type="paragraph" w:styleId="EndnoteText">
    <w:name w:val="endnote text"/>
    <w:basedOn w:val="Normal"/>
    <w:pPr/>
    <w:rPr>
      <w:sz w:val="20"/>
    </w:rPr>
  </w:style>
  <w:style w:type="paragraph" w:styleId="TOC1">
    <w:name w:val="toc 1"/>
    <w:basedOn w:val="Normal"/>
    <w:pPr>
      <w:spacing w:before="0" w:after="57"/>
    </w:pPr>
    <w:rPr/>
  </w:style>
  <w:style w:type="paragraph" w:styleId="TOC2">
    <w:name w:val="toc 2"/>
    <w:basedOn w:val="Normal"/>
    <w:pPr>
      <w:spacing w:before="0" w:after="57"/>
      <w:ind w:hanging="0" w:start="283"/>
    </w:pPr>
    <w:rPr/>
  </w:style>
  <w:style w:type="paragraph" w:styleId="TOC3">
    <w:name w:val="toc 3"/>
    <w:basedOn w:val="Normal"/>
    <w:pPr>
      <w:spacing w:before="0" w:after="57"/>
      <w:ind w:hanging="0" w:start="567"/>
    </w:pPr>
    <w:rPr/>
  </w:style>
  <w:style w:type="paragraph" w:styleId="TOC4">
    <w:name w:val="toc 4"/>
    <w:basedOn w:val="Normal"/>
    <w:pPr>
      <w:spacing w:before="0" w:after="57"/>
      <w:ind w:hanging="0" w:start="850"/>
    </w:pPr>
    <w:rPr/>
  </w:style>
  <w:style w:type="paragraph" w:styleId="TOC5">
    <w:name w:val="toc 5"/>
    <w:basedOn w:val="Normal"/>
    <w:pPr>
      <w:spacing w:before="0" w:after="57"/>
      <w:ind w:hanging="0" w:start="1134"/>
    </w:pPr>
    <w:rPr/>
  </w:style>
  <w:style w:type="paragraph" w:styleId="TOC6">
    <w:name w:val="toc 6"/>
    <w:basedOn w:val="Normal"/>
    <w:pPr>
      <w:spacing w:before="0" w:after="57"/>
      <w:ind w:hanging="0" w:start="1417"/>
    </w:pPr>
    <w:rPr/>
  </w:style>
  <w:style w:type="paragraph" w:styleId="TOC7">
    <w:name w:val="toc 7"/>
    <w:basedOn w:val="Normal"/>
    <w:pPr>
      <w:spacing w:before="0" w:after="57"/>
      <w:ind w:hanging="0" w:start="1701"/>
    </w:pPr>
    <w:rPr/>
  </w:style>
  <w:style w:type="paragraph" w:styleId="TOC8">
    <w:name w:val="toc 8"/>
    <w:basedOn w:val="Normal"/>
    <w:pPr>
      <w:spacing w:before="0" w:after="57"/>
      <w:ind w:hanging="0" w:start="1984"/>
    </w:pPr>
    <w:rPr/>
  </w:style>
  <w:style w:type="paragraph" w:styleId="TOC9">
    <w:name w:val="toc 9"/>
    <w:basedOn w:val="Normal"/>
    <w:pPr>
      <w:spacing w:before="0" w:after="57"/>
      <w:ind w:hanging="0" w:start="2268"/>
    </w:pPr>
    <w:rPr/>
  </w:style>
  <w:style w:type="paragraph" w:styleId="IndexHeading">
    <w:name w:val="index heading"/>
    <w:basedOn w:val="Style10"/>
    <w:qFormat/>
    <w:pPr/>
    <w:rPr/>
  </w:style>
  <w:style w:type="paragraph" w:styleId="TOCHeading" w:customStyle="1">
    <w:name w:val="TOC Heading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NSimSun" w:cs="Arial"/>
      <w:color w:val="auto"/>
      <w:kern w:val="0"/>
      <w:sz w:val="20"/>
      <w:szCs w:val="20"/>
      <w:lang w:val="ru-RU" w:eastAsia="zh-CN" w:bidi="hi-IN"/>
    </w:rPr>
  </w:style>
  <w:style w:type="paragraph" w:styleId="TableofFigures" w:customStyle="1">
    <w:name w:val="table of figures"/>
    <w:basedOn w:val="Normal"/>
    <w:qFormat/>
    <w:pPr/>
    <w:rPr/>
  </w:style>
  <w:style w:type="paragraph" w:styleId="15" w:customStyle="1">
    <w:name w:val="Указатель1"/>
    <w:basedOn w:val="Normal"/>
    <w:qFormat/>
    <w:pPr>
      <w:suppressLineNumbers/>
    </w:pPr>
    <w:rPr>
      <w:rFonts w:cs="Mangal"/>
    </w:rPr>
  </w:style>
  <w:style w:type="paragraph" w:styleId="BalloonText" w:customStyle="1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14" w:customStyle="1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15" w:customStyle="1">
    <w:name w:val="Содержимое врезки"/>
    <w:basedOn w:val="Normal"/>
    <w:qFormat/>
    <w:pPr/>
    <w:rPr/>
  </w:style>
  <w:style w:type="paragraph" w:styleId="Style16" w:customStyle="1">
    <w:name w:val="Содержимое таблицы"/>
    <w:basedOn w:val="Normal"/>
    <w:qFormat/>
    <w:pPr>
      <w:suppressLineNumbers/>
    </w:pPr>
    <w:rPr/>
  </w:style>
  <w:style w:type="paragraph" w:styleId="Style17" w:customStyle="1">
    <w:name w:val="Заголовок таблицы"/>
    <w:basedOn w:val="Style16"/>
    <w:qFormat/>
    <w:pPr>
      <w:jc w:val="center"/>
    </w:pPr>
    <w:rPr>
      <w:b/>
      <w:bCs/>
    </w:rPr>
  </w:style>
  <w:style w:type="paragraph" w:styleId="Style18" w:customStyle="1">
    <w:name w:val="Блочная цитата"/>
    <w:basedOn w:val="Normal"/>
    <w:qFormat/>
    <w:pPr>
      <w:spacing w:before="0" w:after="283"/>
      <w:ind w:hanging="0" w:start="567" w:end="567"/>
    </w:pPr>
    <w:rPr/>
  </w:style>
  <w:style w:type="paragraph" w:styleId="Style19" w:customStyle="1">
    <w:name w:val="Верхний колонтитул слева"/>
    <w:basedOn w:val="Normal"/>
    <w:qFormat/>
    <w:pPr>
      <w:suppressLineNumbers/>
      <w:tabs>
        <w:tab w:val="clear" w:pos="720"/>
        <w:tab w:val="center" w:pos="4677" w:leader="none"/>
        <w:tab w:val="right" w:pos="9354" w:leader="none"/>
      </w:tabs>
    </w:pPr>
    <w:rPr/>
  </w:style>
  <w:style w:type="paragraph" w:styleId="BodyTextIndent">
    <w:name w:val="Body Text Indent"/>
    <w:basedOn w:val="Normal"/>
    <w:pPr>
      <w:widowControl w:val="false"/>
      <w:ind w:firstLine="300"/>
    </w:pPr>
    <w:rPr>
      <w:sz w:val="20"/>
      <w:szCs w:val="20"/>
    </w:rPr>
  </w:style>
  <w:style w:type="paragraph" w:styleId="ConsPlusNormal">
    <w:name w:val="ConsPlusNormal"/>
    <w:qFormat/>
    <w:pPr>
      <w:widowControl w:val="false"/>
      <w:bidi w:val="0"/>
      <w:spacing w:before="0" w:after="0"/>
      <w:jc w:val="start"/>
    </w:pPr>
    <w:rPr>
      <w:rFonts w:ascii="Calibri" w:hAnsi="Calibri" w:cs="Calibri" w:eastAsia="Times New Roman"/>
      <w:color w:val="auto"/>
      <w:kern w:val="0"/>
      <w:sz w:val="20"/>
      <w:szCs w:val="20"/>
      <w:lang w:val="ru-RU" w:eastAsia="ru-RU" w:bidi="ar-SA"/>
    </w:rPr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Application>LibreOffice/26.2.1.2$Windows_X86_64 LibreOffice_project/620$Build-2</Application>
  <AppVersion>15.0000</AppVersion>
  <Pages>6</Pages>
  <Words>1791</Words>
  <Characters>13626</Characters>
  <CharactersWithSpaces>15521</CharactersWithSpaces>
  <Paragraphs>104</Paragraphs>
  <Company>КонсультантПлюс Версия 4025.00.52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2026-02-27T07:11:00Z</dcterms:created>
  <dc:creator>kapustinaos</dc:creator>
  <dc:description/>
  <dc:language>ru-RU</dc:language>
  <cp:lastModifiedBy/>
  <cp:lastPrinted>2026-02-27T05:16:00Z</cp:lastPrinted>
  <dcterms:modified xsi:type="dcterms:W3CDTF">2026-06-24T12:44:27Z</dcterms:modified>
  <cp:revision>13</cp:revision>
  <dc:subject/>
  <dc:title>Постановление Городской Управы г. Калуги от 29.06.2012 N 244-п(ред. от 10.11.2025)"Об утверждении административного регламента предоставления муниципальной услуги по выдаче разрешения на право организации розничного рынка на территории городского округа города Калуги Калужской области"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