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9E" w:rsidRPr="00AC249E" w:rsidRDefault="00AC249E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AC249E" w:rsidRPr="00AC249E" w:rsidRDefault="00AC249E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9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Городской Управы</w:t>
      </w:r>
    </w:p>
    <w:p w:rsidR="00AC249E" w:rsidRPr="00AC249E" w:rsidRDefault="00AC249E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Калуги</w:t>
      </w:r>
    </w:p>
    <w:p w:rsidR="00AC249E" w:rsidRDefault="009F4D34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15.08.2025</w:t>
      </w:r>
      <w:r w:rsidR="00AC249E" w:rsidRPr="00AC2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337-П</w:t>
      </w:r>
    </w:p>
    <w:p w:rsidR="00AC249E" w:rsidRPr="00AC249E" w:rsidRDefault="00AC249E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80"/>
      <w:bookmarkEnd w:id="1"/>
      <w:r w:rsidRPr="00DE69BD">
        <w:rPr>
          <w:rFonts w:ascii="Times New Roman" w:hAnsi="Times New Roman" w:cs="Times New Roman"/>
          <w:sz w:val="24"/>
          <w:szCs w:val="24"/>
        </w:rPr>
        <w:t>ПОЛОЖЕНИЕ</w:t>
      </w: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О РАЗМЕЩЕНИИ ОБЪЕКТОВ КАПИТАЛЬНОГО СТРОИТЕЛЬСТВА МЕСТНОГО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ЗНАЧЕНИЯ, А ТАКЖЕ О ХАРАКТЕРИСТИКАХ ПЛАНИРУЕМОГО РАЗВИТИЯ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ТЕРРИТОРИИ, В ТОМ ЧИСЛЕ ПЛОТНОСТИ И ПАРАМЕТРАХ ЗАСТРОЙКИ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ТЕРРИТОРИИ, И ХАРАКТЕРИСТИКАХ РАЗВИТИЯ СИСТЕМ СОЦИАЛЬНОГО,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ТРАНСПОРТНОГО ОБСЛУЖИВАНИЯ И ИНЖЕНЕРНО-ТЕХНИЧЕСКОГО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ОБЕСПЕЧЕНИЯ, НЕОБХОДИМЫХ ДЛЯ РАЗВИТИЯ ТЕРРИТОРИИ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t>1. Размещение объектов капитального строительства</w:t>
      </w:r>
    </w:p>
    <w:p w:rsidR="001E62E7" w:rsidRPr="00DE69BD" w:rsidRDefault="001E62E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t>местного значения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B73E5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Планируется размещение:</w:t>
      </w:r>
    </w:p>
    <w:p w:rsidR="001E62E7" w:rsidRPr="00DE69BD" w:rsidRDefault="001E62E7" w:rsidP="00B73E5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объекты образования: детский сад на 250 мест, начальная школа на 110 мест;</w:t>
      </w:r>
    </w:p>
    <w:p w:rsidR="001E62E7" w:rsidRPr="00DE69BD" w:rsidRDefault="001E62E7" w:rsidP="00B73E5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объекты физической культуры и спорта: спортивные площадки, корты;</w:t>
      </w:r>
    </w:p>
    <w:p w:rsidR="00B73E58" w:rsidRDefault="001E62E7" w:rsidP="00B73E5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автомобильные дороги, проезды.</w:t>
      </w:r>
    </w:p>
    <w:p w:rsidR="001E62E7" w:rsidRPr="00DE69BD" w:rsidRDefault="001E62E7" w:rsidP="00B73E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t>2. Характеристики планируемого развития территории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Таблица 1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1440"/>
        <w:gridCol w:w="1440"/>
      </w:tblGrid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B73E58" w:rsidRDefault="00826EC2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76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Расчетный</w:t>
            </w:r>
          </w:p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B73E58" w:rsidRPr="00DE69BD" w:rsidTr="00B73E58">
        <w:trPr>
          <w:trHeight w:val="246"/>
        </w:trPr>
        <w:tc>
          <w:tcPr>
            <w:tcW w:w="8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B73E58" w:rsidRPr="00B73E58" w:rsidRDefault="00B73E58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B73E58" w:rsidRPr="00B73E58" w:rsidRDefault="00B73E58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B73E58" w:rsidRPr="00B73E58" w:rsidRDefault="00B73E58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B73E58" w:rsidRPr="00B73E58" w:rsidRDefault="00B73E58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18" w:space="0" w:color="000001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18" w:space="0" w:color="000001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Площадь территории проектирования             </w:t>
            </w:r>
          </w:p>
        </w:tc>
        <w:tc>
          <w:tcPr>
            <w:tcW w:w="1440" w:type="dxa"/>
            <w:tcBorders>
              <w:top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18" w:space="0" w:color="000001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80,74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СЕЛИТЕБНАЯ ЗОНА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Зона малоэтажной (блокированной) жилой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застройки (участки площадью от 600 кв. м)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36,18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Зона общественно-деловой застройки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детское дошкольное учреждение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школа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фельдшерско-акушерский пункт и аптека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объекты административного и торгового 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назначения     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ЗОНА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33,66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производственный объект          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1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bottom w:val="single" w:sz="1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благоустройство, размещение инженерных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сооружений и коммуникаций, под транспортную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инфраструктуру 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25,13</w:t>
            </w:r>
          </w:p>
        </w:tc>
      </w:tr>
      <w:tr w:rsidR="00826EC2" w:rsidRPr="00DE69BD" w:rsidTr="00826EC2">
        <w:trPr>
          <w:trHeight w:val="246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C2" w:rsidRPr="00B73E58" w:rsidRDefault="00826EC2" w:rsidP="00826E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C2" w:rsidRPr="00B73E58" w:rsidRDefault="00826EC2" w:rsidP="00826E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C2" w:rsidRPr="00B73E58" w:rsidRDefault="00826EC2" w:rsidP="00826E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C2" w:rsidRPr="00B73E58" w:rsidRDefault="00826EC2" w:rsidP="00826E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18" w:space="0" w:color="auto"/>
              <w:left w:val="single" w:sz="18" w:space="0" w:color="000001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1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Для сельскохозяйственного использования       </w:t>
            </w:r>
          </w:p>
        </w:tc>
        <w:tc>
          <w:tcPr>
            <w:tcW w:w="1440" w:type="dxa"/>
            <w:tcBorders>
              <w:top w:val="single" w:sz="1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1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826EC2" w:rsidP="00826EC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ЛАНДШАФТНО-РЕКРЕАЦИОННОГО НАЗНАЧЕНИЯ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благоустройство, озеленение, объекты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РЕЗЕРВНАЯ ЗОНА 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транспортную инфраструктуру, инженерные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сооружения и коммуникации. Под        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благоустройство, озеленение, объекты  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 застройки территории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Расчетная численность населения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населения  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чел./га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Расчетное количество малоэтажных      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(блокированных) жилых домов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жилой застройки (фонд)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42161E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60300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жилищной обеспеченности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42161E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м/чел.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760" w:type="dxa"/>
            <w:tcBorders>
              <w:top w:val="single" w:sz="8" w:space="0" w:color="auto"/>
              <w:bottom w:val="single" w:sz="18" w:space="0" w:color="000001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плотности жилой застройки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8" w:space="0" w:color="000001"/>
            </w:tcBorders>
          </w:tcPr>
          <w:p w:rsidR="001E62E7" w:rsidRPr="00DE69BD" w:rsidRDefault="0042161E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м/га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1667</w:t>
            </w:r>
          </w:p>
        </w:tc>
      </w:tr>
    </w:tbl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1B3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t>3. Характеристика развития систем социального</w:t>
      </w:r>
      <w:r w:rsidR="0082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b/>
          <w:sz w:val="24"/>
          <w:szCs w:val="24"/>
        </w:rPr>
        <w:t>обслуживания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Проектом предусматривается размещение:</w:t>
      </w: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начальной школы общей вместимостью 110 мест;</w:t>
      </w: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детского сада общей вместимостью 250 мест;</w:t>
      </w: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фельдшерско-акушерского пункта и аптеки (площадь здания определяется на последующих этапах проектирования);</w:t>
      </w: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шести объектов административного и торгового назначения на отдельно сформированных земельных участках, предполагаемая площадь помещений под магазин прод</w:t>
      </w:r>
      <w:r w:rsidR="0042161E">
        <w:rPr>
          <w:rFonts w:ascii="Times New Roman" w:hAnsi="Times New Roman" w:cs="Times New Roman"/>
          <w:sz w:val="24"/>
          <w:szCs w:val="24"/>
        </w:rPr>
        <w:t>овольственных товаров - 170 кв.</w:t>
      </w:r>
      <w:r w:rsidRPr="00DE69BD">
        <w:rPr>
          <w:rFonts w:ascii="Times New Roman" w:hAnsi="Times New Roman" w:cs="Times New Roman"/>
          <w:sz w:val="24"/>
          <w:szCs w:val="24"/>
        </w:rPr>
        <w:t>м, под магазин непро</w:t>
      </w:r>
      <w:r w:rsidR="0042161E">
        <w:rPr>
          <w:rFonts w:ascii="Times New Roman" w:hAnsi="Times New Roman" w:cs="Times New Roman"/>
          <w:sz w:val="24"/>
          <w:szCs w:val="24"/>
        </w:rPr>
        <w:t>довольственных                                     товаров - 72 кв.</w:t>
      </w:r>
      <w:r w:rsidRPr="00DE69BD">
        <w:rPr>
          <w:rFonts w:ascii="Times New Roman" w:hAnsi="Times New Roman" w:cs="Times New Roman"/>
          <w:sz w:val="24"/>
          <w:szCs w:val="24"/>
        </w:rPr>
        <w:t xml:space="preserve">м, размещение административно-хозяйственных структур (в </w:t>
      </w:r>
      <w:r w:rsidR="00AE26F5">
        <w:rPr>
          <w:rFonts w:ascii="Times New Roman" w:hAnsi="Times New Roman" w:cs="Times New Roman"/>
          <w:sz w:val="24"/>
          <w:szCs w:val="24"/>
        </w:rPr>
        <w:t>том числе</w:t>
      </w:r>
      <w:r w:rsidRPr="00DE69BD">
        <w:rPr>
          <w:rFonts w:ascii="Times New Roman" w:hAnsi="Times New Roman" w:cs="Times New Roman"/>
          <w:sz w:val="24"/>
          <w:szCs w:val="24"/>
        </w:rPr>
        <w:t xml:space="preserve"> управляющая компания, о</w:t>
      </w:r>
      <w:r w:rsidR="0042161E">
        <w:rPr>
          <w:rFonts w:ascii="Times New Roman" w:hAnsi="Times New Roman" w:cs="Times New Roman"/>
          <w:sz w:val="24"/>
          <w:szCs w:val="24"/>
        </w:rPr>
        <w:t>порный пункт милиции) - 100 кв.</w:t>
      </w:r>
      <w:r w:rsidRPr="00DE69BD">
        <w:rPr>
          <w:rFonts w:ascii="Times New Roman" w:hAnsi="Times New Roman" w:cs="Times New Roman"/>
          <w:sz w:val="24"/>
          <w:szCs w:val="24"/>
        </w:rPr>
        <w:t>м, площадь зданий предприятий общественного питания и бытового обслуживания определяется на последующих этапах проектирования;</w:t>
      </w:r>
    </w:p>
    <w:p w:rsidR="001E62E7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спортивных площадок, открытых физкультурных площадок (площадь сооружений определяется на последующих этапах проектирования)</w:t>
      </w:r>
      <w:r w:rsidR="00DE69BD">
        <w:rPr>
          <w:rFonts w:ascii="Times New Roman" w:hAnsi="Times New Roman" w:cs="Times New Roman"/>
          <w:sz w:val="24"/>
          <w:szCs w:val="24"/>
        </w:rPr>
        <w:t>;</w:t>
      </w:r>
    </w:p>
    <w:p w:rsidR="001E62E7" w:rsidRDefault="00DE69BD" w:rsidP="00826EC2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>- магазина-склада.</w:t>
      </w:r>
    </w:p>
    <w:p w:rsidR="00AE26F5" w:rsidRPr="00DE69BD" w:rsidRDefault="00AE26F5" w:rsidP="00826EC2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826E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lastRenderedPageBreak/>
        <w:t>4. Характеристика развития системы транспортного</w:t>
      </w:r>
      <w:r w:rsidR="0082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b/>
          <w:sz w:val="24"/>
          <w:szCs w:val="24"/>
        </w:rPr>
        <w:t>обслуживания</w:t>
      </w:r>
    </w:p>
    <w:p w:rsidR="00826EC2" w:rsidRPr="00DE69BD" w:rsidRDefault="00826E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A71B38" w:rsidRDefault="001E62E7" w:rsidP="00153E2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>Проектом предусматривается:</w:t>
      </w:r>
    </w:p>
    <w:p w:rsidR="001E62E7" w:rsidRPr="00A71B38" w:rsidRDefault="001E62E7" w:rsidP="00153E2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 xml:space="preserve">1. Реконструкция существующей поселковой </w:t>
      </w:r>
      <w:r w:rsidR="0042161E">
        <w:rPr>
          <w:rFonts w:ascii="Times New Roman" w:hAnsi="Times New Roman" w:cs="Times New Roman"/>
          <w:sz w:val="24"/>
          <w:szCs w:val="24"/>
        </w:rPr>
        <w:t>дороги муниципального значения «</w:t>
      </w:r>
      <w:r w:rsidRPr="00A71B38">
        <w:rPr>
          <w:rFonts w:ascii="Times New Roman" w:hAnsi="Times New Roman" w:cs="Times New Roman"/>
          <w:sz w:val="24"/>
          <w:szCs w:val="24"/>
        </w:rPr>
        <w:t>Бабын</w:t>
      </w:r>
      <w:r w:rsidR="0042161E">
        <w:rPr>
          <w:rFonts w:ascii="Times New Roman" w:hAnsi="Times New Roman" w:cs="Times New Roman"/>
          <w:sz w:val="24"/>
          <w:szCs w:val="24"/>
        </w:rPr>
        <w:t>ино - Воротынск - поворот Росва - д. Яглово»</w:t>
      </w:r>
      <w:r w:rsidRPr="00A71B38">
        <w:rPr>
          <w:rFonts w:ascii="Times New Roman" w:hAnsi="Times New Roman" w:cs="Times New Roman"/>
          <w:sz w:val="24"/>
          <w:szCs w:val="24"/>
        </w:rPr>
        <w:t xml:space="preserve"> с целью доведени</w:t>
      </w:r>
      <w:r w:rsidR="0042161E">
        <w:rPr>
          <w:rFonts w:ascii="Times New Roman" w:hAnsi="Times New Roman" w:cs="Times New Roman"/>
          <w:sz w:val="24"/>
          <w:szCs w:val="24"/>
        </w:rPr>
        <w:t>я до нормативного уровня, в т</w:t>
      </w:r>
      <w:r w:rsidR="00AE26F5">
        <w:rPr>
          <w:rFonts w:ascii="Times New Roman" w:hAnsi="Times New Roman" w:cs="Times New Roman"/>
          <w:sz w:val="24"/>
          <w:szCs w:val="24"/>
        </w:rPr>
        <w:t xml:space="preserve">ом числе </w:t>
      </w:r>
      <w:r w:rsidRPr="00A71B38">
        <w:rPr>
          <w:rFonts w:ascii="Times New Roman" w:hAnsi="Times New Roman" w:cs="Times New Roman"/>
          <w:sz w:val="24"/>
          <w:szCs w:val="24"/>
        </w:rPr>
        <w:t>уширение геометрических параметров проезжей части для организации двухстороннего движения.</w:t>
      </w:r>
    </w:p>
    <w:p w:rsidR="001E62E7" w:rsidRPr="00A71B38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>2. Движение общественного транспорта - три остановочных пункта маршрута общественного транспорта - в центральной, северной и восточной частях малоэтажной застройки, радиус пешеходной доступности - 500 м. Самостоятельная внутренняя система пассажирского транспорта на территории не проектируется в связи с тем, что линейные размеры малоэтажной застройки не превышают 2000 м.</w:t>
      </w:r>
    </w:p>
    <w:p w:rsidR="001E62E7" w:rsidRPr="00A71B38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>3. Хранение индивидуального транспорта предполагается на приусадебных участках.</w:t>
      </w:r>
    </w:p>
    <w:p w:rsidR="00A766C7" w:rsidRDefault="00153E23" w:rsidP="004216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A766C7" w:rsidSect="00BB5E3B">
          <w:headerReference w:type="default" r:id="rId6"/>
          <w:pgSz w:w="11906" w:h="16838"/>
          <w:pgMar w:top="993" w:right="850" w:bottom="426" w:left="1701" w:header="708" w:footer="708" w:gutter="0"/>
          <w:cols w:space="708"/>
          <w:titlePg/>
          <w:docGrid w:linePitch="360"/>
        </w:sectPr>
      </w:pPr>
      <w:r w:rsidRPr="00A71B38">
        <w:rPr>
          <w:rFonts w:ascii="Times New Roman" w:hAnsi="Times New Roman" w:cs="Times New Roman"/>
          <w:sz w:val="24"/>
          <w:szCs w:val="24"/>
        </w:rPr>
        <w:t xml:space="preserve">4. Завершение строительства улиц и проездов, </w:t>
      </w:r>
      <w:r w:rsidR="00AE26F5">
        <w:rPr>
          <w:rFonts w:ascii="Times New Roman" w:hAnsi="Times New Roman" w:cs="Times New Roman"/>
          <w:sz w:val="24"/>
          <w:szCs w:val="24"/>
        </w:rPr>
        <w:t>п</w:t>
      </w:r>
      <w:r w:rsidRPr="00A71B38">
        <w:rPr>
          <w:rFonts w:ascii="Times New Roman" w:hAnsi="Times New Roman" w:cs="Times New Roman"/>
          <w:sz w:val="24"/>
          <w:szCs w:val="24"/>
        </w:rPr>
        <w:t xml:space="preserve">араметры и характеристики принимаются в соответствии с </w:t>
      </w:r>
      <w:r w:rsidR="00AE26F5">
        <w:rPr>
          <w:rFonts w:ascii="Times New Roman" w:hAnsi="Times New Roman" w:cs="Times New Roman"/>
          <w:sz w:val="24"/>
          <w:szCs w:val="24"/>
        </w:rPr>
        <w:t>т</w:t>
      </w:r>
      <w:r w:rsidRPr="00A71B38">
        <w:rPr>
          <w:rFonts w:ascii="Times New Roman" w:hAnsi="Times New Roman" w:cs="Times New Roman"/>
          <w:sz w:val="24"/>
          <w:szCs w:val="24"/>
        </w:rPr>
        <w:t>аблиц</w:t>
      </w:r>
      <w:r w:rsidR="00AE26F5">
        <w:rPr>
          <w:rFonts w:ascii="Times New Roman" w:hAnsi="Times New Roman" w:cs="Times New Roman"/>
          <w:sz w:val="24"/>
          <w:szCs w:val="24"/>
        </w:rPr>
        <w:t>ей</w:t>
      </w:r>
      <w:r w:rsidRPr="00A71B38">
        <w:rPr>
          <w:rFonts w:ascii="Times New Roman" w:hAnsi="Times New Roman" w:cs="Times New Roman"/>
          <w:sz w:val="24"/>
          <w:szCs w:val="24"/>
        </w:rPr>
        <w:t xml:space="preserve"> 11.4 СП 42.13330.2016. </w:t>
      </w:r>
      <w:r w:rsidR="00AE26F5">
        <w:rPr>
          <w:rFonts w:ascii="Times New Roman" w:hAnsi="Times New Roman" w:cs="Times New Roman"/>
          <w:sz w:val="24"/>
          <w:szCs w:val="24"/>
        </w:rPr>
        <w:t>«</w:t>
      </w:r>
      <w:r w:rsidRPr="00A71B38">
        <w:rPr>
          <w:rFonts w:ascii="Times New Roman" w:hAnsi="Times New Roman" w:cs="Times New Roman"/>
          <w:sz w:val="24"/>
          <w:szCs w:val="24"/>
        </w:rPr>
        <w:t>Свод правил. Градостроительство. Планировка и застройка городских и сельских поселений. Актуализированная редакция СНиП 2.07.01-89*</w:t>
      </w:r>
      <w:r w:rsidR="00AE26F5">
        <w:rPr>
          <w:rFonts w:ascii="Times New Roman" w:hAnsi="Times New Roman" w:cs="Times New Roman"/>
          <w:sz w:val="24"/>
          <w:szCs w:val="24"/>
        </w:rPr>
        <w:t>»</w:t>
      </w:r>
      <w:r w:rsidR="00A766C7" w:rsidRPr="00A71B38">
        <w:rPr>
          <w:rFonts w:ascii="Times New Roman" w:hAnsi="Times New Roman" w:cs="Times New Roman"/>
          <w:sz w:val="24"/>
          <w:szCs w:val="24"/>
        </w:rPr>
        <w:t xml:space="preserve"> (</w:t>
      </w:r>
      <w:r w:rsidR="00AE26F5">
        <w:rPr>
          <w:rFonts w:ascii="Times New Roman" w:hAnsi="Times New Roman" w:cs="Times New Roman"/>
          <w:sz w:val="24"/>
          <w:szCs w:val="24"/>
        </w:rPr>
        <w:t>т</w:t>
      </w:r>
      <w:r w:rsidR="00A766C7" w:rsidRPr="00A71B38">
        <w:rPr>
          <w:rFonts w:ascii="Times New Roman" w:hAnsi="Times New Roman" w:cs="Times New Roman"/>
          <w:sz w:val="24"/>
          <w:szCs w:val="24"/>
        </w:rPr>
        <w:t>аблица 2)</w:t>
      </w:r>
      <w:r w:rsidR="0042161E">
        <w:rPr>
          <w:rFonts w:ascii="Times New Roman" w:hAnsi="Times New Roman" w:cs="Times New Roman"/>
          <w:sz w:val="24"/>
          <w:szCs w:val="24"/>
        </w:rPr>
        <w:t>.</w:t>
      </w:r>
    </w:p>
    <w:p w:rsidR="001E62E7" w:rsidRPr="00A766C7" w:rsidRDefault="001E62E7" w:rsidP="00A766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A766C7" w:rsidRDefault="001E62E7" w:rsidP="00A766C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766C7">
        <w:rPr>
          <w:rFonts w:ascii="Times New Roman" w:hAnsi="Times New Roman" w:cs="Times New Roman"/>
          <w:sz w:val="24"/>
          <w:szCs w:val="24"/>
        </w:rPr>
        <w:t>Таблица 2</w:t>
      </w:r>
    </w:p>
    <w:p w:rsidR="00153E23" w:rsidRPr="00A766C7" w:rsidRDefault="00153E23" w:rsidP="00A766C7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1560"/>
        <w:gridCol w:w="1559"/>
        <w:gridCol w:w="1861"/>
        <w:gridCol w:w="1559"/>
        <w:gridCol w:w="1559"/>
        <w:gridCol w:w="1701"/>
        <w:gridCol w:w="1825"/>
        <w:gridCol w:w="1559"/>
      </w:tblGrid>
      <w:tr w:rsidR="00A766C7" w:rsidRPr="00A766C7" w:rsidTr="0042161E">
        <w:tc>
          <w:tcPr>
            <w:tcW w:w="184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сельских улиц и дорог</w:t>
            </w:r>
          </w:p>
        </w:tc>
        <w:tc>
          <w:tcPr>
            <w:tcW w:w="156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Расчетная скорость движения, км/ч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полосы движения, м</w:t>
            </w:r>
          </w:p>
        </w:tc>
        <w:tc>
          <w:tcPr>
            <w:tcW w:w="186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Число полос движения (суммарно в двух направлениях)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Наимень</w:t>
            </w:r>
            <w:r w:rsidR="00AE2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ший радиус кривых в плане без виража, м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Наибольший продольный уклон, </w:t>
            </w:r>
            <w:r w:rsidRPr="0042161E">
              <w:rPr>
                <w:rFonts w:ascii="Times New Roman" w:hAnsi="Times New Roman" w:cs="Times New Roman"/>
                <w:b/>
                <w:noProof/>
                <w:position w:val="-4"/>
                <w:sz w:val="24"/>
                <w:szCs w:val="24"/>
              </w:rPr>
              <w:drawing>
                <wp:inline distT="0" distB="0" distL="0" distR="0">
                  <wp:extent cx="219710" cy="201930"/>
                  <wp:effectExtent l="0" t="0" r="8890" b="7620"/>
                  <wp:docPr id="1" name="Рисунок 1" descr="base_44_24938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44_24938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Наименьший радиус вертикальной выпуклой кривой, м</w:t>
            </w:r>
          </w:p>
        </w:tc>
        <w:tc>
          <w:tcPr>
            <w:tcW w:w="182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Наименьший радиус вертикальной вогнутой кривой, м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пешеходной части тротуара, м</w:t>
            </w:r>
          </w:p>
        </w:tc>
      </w:tr>
      <w:tr w:rsidR="00A766C7" w:rsidRPr="00A766C7" w:rsidTr="0042161E">
        <w:tc>
          <w:tcPr>
            <w:tcW w:w="1843" w:type="dxa"/>
            <w:tcBorders>
              <w:top w:val="single" w:sz="18" w:space="0" w:color="000001"/>
              <w:left w:val="single" w:sz="18" w:space="0" w:color="000001"/>
            </w:tcBorders>
          </w:tcPr>
          <w:p w:rsidR="00153E23" w:rsidRPr="00A71B38" w:rsidRDefault="00153E23" w:rsidP="00A76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Местные улицы</w:t>
            </w:r>
          </w:p>
        </w:tc>
        <w:tc>
          <w:tcPr>
            <w:tcW w:w="1560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61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25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single" w:sz="18" w:space="0" w:color="000001"/>
              <w:right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66C7" w:rsidRPr="00A766C7" w:rsidTr="0042161E">
        <w:tc>
          <w:tcPr>
            <w:tcW w:w="1843" w:type="dxa"/>
            <w:tcBorders>
              <w:left w:val="single" w:sz="18" w:space="0" w:color="000001"/>
              <w:bottom w:val="single" w:sz="18" w:space="0" w:color="000001"/>
            </w:tcBorders>
          </w:tcPr>
          <w:p w:rsidR="00153E23" w:rsidRPr="00A71B38" w:rsidRDefault="00153E23" w:rsidP="00A76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Проезды</w:t>
            </w:r>
          </w:p>
        </w:tc>
        <w:tc>
          <w:tcPr>
            <w:tcW w:w="1560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61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25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bottom w:val="single" w:sz="18" w:space="0" w:color="000001"/>
              <w:right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53E23" w:rsidRPr="00A766C7" w:rsidRDefault="00153E23" w:rsidP="00A766C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53E23" w:rsidRPr="00A766C7" w:rsidRDefault="00153E23" w:rsidP="00A76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E23" w:rsidRPr="00A766C7" w:rsidRDefault="00153E23" w:rsidP="00A766C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766C7" w:rsidRDefault="00A766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A766C7" w:rsidSect="00A766C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E62E7" w:rsidRPr="00A766C7" w:rsidRDefault="001E62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lastRenderedPageBreak/>
        <w:t>5. Характеристики развития системы инженерно-технического</w:t>
      </w:r>
    </w:p>
    <w:p w:rsidR="001E62E7" w:rsidRPr="00A766C7" w:rsidRDefault="001E62E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обеспечения территории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A71B38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1B38">
        <w:rPr>
          <w:rFonts w:ascii="Times New Roman" w:hAnsi="Times New Roman" w:cs="Times New Roman"/>
          <w:b/>
          <w:sz w:val="24"/>
          <w:szCs w:val="24"/>
        </w:rPr>
        <w:t>5.1. Водоснабжение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 xml:space="preserve">1. Водоснабжение потребителей предусматривается из новых подземных источников (артезианских скважин), расположенных за пределами территории вблизи </w:t>
      </w:r>
      <w:r w:rsidR="00AE26F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E69BD">
        <w:rPr>
          <w:rFonts w:ascii="Times New Roman" w:hAnsi="Times New Roman" w:cs="Times New Roman"/>
          <w:sz w:val="24"/>
          <w:szCs w:val="24"/>
        </w:rPr>
        <w:t>д. Шейная Гора Бабынинского района. Планиру</w:t>
      </w:r>
      <w:r w:rsidR="0042161E">
        <w:rPr>
          <w:rFonts w:ascii="Times New Roman" w:hAnsi="Times New Roman" w:cs="Times New Roman"/>
          <w:sz w:val="24"/>
          <w:szCs w:val="24"/>
        </w:rPr>
        <w:t>емое водопотребление - 940 куб.</w:t>
      </w:r>
      <w:r w:rsidRPr="00DE69BD">
        <w:rPr>
          <w:rFonts w:ascii="Times New Roman" w:hAnsi="Times New Roman" w:cs="Times New Roman"/>
          <w:sz w:val="24"/>
          <w:szCs w:val="24"/>
        </w:rPr>
        <w:t>м/сут.</w:t>
      </w: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2. Точку подключения принять в северо-западной части рассматриваемой территории. Технические параметры магистрального водовода уточняются на последующих стадиях проектирования.</w:t>
      </w: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3. Предусматривается кольцевание внутриквартальных сетей хозяйственно-питьевого водопровода с устройством на сети пожарных гидрантов для наружного пожаротушения.</w:t>
      </w:r>
    </w:p>
    <w:p w:rsidR="001E62E7" w:rsidRPr="00A766C7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5.2. Водоотведение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1. Проектом предлагается раздельная система канализации с применением двух независимых систем отвода сточных вод: коллектор ливневой канализации (водосток) и коллектор хозяйственно-бытовой канализации (напорная, самотечная). Планируемый</w:t>
      </w:r>
      <w:r w:rsidR="0042161E">
        <w:rPr>
          <w:rFonts w:ascii="Times New Roman" w:hAnsi="Times New Roman" w:cs="Times New Roman"/>
          <w:sz w:val="24"/>
          <w:szCs w:val="24"/>
        </w:rPr>
        <w:t xml:space="preserve"> объем сточных вод - 700,0 куб.</w:t>
      </w:r>
      <w:r w:rsidRPr="00DE69BD">
        <w:rPr>
          <w:rFonts w:ascii="Times New Roman" w:hAnsi="Times New Roman" w:cs="Times New Roman"/>
          <w:sz w:val="24"/>
          <w:szCs w:val="24"/>
        </w:rPr>
        <w:t>м/сутки, режим водоотведения - круглосуточный.</w:t>
      </w:r>
    </w:p>
    <w:p w:rsidR="001E62E7" w:rsidRPr="00DE69BD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2. Отведение хозяйственно-бытовых стоков осуществлять при помощи врезки в коллектор Ду 500 мм, идущий от п. Куровского на ГКНС п. Росва, сброс сточных вод в ручей д. Яглово.</w:t>
      </w:r>
    </w:p>
    <w:p w:rsidR="001E62E7" w:rsidRPr="00A766C7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5.3. Теплоснабжение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1. Теплоснабжение жилых домов, объектов административно-торгового назначения предусматривается с помощью индивидуальных отопительных систем, расположенных в каждом здании, с использованием природного газа.</w:t>
      </w:r>
    </w:p>
    <w:p w:rsidR="001E62E7" w:rsidRPr="00DE69BD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2. Расчетный максимальный тепловой поток для детского сада и начальной школы составит 0,6083 Гкал/ч от блочно-модульной котельной в границах выделенной территории под данные объекты.</w:t>
      </w:r>
    </w:p>
    <w:p w:rsidR="001E62E7" w:rsidRPr="00A766C7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5.4. Газоснабжение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A71B38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62E7" w:rsidRPr="00DE69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E62E7" w:rsidRPr="00DE69BD">
        <w:rPr>
          <w:rFonts w:ascii="Times New Roman" w:hAnsi="Times New Roman" w:cs="Times New Roman"/>
          <w:sz w:val="24"/>
          <w:szCs w:val="24"/>
        </w:rPr>
        <w:t>бъем потребления пр</w:t>
      </w:r>
      <w:r w:rsidR="0042161E">
        <w:rPr>
          <w:rFonts w:ascii="Times New Roman" w:hAnsi="Times New Roman" w:cs="Times New Roman"/>
          <w:sz w:val="24"/>
          <w:szCs w:val="24"/>
        </w:rPr>
        <w:t>иродного газа - 2,258 тыс. куб.</w:t>
      </w:r>
      <w:r w:rsidR="001E62E7" w:rsidRPr="00DE69BD">
        <w:rPr>
          <w:rFonts w:ascii="Times New Roman" w:hAnsi="Times New Roman" w:cs="Times New Roman"/>
          <w:sz w:val="24"/>
          <w:szCs w:val="24"/>
        </w:rPr>
        <w:t>м/ч, в том числе расход газа на модульную котельную для детского сада и начальной школы - 250 нкуб. м/ч.</w:t>
      </w:r>
    </w:p>
    <w:p w:rsidR="001E62E7" w:rsidRPr="00DE69BD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3. Точка подключения - существующий подземный газопровод D = 219 x 6 мм в районе п. Росва, точное местоположение будет определено на последующей стадии проектирования.</w:t>
      </w:r>
    </w:p>
    <w:p w:rsidR="001E62E7" w:rsidRPr="00A766C7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lastRenderedPageBreak/>
        <w:t>5.5. Электроснабжение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1. Электроснабжение предлагается осуществлять от ПС Росва</w:t>
      </w:r>
      <w:r w:rsidR="00AE26F5">
        <w:rPr>
          <w:rFonts w:ascii="Times New Roman" w:hAnsi="Times New Roman" w:cs="Times New Roman"/>
          <w:sz w:val="24"/>
          <w:szCs w:val="24"/>
        </w:rPr>
        <w:t>,</w:t>
      </w:r>
      <w:r w:rsidRPr="00DE69BD">
        <w:rPr>
          <w:rFonts w:ascii="Times New Roman" w:hAnsi="Times New Roman" w:cs="Times New Roman"/>
          <w:sz w:val="24"/>
          <w:szCs w:val="24"/>
        </w:rPr>
        <w:t xml:space="preserve"> от проектируемой ЛЭП-10 кВ. Распределение электроэнергии предусматривается через распределительную трансформаторную подстанцию (РП-10 кВ). Максимальная нагрузка планируемой застройки - 1720 кВт.</w:t>
      </w: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2. Сеть электроснабжения предусматривается воздушная и подземная кольцевая с понижающими ТП-10/0,4 кВ - девять штук, с индивидуальными кабельными вводами и распределительными щитами (с приборами учета электроэнергии) в зданиях и сооружениях.</w:t>
      </w:r>
    </w:p>
    <w:p w:rsidR="001E62E7" w:rsidRPr="00DE69BD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3. В жилом микрорайоне предусмотрена сеть наружного и аварийного освещения.</w:t>
      </w:r>
    </w:p>
    <w:p w:rsidR="001E62E7" w:rsidRDefault="001E62E7" w:rsidP="0042161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5.6. Связь</w:t>
      </w:r>
    </w:p>
    <w:p w:rsidR="00AE26F5" w:rsidRPr="0042161E" w:rsidRDefault="00AE26F5" w:rsidP="0042161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E62E7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1. Проектом предлагается провести кабель связи по столбам линий электропередач в соответствии с правилами устройства электроустановок и оборудовать до 603 телефонных номеров для индивидуального использования, а также телефонизировать все объекты социально-культурного, административного и торгового назначения. Предлагается установить 1 таксофон для общественного использования.</w:t>
      </w:r>
    </w:p>
    <w:p w:rsidR="0042161E" w:rsidRPr="00DE69BD" w:rsidRDefault="0042161E" w:rsidP="0042161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A766C7" w:rsidRDefault="00A766C7" w:rsidP="004216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6</w:t>
      </w:r>
      <w:r w:rsidR="001E62E7" w:rsidRPr="00A766C7">
        <w:rPr>
          <w:rFonts w:ascii="Times New Roman" w:hAnsi="Times New Roman" w:cs="Times New Roman"/>
          <w:b/>
          <w:sz w:val="24"/>
          <w:szCs w:val="24"/>
        </w:rPr>
        <w:t>. Основные технико-экономические показатели проекта</w:t>
      </w:r>
    </w:p>
    <w:p w:rsidR="001E62E7" w:rsidRDefault="00AE26F5" w:rsidP="004216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П</w:t>
      </w:r>
      <w:r w:rsidR="001E62E7" w:rsidRPr="00A766C7">
        <w:rPr>
          <w:rFonts w:ascii="Times New Roman" w:hAnsi="Times New Roman" w:cs="Times New Roman"/>
          <w:b/>
          <w:sz w:val="24"/>
          <w:szCs w:val="24"/>
        </w:rPr>
        <w:t>ланировки</w:t>
      </w:r>
    </w:p>
    <w:p w:rsidR="00AE26F5" w:rsidRPr="0042161E" w:rsidRDefault="00AE26F5" w:rsidP="004216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2E7" w:rsidRDefault="001E62E7" w:rsidP="004216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Таблица 3</w:t>
      </w:r>
    </w:p>
    <w:p w:rsidR="00AE26F5" w:rsidRPr="00DE69BD" w:rsidRDefault="00AE26F5" w:rsidP="004216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591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52"/>
        <w:gridCol w:w="6041"/>
        <w:gridCol w:w="1278"/>
        <w:gridCol w:w="1420"/>
      </w:tblGrid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42161E" w:rsidRDefault="0042161E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4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42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1E62E7" w:rsidRPr="00DE69BD" w:rsidTr="00AE26F5">
        <w:trPr>
          <w:trHeight w:val="229"/>
        </w:trPr>
        <w:tc>
          <w:tcPr>
            <w:tcW w:w="6893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Площадь территории в границах проектирования   </w:t>
            </w:r>
          </w:p>
        </w:tc>
        <w:tc>
          <w:tcPr>
            <w:tcW w:w="127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80,74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18" w:space="0" w:color="000001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1" w:type="dxa"/>
            <w:tcBorders>
              <w:top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земельных участков     </w:t>
            </w:r>
          </w:p>
        </w:tc>
        <w:tc>
          <w:tcPr>
            <w:tcW w:w="1278" w:type="dxa"/>
            <w:tcBorders>
              <w:top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80,74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Под малоэтажно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е жилищное строительство и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блокированную застройку       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36,18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Под размещение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здравоохранения,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социально-куль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турного, торгового и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назначения  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производственные объекты  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Под благоустро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йство и озеленение, занятия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культурой и спортом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сельскохозяйственное использование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Под благоустро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йство и размещение объектов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инженерной и транспортной инфраструктур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25,13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земель резерва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застройки           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BB5E3B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м/га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746,8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застройки под жилыми зданиями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BB5E3B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60300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плотности застройки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</w:tr>
      <w:tr w:rsidR="001E62E7" w:rsidRPr="00DE69BD" w:rsidTr="00AE26F5">
        <w:trPr>
          <w:trHeight w:val="15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  <w:bottom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1" w:type="dxa"/>
            <w:tcBorders>
              <w:top w:val="single" w:sz="8" w:space="0" w:color="auto"/>
              <w:bottom w:val="single" w:sz="18" w:space="0" w:color="000001"/>
            </w:tcBorders>
          </w:tcPr>
          <w:p w:rsidR="001E62E7" w:rsidRPr="00DE69BD" w:rsidRDefault="001E62E7" w:rsidP="00AE26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озеленения 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</w:tr>
    </w:tbl>
    <w:p w:rsidR="001E62E7" w:rsidRPr="00DE69BD" w:rsidRDefault="001E62E7" w:rsidP="00AE26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1E62E7" w:rsidRPr="00DE69BD" w:rsidSect="00AE26F5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2CE" w:rsidRDefault="009F12CE" w:rsidP="00BB5E3B">
      <w:pPr>
        <w:spacing w:after="0" w:line="240" w:lineRule="auto"/>
      </w:pPr>
      <w:r>
        <w:separator/>
      </w:r>
    </w:p>
  </w:endnote>
  <w:endnote w:type="continuationSeparator" w:id="1">
    <w:p w:rsidR="009F12CE" w:rsidRDefault="009F12CE" w:rsidP="00BB5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2CE" w:rsidRDefault="009F12CE" w:rsidP="00BB5E3B">
      <w:pPr>
        <w:spacing w:after="0" w:line="240" w:lineRule="auto"/>
      </w:pPr>
      <w:r>
        <w:separator/>
      </w:r>
    </w:p>
  </w:footnote>
  <w:footnote w:type="continuationSeparator" w:id="1">
    <w:p w:rsidR="009F12CE" w:rsidRDefault="009F12CE" w:rsidP="00BB5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8943388"/>
    </w:sdtPr>
    <w:sdtEndPr>
      <w:rPr>
        <w:rFonts w:ascii="Times New Roman" w:hAnsi="Times New Roman" w:cs="Times New Roman"/>
      </w:rPr>
    </w:sdtEndPr>
    <w:sdtContent>
      <w:p w:rsidR="00BB5E3B" w:rsidRPr="00BB5E3B" w:rsidRDefault="000A5C84">
        <w:pPr>
          <w:pStyle w:val="a3"/>
          <w:jc w:val="right"/>
          <w:rPr>
            <w:rFonts w:ascii="Times New Roman" w:hAnsi="Times New Roman" w:cs="Times New Roman"/>
          </w:rPr>
        </w:pPr>
        <w:r w:rsidRPr="00BB5E3B">
          <w:rPr>
            <w:rFonts w:ascii="Times New Roman" w:hAnsi="Times New Roman" w:cs="Times New Roman"/>
          </w:rPr>
          <w:fldChar w:fldCharType="begin"/>
        </w:r>
        <w:r w:rsidR="00BB5E3B" w:rsidRPr="00BB5E3B">
          <w:rPr>
            <w:rFonts w:ascii="Times New Roman" w:hAnsi="Times New Roman" w:cs="Times New Roman"/>
          </w:rPr>
          <w:instrText>PAGE   \* MERGEFORMAT</w:instrText>
        </w:r>
        <w:r w:rsidRPr="00BB5E3B">
          <w:rPr>
            <w:rFonts w:ascii="Times New Roman" w:hAnsi="Times New Roman" w:cs="Times New Roman"/>
          </w:rPr>
          <w:fldChar w:fldCharType="separate"/>
        </w:r>
        <w:r w:rsidR="009F4D34">
          <w:rPr>
            <w:rFonts w:ascii="Times New Roman" w:hAnsi="Times New Roman" w:cs="Times New Roman"/>
            <w:noProof/>
          </w:rPr>
          <w:t>2</w:t>
        </w:r>
        <w:r w:rsidRPr="00BB5E3B">
          <w:rPr>
            <w:rFonts w:ascii="Times New Roman" w:hAnsi="Times New Roman" w:cs="Times New Roman"/>
          </w:rPr>
          <w:fldChar w:fldCharType="end"/>
        </w:r>
      </w:p>
    </w:sdtContent>
  </w:sdt>
  <w:p w:rsidR="00BB5E3B" w:rsidRPr="00BB5E3B" w:rsidRDefault="00BB5E3B">
    <w:pPr>
      <w:pStyle w:val="a3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2E7"/>
    <w:rsid w:val="000A5C84"/>
    <w:rsid w:val="00153E23"/>
    <w:rsid w:val="001E62E7"/>
    <w:rsid w:val="0033068F"/>
    <w:rsid w:val="0042161E"/>
    <w:rsid w:val="006E2C11"/>
    <w:rsid w:val="00826EC2"/>
    <w:rsid w:val="009F12CE"/>
    <w:rsid w:val="009F4D34"/>
    <w:rsid w:val="00A370E1"/>
    <w:rsid w:val="00A71B38"/>
    <w:rsid w:val="00A762E6"/>
    <w:rsid w:val="00A766C7"/>
    <w:rsid w:val="00AC249E"/>
    <w:rsid w:val="00AE26F5"/>
    <w:rsid w:val="00B73E58"/>
    <w:rsid w:val="00BB5E3B"/>
    <w:rsid w:val="00D53385"/>
    <w:rsid w:val="00D70D3B"/>
    <w:rsid w:val="00DB192B"/>
    <w:rsid w:val="00DE69BD"/>
    <w:rsid w:val="00F4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6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E6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E6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6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E62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B5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5E3B"/>
  </w:style>
  <w:style w:type="paragraph" w:styleId="a5">
    <w:name w:val="footer"/>
    <w:basedOn w:val="a"/>
    <w:link w:val="a6"/>
    <w:uiPriority w:val="99"/>
    <w:unhideWhenUsed/>
    <w:rsid w:val="00BB5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5E3B"/>
  </w:style>
  <w:style w:type="paragraph" w:styleId="a7">
    <w:name w:val="Balloon Text"/>
    <w:basedOn w:val="a"/>
    <w:link w:val="a8"/>
    <w:uiPriority w:val="99"/>
    <w:semiHidden/>
    <w:unhideWhenUsed/>
    <w:rsid w:val="00AE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troshina_yn</cp:lastModifiedBy>
  <cp:revision>2</cp:revision>
  <cp:lastPrinted>2021-07-09T08:19:00Z</cp:lastPrinted>
  <dcterms:created xsi:type="dcterms:W3CDTF">2025-08-18T07:38:00Z</dcterms:created>
  <dcterms:modified xsi:type="dcterms:W3CDTF">2025-08-18T07:38:00Z</dcterms:modified>
</cp:coreProperties>
</file>