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numbering.xml" ContentType="application/vnd.openxmlformats-officedocument.wordprocessingml.numbering+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ind w:hanging="0" w:left="5558"/>
        <w:rPr/>
      </w:pPr>
      <w:r>
        <w:rPr>
          <w:sz w:val="24"/>
          <w:szCs w:val="24"/>
        </w:rPr>
        <w:t xml:space="preserve">Приложение </w:t>
      </w:r>
    </w:p>
    <w:p>
      <w:pPr>
        <w:pStyle w:val="Normal"/>
        <w:ind w:hanging="0" w:left="5558"/>
        <w:rPr>
          <w:sz w:val="24"/>
          <w:szCs w:val="24"/>
        </w:rPr>
      </w:pPr>
      <w:r>
        <w:rPr>
          <w:sz w:val="24"/>
          <w:szCs w:val="24"/>
        </w:rPr>
        <w:t xml:space="preserve">к решению Думы городского округа города Калуги </w:t>
      </w:r>
    </w:p>
    <w:p>
      <w:pPr>
        <w:pStyle w:val="Normal"/>
        <w:ind w:hanging="0" w:left="5558"/>
        <w:rPr/>
      </w:pPr>
      <w:r>
        <w:rPr>
          <w:sz w:val="24"/>
          <w:szCs w:val="24"/>
        </w:rPr>
        <w:t xml:space="preserve">от __________ № _________ </w:t>
      </w:r>
    </w:p>
    <w:p>
      <w:pPr>
        <w:pStyle w:val="Style69"/>
        <w:widowControl w:val="false"/>
        <w:spacing w:before="0" w:after="0"/>
        <w:rPr>
          <w:sz w:val="24"/>
          <w:szCs w:val="24"/>
        </w:rPr>
      </w:pPr>
      <w:r>
        <w:rPr>
          <w:sz w:val="24"/>
          <w:szCs w:val="24"/>
        </w:rPr>
      </w:r>
    </w:p>
    <w:p>
      <w:pPr>
        <w:pStyle w:val="Style69"/>
        <w:widowControl w:val="false"/>
        <w:spacing w:before="0" w:after="0"/>
        <w:rPr>
          <w:sz w:val="24"/>
          <w:szCs w:val="24"/>
        </w:rPr>
      </w:pPr>
      <w:r>
        <w:rPr>
          <w:sz w:val="24"/>
          <w:szCs w:val="24"/>
        </w:rPr>
      </w:r>
    </w:p>
    <w:p>
      <w:pPr>
        <w:pStyle w:val="20"/>
        <w:widowControl w:val="false"/>
        <w:ind w:hanging="0" w:left="284"/>
        <w:rPr/>
      </w:pPr>
      <w:r>
        <w:rPr>
          <w:b/>
          <w:sz w:val="24"/>
          <w:szCs w:val="24"/>
        </w:rPr>
        <w:t>ПОЛОЖЕНИЕ О ТЕРРИТОРИАЛЬНОМ ПЛАНИРОВАНИИ</w:t>
      </w:r>
    </w:p>
    <w:p>
      <w:pPr>
        <w:pStyle w:val="Heading1"/>
        <w:keepNext w:val="false"/>
        <w:pageBreakBefore w:val="false"/>
        <w:widowControl w:val="false"/>
        <w:numPr>
          <w:ilvl w:val="0"/>
          <w:numId w:val="1"/>
        </w:numPr>
        <w:rPr>
          <w:sz w:val="24"/>
          <w:szCs w:val="24"/>
        </w:rPr>
      </w:pPr>
      <w:bookmarkStart w:id="0" w:name="_Toc219457056"/>
      <w:r>
        <w:rPr>
          <w:sz w:val="24"/>
          <w:szCs w:val="24"/>
        </w:rPr>
        <w:t>Параметры функциональных зон, сведения о планируемых для размещения в них объектах федерального, регионального, местного значения.</w:t>
      </w:r>
      <w:bookmarkEnd w:id="0"/>
    </w:p>
    <w:p>
      <w:pPr>
        <w:pStyle w:val="Normal"/>
        <w:ind w:firstLine="709"/>
        <w:jc w:val="both"/>
        <w:rPr>
          <w:sz w:val="24"/>
          <w:szCs w:val="24"/>
        </w:rPr>
      </w:pPr>
      <w:r>
        <w:rPr>
          <w:sz w:val="24"/>
          <w:szCs w:val="24"/>
        </w:rPr>
        <w:t>Функциональное зонирование территории является одним из основных инструментов регулирования градостроительной деятельности. Зонирование устанавливает рамочные условия использования городской территории, обязательные для всех участников градостроительной деятельности, в части функциональной принадлежности, плотности и характера застройки, ландшафтной организации территории.</w:t>
      </w:r>
    </w:p>
    <w:p>
      <w:pPr>
        <w:pStyle w:val="Normal"/>
        <w:ind w:firstLine="709"/>
        <w:jc w:val="both"/>
        <w:rPr>
          <w:b/>
          <w:bCs/>
          <w:sz w:val="24"/>
          <w:szCs w:val="24"/>
        </w:rPr>
      </w:pPr>
      <w:r>
        <w:rPr>
          <w:sz w:val="24"/>
          <w:szCs w:val="24"/>
        </w:rPr>
        <w:t>Генеральным планом на территории городского округа выделены следующие функциональные зоны:</w:t>
      </w:r>
    </w:p>
    <w:p>
      <w:pPr>
        <w:pStyle w:val="Normal"/>
        <w:tabs>
          <w:tab w:val="clear" w:pos="397"/>
          <w:tab w:val="left" w:pos="731" w:leader="none"/>
        </w:tabs>
        <w:jc w:val="both"/>
        <w:rPr/>
      </w:pPr>
      <w:r>
        <w:rPr>
          <w:b/>
          <w:sz w:val="24"/>
          <w:szCs w:val="24"/>
        </w:rPr>
        <w:tab/>
        <w:t>- жилые зоны –</w:t>
      </w:r>
      <w:r>
        <w:rPr>
          <w:sz w:val="24"/>
          <w:szCs w:val="24"/>
        </w:rPr>
        <w:t xml:space="preserve"> различных строительных типов в соответствии с этажностью и плотностью застройки;</w:t>
      </w:r>
    </w:p>
    <w:p>
      <w:pPr>
        <w:pStyle w:val="Normal"/>
        <w:tabs>
          <w:tab w:val="clear" w:pos="397"/>
          <w:tab w:val="left" w:pos="731" w:leader="none"/>
        </w:tabs>
        <w:jc w:val="both"/>
        <w:rPr/>
      </w:pPr>
      <w:r>
        <w:rPr>
          <w:b/>
          <w:sz w:val="24"/>
          <w:szCs w:val="24"/>
        </w:rPr>
        <w:tab/>
        <w:t>- зоны общественно-делового и многофункционального назначения –</w:t>
      </w:r>
      <w:r>
        <w:rPr>
          <w:sz w:val="24"/>
          <w:szCs w:val="24"/>
        </w:rPr>
        <w:t xml:space="preserve"> различных строительных типов в соответствии с этажностью и плотностью застройки, с включением объектов делового, общественного и коммерческого назначений в исторической части города;</w:t>
      </w:r>
    </w:p>
    <w:p>
      <w:pPr>
        <w:pStyle w:val="Normal"/>
        <w:tabs>
          <w:tab w:val="clear" w:pos="397"/>
          <w:tab w:val="left" w:pos="731" w:leader="none"/>
        </w:tabs>
        <w:jc w:val="both"/>
        <w:rPr/>
      </w:pPr>
      <w:r>
        <w:rPr>
          <w:b/>
          <w:sz w:val="24"/>
          <w:szCs w:val="24"/>
        </w:rPr>
        <w:tab/>
        <w:t xml:space="preserve">- общественно-деловые зоны – </w:t>
      </w:r>
      <w:r>
        <w:rPr>
          <w:sz w:val="24"/>
          <w:szCs w:val="24"/>
        </w:rPr>
        <w:t>включают широкий перечень объектов делового, общественного и коммерческого назначений, здравоохранения и образования и др.;</w:t>
      </w:r>
    </w:p>
    <w:p>
      <w:pPr>
        <w:pStyle w:val="Normal"/>
        <w:tabs>
          <w:tab w:val="clear" w:pos="397"/>
          <w:tab w:val="left" w:pos="731" w:leader="none"/>
        </w:tabs>
        <w:jc w:val="both"/>
        <w:rPr/>
      </w:pPr>
      <w:r>
        <w:rPr>
          <w:b/>
          <w:sz w:val="24"/>
          <w:szCs w:val="24"/>
        </w:rPr>
        <w:tab/>
        <w:t>- зона общественно-делового и многофункционально</w:t>
      </w:r>
      <w:bookmarkStart w:id="1" w:name="_GoBack"/>
      <w:bookmarkEnd w:id="1"/>
      <w:r>
        <w:rPr>
          <w:b/>
          <w:sz w:val="24"/>
          <w:szCs w:val="24"/>
        </w:rPr>
        <w:t>го назначения –</w:t>
      </w:r>
      <w:r>
        <w:rPr>
          <w:sz w:val="24"/>
          <w:szCs w:val="24"/>
        </w:rPr>
        <w:t xml:space="preserve"> включает объекты высшего образования города;</w:t>
      </w:r>
    </w:p>
    <w:p>
      <w:pPr>
        <w:pStyle w:val="Normal"/>
        <w:tabs>
          <w:tab w:val="clear" w:pos="397"/>
          <w:tab w:val="left" w:pos="731" w:leader="none"/>
        </w:tabs>
        <w:jc w:val="both"/>
        <w:rPr/>
      </w:pPr>
      <w:r>
        <w:rPr>
          <w:b/>
          <w:sz w:val="24"/>
          <w:szCs w:val="24"/>
        </w:rPr>
        <w:tab/>
        <w:t>- зоны сельскохозяйственного использования –</w:t>
      </w:r>
      <w:r>
        <w:rPr>
          <w:sz w:val="24"/>
          <w:szCs w:val="24"/>
        </w:rPr>
        <w:t xml:space="preserve"> сельскохозяйственные угодья, садоводства и др.;</w:t>
      </w:r>
    </w:p>
    <w:p>
      <w:pPr>
        <w:pStyle w:val="Normal"/>
        <w:tabs>
          <w:tab w:val="clear" w:pos="397"/>
          <w:tab w:val="left" w:pos="731" w:leader="none"/>
        </w:tabs>
        <w:jc w:val="both"/>
        <w:rPr/>
      </w:pPr>
      <w:r>
        <w:rPr>
          <w:b/>
          <w:sz w:val="24"/>
          <w:szCs w:val="24"/>
        </w:rPr>
        <w:tab/>
        <w:t>- зоны садоводческих или огороднических некоммерческих товариществ;</w:t>
      </w:r>
    </w:p>
    <w:p>
      <w:pPr>
        <w:pStyle w:val="Normal"/>
        <w:tabs>
          <w:tab w:val="clear" w:pos="397"/>
          <w:tab w:val="left" w:pos="731" w:leader="none"/>
        </w:tabs>
        <w:jc w:val="both"/>
        <w:rPr/>
      </w:pPr>
      <w:r>
        <w:rPr>
          <w:b/>
          <w:sz w:val="24"/>
          <w:szCs w:val="24"/>
        </w:rPr>
        <w:tab/>
        <w:t xml:space="preserve">- производственные зоны, зоны инженерной и транспортной инфраструктур – </w:t>
      </w:r>
      <w:r>
        <w:rPr>
          <w:sz w:val="24"/>
          <w:szCs w:val="24"/>
        </w:rPr>
        <w:t>зоны размещения производственных объектов с различными нормативами воздействия на окружающую среду и объектов инженерной и транспортной инфраструктуры;</w:t>
      </w:r>
    </w:p>
    <w:p>
      <w:pPr>
        <w:pStyle w:val="Normal"/>
        <w:tabs>
          <w:tab w:val="clear" w:pos="397"/>
          <w:tab w:val="left" w:pos="731" w:leader="none"/>
        </w:tabs>
        <w:jc w:val="both"/>
        <w:rPr/>
      </w:pPr>
      <w:r>
        <w:rPr>
          <w:b/>
          <w:sz w:val="24"/>
          <w:szCs w:val="24"/>
        </w:rPr>
        <w:tab/>
        <w:t>- зоны рекреационного назначения –</w:t>
      </w:r>
      <w:r>
        <w:rPr>
          <w:sz w:val="24"/>
          <w:szCs w:val="24"/>
        </w:rPr>
        <w:t xml:space="preserve"> территории озеленения общего пользования, парки, бульвары, сады, объекты отдыха и туризма, земли сельскохозяйственного назначения, занятые лесными насаждениями, городские леса и др.;</w:t>
      </w:r>
    </w:p>
    <w:p>
      <w:pPr>
        <w:pStyle w:val="Normal"/>
        <w:tabs>
          <w:tab w:val="clear" w:pos="397"/>
          <w:tab w:val="left" w:pos="731" w:leader="none"/>
        </w:tabs>
        <w:jc w:val="both"/>
        <w:rPr/>
      </w:pPr>
      <w:r>
        <w:rPr>
          <w:b/>
          <w:sz w:val="24"/>
          <w:szCs w:val="24"/>
        </w:rPr>
        <w:tab/>
        <w:t>- зоны лесов –</w:t>
      </w:r>
      <w:r>
        <w:rPr>
          <w:sz w:val="24"/>
          <w:szCs w:val="24"/>
        </w:rPr>
        <w:t xml:space="preserve"> зона размещения земель лесного фонда;</w:t>
      </w:r>
    </w:p>
    <w:p>
      <w:pPr>
        <w:pStyle w:val="Normal"/>
        <w:tabs>
          <w:tab w:val="clear" w:pos="397"/>
          <w:tab w:val="left" w:pos="731" w:leader="none"/>
        </w:tabs>
        <w:jc w:val="both"/>
        <w:rPr/>
      </w:pPr>
      <w:r>
        <w:rPr>
          <w:b/>
          <w:sz w:val="24"/>
          <w:szCs w:val="24"/>
        </w:rPr>
        <w:tab/>
        <w:t>- зоны специального назначения –</w:t>
      </w:r>
      <w:r>
        <w:rPr>
          <w:sz w:val="24"/>
          <w:szCs w:val="24"/>
        </w:rPr>
        <w:t xml:space="preserve"> зоны размещения объектов военного, специального и иного назначения;</w:t>
      </w:r>
    </w:p>
    <w:p>
      <w:pPr>
        <w:pStyle w:val="Normal"/>
        <w:tabs>
          <w:tab w:val="clear" w:pos="397"/>
          <w:tab w:val="left" w:pos="731" w:leader="none"/>
        </w:tabs>
        <w:jc w:val="both"/>
        <w:rPr/>
      </w:pPr>
      <w:r>
        <w:rPr>
          <w:b/>
          <w:sz w:val="24"/>
          <w:szCs w:val="24"/>
        </w:rPr>
        <w:tab/>
        <w:t>- зоны кладбищ;</w:t>
      </w:r>
    </w:p>
    <w:p>
      <w:pPr>
        <w:pStyle w:val="Normal"/>
        <w:tabs>
          <w:tab w:val="clear" w:pos="397"/>
          <w:tab w:val="left" w:pos="731" w:leader="none"/>
        </w:tabs>
        <w:jc w:val="both"/>
        <w:rPr/>
      </w:pPr>
      <w:r>
        <w:rPr>
          <w:b/>
          <w:sz w:val="24"/>
          <w:szCs w:val="24"/>
        </w:rPr>
        <w:tab/>
        <w:t>- зоны складирования и захоронения отходов –</w:t>
      </w:r>
      <w:r>
        <w:rPr>
          <w:sz w:val="24"/>
          <w:szCs w:val="24"/>
        </w:rPr>
        <w:t xml:space="preserve"> полигоны ТКО, объекты переработки и хранения отходов;</w:t>
      </w:r>
    </w:p>
    <w:p>
      <w:pPr>
        <w:pStyle w:val="Normal"/>
        <w:tabs>
          <w:tab w:val="clear" w:pos="397"/>
          <w:tab w:val="left" w:pos="731" w:leader="none"/>
        </w:tabs>
        <w:jc w:val="both"/>
        <w:rPr/>
      </w:pPr>
      <w:r>
        <w:rPr>
          <w:b/>
          <w:sz w:val="24"/>
          <w:szCs w:val="24"/>
        </w:rPr>
        <w:tab/>
        <w:t>- зоны акваторий –</w:t>
      </w:r>
      <w:r>
        <w:rPr>
          <w:sz w:val="24"/>
          <w:szCs w:val="24"/>
        </w:rPr>
        <w:t xml:space="preserve"> размещение объектов гидрографии и водного фонда;</w:t>
      </w:r>
    </w:p>
    <w:p>
      <w:pPr>
        <w:sectPr>
          <w:headerReference w:type="default" r:id="rId2"/>
          <w:footerReference w:type="default" r:id="rId3"/>
          <w:type w:val="nextPage"/>
          <w:pgSz w:w="11906" w:h="16838"/>
          <w:pgMar w:left="1418" w:right="1134" w:gutter="0" w:header="0" w:top="516" w:footer="0" w:bottom="442"/>
          <w:pgNumType w:fmt="decimal"/>
          <w:formProt w:val="false"/>
          <w:textDirection w:val="lrTb"/>
          <w:docGrid w:type="default" w:linePitch="360" w:charSpace="40960"/>
        </w:sectPr>
        <w:pStyle w:val="Normal"/>
        <w:tabs>
          <w:tab w:val="clear" w:pos="397"/>
          <w:tab w:val="left" w:pos="731" w:leader="none"/>
        </w:tabs>
        <w:jc w:val="both"/>
        <w:rPr/>
      </w:pPr>
      <w:r>
        <w:rPr>
          <w:b/>
          <w:sz w:val="24"/>
          <w:szCs w:val="24"/>
        </w:rPr>
        <w:tab/>
        <w:t>- иные зоны</w:t>
      </w:r>
      <w:r>
        <w:rPr>
          <w:sz w:val="24"/>
          <w:szCs w:val="24"/>
        </w:rPr>
        <w:t xml:space="preserve"> – территории, находящихся в границах особо охраняемых природных территорий (кроме ООПТ федерального значения «Городской бор»), земли запаса.</w:t>
      </w:r>
    </w:p>
    <w:p>
      <w:pPr>
        <w:pStyle w:val="Heading2"/>
        <w:keepNext w:val="false"/>
        <w:widowControl w:val="false"/>
        <w:rPr>
          <w:sz w:val="24"/>
          <w:szCs w:val="24"/>
        </w:rPr>
      </w:pPr>
      <w:bookmarkStart w:id="2" w:name="_Toc219457057"/>
      <w:r>
        <w:rPr>
          <w:sz w:val="24"/>
          <w:szCs w:val="24"/>
        </w:rPr>
        <w:t>1.1.  Параметры функциональных зон городского округа</w:t>
      </w:r>
      <w:bookmarkEnd w:id="2"/>
    </w:p>
    <w:p>
      <w:pPr>
        <w:pStyle w:val="Normal"/>
        <w:jc w:val="right"/>
        <w:rPr>
          <w:b/>
          <w:sz w:val="24"/>
          <w:szCs w:val="24"/>
        </w:rPr>
      </w:pPr>
      <w:r>
        <w:rPr>
          <w:rFonts w:cs="Symbol"/>
          <w:sz w:val="24"/>
          <w:szCs w:val="24"/>
        </w:rPr>
        <w:t>Таблица 1.1.1.</w:t>
      </w:r>
      <w:r>
        <w:rPr>
          <w:b/>
          <w:sz w:val="24"/>
          <w:szCs w:val="24"/>
        </w:rPr>
        <w:t xml:space="preserve"> </w:t>
      </w:r>
    </w:p>
    <w:tbl>
      <w:tblPr>
        <w:tblW w:w="9952" w:type="dxa"/>
        <w:jc w:val="left"/>
        <w:tblInd w:w="109" w:type="dxa"/>
        <w:tblLayout w:type="fixed"/>
        <w:tblCellMar>
          <w:top w:w="0" w:type="dxa"/>
          <w:left w:w="108" w:type="dxa"/>
          <w:bottom w:w="0" w:type="dxa"/>
          <w:right w:w="108" w:type="dxa"/>
        </w:tblCellMar>
        <w:tblLook w:firstRow="1" w:noVBand="1" w:lastRow="0" w:firstColumn="1" w:lastColumn="0" w:noHBand="0" w:val="04a0"/>
      </w:tblPr>
      <w:tblGrid>
        <w:gridCol w:w="569"/>
        <w:gridCol w:w="6273"/>
        <w:gridCol w:w="1572"/>
        <w:gridCol w:w="1"/>
        <w:gridCol w:w="1536"/>
      </w:tblGrid>
      <w:tr>
        <w:trPr>
          <w:trHeight w:val="330" w:hRule="atLeast"/>
        </w:trPr>
        <w:tc>
          <w:tcPr>
            <w:tcW w:w="569"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tcPr>
          <w:p>
            <w:pPr>
              <w:pStyle w:val="1110"/>
              <w:widowControl w:val="false"/>
              <w:rPr>
                <w:b/>
                <w:sz w:val="22"/>
                <w:szCs w:val="22"/>
              </w:rPr>
            </w:pPr>
            <w:r>
              <w:rPr>
                <w:b/>
                <w:sz w:val="22"/>
                <w:szCs w:val="22"/>
              </w:rPr>
              <w:t>№</w:t>
            </w:r>
          </w:p>
          <w:p>
            <w:pPr>
              <w:pStyle w:val="1110"/>
              <w:widowControl w:val="false"/>
              <w:rPr>
                <w:b/>
                <w:sz w:val="22"/>
                <w:szCs w:val="22"/>
              </w:rPr>
            </w:pPr>
            <w:r>
              <w:rPr>
                <w:b/>
                <w:sz w:val="22"/>
                <w:szCs w:val="22"/>
              </w:rPr>
              <w:t>п/п</w:t>
            </w:r>
          </w:p>
        </w:tc>
        <w:tc>
          <w:tcPr>
            <w:tcW w:w="6273"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1110"/>
              <w:widowControl w:val="false"/>
              <w:rPr>
                <w:b/>
                <w:sz w:val="22"/>
                <w:szCs w:val="22"/>
              </w:rPr>
            </w:pPr>
            <w:r>
              <w:rPr>
                <w:b/>
                <w:sz w:val="22"/>
                <w:szCs w:val="22"/>
              </w:rPr>
              <w:t>Название зоны</w:t>
            </w:r>
          </w:p>
        </w:tc>
        <w:tc>
          <w:tcPr>
            <w:tcW w:w="1572"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1110"/>
              <w:widowControl w:val="false"/>
              <w:rPr>
                <w:b/>
                <w:sz w:val="22"/>
                <w:szCs w:val="22"/>
              </w:rPr>
            </w:pPr>
            <w:r>
              <w:rPr>
                <w:b/>
                <w:sz w:val="22"/>
                <w:szCs w:val="22"/>
              </w:rPr>
              <w:t>Современное состояние, га</w:t>
            </w:r>
          </w:p>
        </w:tc>
        <w:tc>
          <w:tcPr>
            <w:tcW w:w="1537" w:type="dxa"/>
            <w:gridSpan w:val="2"/>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1110"/>
              <w:widowControl w:val="false"/>
              <w:rPr>
                <w:b/>
                <w:sz w:val="22"/>
                <w:szCs w:val="22"/>
              </w:rPr>
            </w:pPr>
            <w:r>
              <w:rPr>
                <w:b/>
                <w:sz w:val="22"/>
                <w:szCs w:val="22"/>
              </w:rPr>
              <w:t>Расчетный срок, га</w:t>
            </w:r>
          </w:p>
        </w:tc>
      </w:tr>
      <w:tr>
        <w:trPr>
          <w:trHeight w:val="264"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1</w:t>
            </w:r>
          </w:p>
        </w:tc>
        <w:tc>
          <w:tcPr>
            <w:tcW w:w="6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jc w:val="left"/>
              <w:rPr>
                <w:sz w:val="22"/>
                <w:szCs w:val="22"/>
              </w:rPr>
            </w:pPr>
            <w:r>
              <w:rPr>
                <w:sz w:val="22"/>
                <w:szCs w:val="22"/>
              </w:rPr>
              <w:t>Жилые зоны</w:t>
            </w:r>
          </w:p>
        </w:tc>
        <w:tc>
          <w:tcPr>
            <w:tcW w:w="15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9966,9</w:t>
            </w:r>
          </w:p>
        </w:tc>
        <w:tc>
          <w:tcPr>
            <w:tcW w:w="15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10807,3</w:t>
            </w:r>
          </w:p>
        </w:tc>
      </w:tr>
      <w:tr>
        <w:trPr>
          <w:trHeight w:val="225"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2</w:t>
            </w:r>
          </w:p>
        </w:tc>
        <w:tc>
          <w:tcPr>
            <w:tcW w:w="6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jc w:val="left"/>
              <w:rPr>
                <w:sz w:val="22"/>
                <w:szCs w:val="22"/>
              </w:rPr>
            </w:pPr>
            <w:r>
              <w:rPr>
                <w:sz w:val="22"/>
                <w:szCs w:val="22"/>
              </w:rPr>
              <w:t>Общественно-деловые зоны</w:t>
            </w:r>
          </w:p>
        </w:tc>
        <w:tc>
          <w:tcPr>
            <w:tcW w:w="15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759,2</w:t>
            </w:r>
          </w:p>
        </w:tc>
        <w:tc>
          <w:tcPr>
            <w:tcW w:w="15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771,0</w:t>
            </w:r>
          </w:p>
        </w:tc>
      </w:tr>
      <w:tr>
        <w:trPr>
          <w:trHeight w:val="552"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3</w:t>
            </w:r>
          </w:p>
        </w:tc>
        <w:tc>
          <w:tcPr>
            <w:tcW w:w="6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jc w:val="left"/>
              <w:rPr>
                <w:sz w:val="22"/>
                <w:szCs w:val="22"/>
              </w:rPr>
            </w:pPr>
            <w:r>
              <w:rPr>
                <w:sz w:val="22"/>
                <w:szCs w:val="22"/>
              </w:rPr>
              <w:t>Зона общественно-делового и многофункционального назначения</w:t>
            </w:r>
          </w:p>
        </w:tc>
        <w:tc>
          <w:tcPr>
            <w:tcW w:w="15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270,7</w:t>
            </w:r>
          </w:p>
        </w:tc>
        <w:tc>
          <w:tcPr>
            <w:tcW w:w="15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339,8</w:t>
            </w:r>
          </w:p>
        </w:tc>
      </w:tr>
      <w:tr>
        <w:trPr>
          <w:trHeight w:val="265"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4</w:t>
            </w:r>
          </w:p>
        </w:tc>
        <w:tc>
          <w:tcPr>
            <w:tcW w:w="6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jc w:val="left"/>
              <w:rPr>
                <w:sz w:val="22"/>
                <w:szCs w:val="22"/>
              </w:rPr>
            </w:pPr>
            <w:r>
              <w:rPr>
                <w:sz w:val="22"/>
                <w:szCs w:val="22"/>
              </w:rPr>
              <w:t>Зона специализированной общественной застройки</w:t>
            </w:r>
          </w:p>
        </w:tc>
        <w:tc>
          <w:tcPr>
            <w:tcW w:w="15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39,4</w:t>
            </w:r>
          </w:p>
        </w:tc>
        <w:tc>
          <w:tcPr>
            <w:tcW w:w="15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39,3</w:t>
            </w:r>
          </w:p>
        </w:tc>
      </w:tr>
      <w:tr>
        <w:trPr>
          <w:trHeight w:val="552"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5</w:t>
            </w:r>
          </w:p>
        </w:tc>
        <w:tc>
          <w:tcPr>
            <w:tcW w:w="6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jc w:val="left"/>
              <w:rPr>
                <w:sz w:val="22"/>
                <w:szCs w:val="22"/>
              </w:rPr>
            </w:pPr>
            <w:r>
              <w:rPr>
                <w:sz w:val="22"/>
                <w:szCs w:val="22"/>
              </w:rPr>
              <w:t>Производственные зоны, зоны инженерной и транспортной инфраструктур</w:t>
            </w:r>
          </w:p>
        </w:tc>
        <w:tc>
          <w:tcPr>
            <w:tcW w:w="15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8527,5</w:t>
            </w:r>
          </w:p>
        </w:tc>
        <w:tc>
          <w:tcPr>
            <w:tcW w:w="15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8096,2</w:t>
            </w:r>
          </w:p>
        </w:tc>
      </w:tr>
      <w:tr>
        <w:trPr>
          <w:trHeight w:val="138"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6</w:t>
            </w:r>
          </w:p>
        </w:tc>
        <w:tc>
          <w:tcPr>
            <w:tcW w:w="6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jc w:val="left"/>
              <w:rPr>
                <w:sz w:val="22"/>
                <w:szCs w:val="22"/>
              </w:rPr>
            </w:pPr>
            <w:r>
              <w:rPr>
                <w:sz w:val="22"/>
                <w:szCs w:val="22"/>
              </w:rPr>
              <w:t>Зоны сельскохозяйственного использования</w:t>
            </w:r>
          </w:p>
        </w:tc>
        <w:tc>
          <w:tcPr>
            <w:tcW w:w="15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7060,8</w:t>
            </w:r>
          </w:p>
        </w:tc>
        <w:tc>
          <w:tcPr>
            <w:tcW w:w="15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6413,8</w:t>
            </w:r>
          </w:p>
        </w:tc>
      </w:tr>
      <w:tr>
        <w:trPr>
          <w:trHeight w:val="552"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7</w:t>
            </w:r>
          </w:p>
        </w:tc>
        <w:tc>
          <w:tcPr>
            <w:tcW w:w="6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jc w:val="left"/>
              <w:rPr>
                <w:sz w:val="22"/>
                <w:szCs w:val="22"/>
              </w:rPr>
            </w:pPr>
            <w:r>
              <w:rPr>
                <w:sz w:val="22"/>
                <w:szCs w:val="22"/>
              </w:rPr>
              <w:t>Зона садоводческих или огороднических некоммерческих товариществ</w:t>
            </w:r>
          </w:p>
        </w:tc>
        <w:tc>
          <w:tcPr>
            <w:tcW w:w="15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1459,3</w:t>
            </w:r>
          </w:p>
        </w:tc>
        <w:tc>
          <w:tcPr>
            <w:tcW w:w="15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1496,6</w:t>
            </w:r>
          </w:p>
        </w:tc>
      </w:tr>
      <w:tr>
        <w:trPr>
          <w:trHeight w:val="388"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8</w:t>
            </w:r>
          </w:p>
        </w:tc>
        <w:tc>
          <w:tcPr>
            <w:tcW w:w="6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jc w:val="left"/>
              <w:rPr>
                <w:sz w:val="22"/>
                <w:szCs w:val="22"/>
              </w:rPr>
            </w:pPr>
            <w:r>
              <w:rPr>
                <w:sz w:val="22"/>
                <w:szCs w:val="22"/>
              </w:rPr>
              <w:t>Зоны рекреационного назначения</w:t>
            </w:r>
          </w:p>
        </w:tc>
        <w:tc>
          <w:tcPr>
            <w:tcW w:w="15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10158,5</w:t>
            </w:r>
          </w:p>
        </w:tc>
        <w:tc>
          <w:tcPr>
            <w:tcW w:w="15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6552,5</w:t>
            </w:r>
          </w:p>
        </w:tc>
      </w:tr>
      <w:tr>
        <w:trPr>
          <w:trHeight w:val="120"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9</w:t>
            </w:r>
          </w:p>
        </w:tc>
        <w:tc>
          <w:tcPr>
            <w:tcW w:w="6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jc w:val="left"/>
              <w:rPr>
                <w:sz w:val="22"/>
                <w:szCs w:val="22"/>
              </w:rPr>
            </w:pPr>
            <w:r>
              <w:rPr>
                <w:sz w:val="22"/>
                <w:szCs w:val="22"/>
              </w:rPr>
              <w:t>Зона лесов</w:t>
            </w:r>
          </w:p>
        </w:tc>
        <w:tc>
          <w:tcPr>
            <w:tcW w:w="15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14561,6</w:t>
            </w:r>
          </w:p>
        </w:tc>
        <w:tc>
          <w:tcPr>
            <w:tcW w:w="15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15788,7</w:t>
            </w:r>
          </w:p>
        </w:tc>
      </w:tr>
      <w:tr>
        <w:trPr>
          <w:trHeight w:val="247"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10</w:t>
            </w:r>
          </w:p>
        </w:tc>
        <w:tc>
          <w:tcPr>
            <w:tcW w:w="6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jc w:val="left"/>
              <w:rPr>
                <w:sz w:val="22"/>
                <w:szCs w:val="22"/>
              </w:rPr>
            </w:pPr>
            <w:r>
              <w:rPr>
                <w:sz w:val="22"/>
                <w:szCs w:val="22"/>
              </w:rPr>
              <w:t>Зоны специального назначения</w:t>
            </w:r>
          </w:p>
        </w:tc>
        <w:tc>
          <w:tcPr>
            <w:tcW w:w="15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317,8</w:t>
            </w:r>
          </w:p>
        </w:tc>
        <w:tc>
          <w:tcPr>
            <w:tcW w:w="15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346,2</w:t>
            </w:r>
          </w:p>
        </w:tc>
      </w:tr>
      <w:tr>
        <w:trPr>
          <w:trHeight w:val="209"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11</w:t>
            </w:r>
          </w:p>
        </w:tc>
        <w:tc>
          <w:tcPr>
            <w:tcW w:w="6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jc w:val="left"/>
              <w:rPr>
                <w:sz w:val="22"/>
                <w:szCs w:val="22"/>
              </w:rPr>
            </w:pPr>
            <w:r>
              <w:rPr>
                <w:sz w:val="22"/>
                <w:szCs w:val="22"/>
              </w:rPr>
              <w:t>Зона режимных территорий</w:t>
            </w:r>
          </w:p>
        </w:tc>
        <w:tc>
          <w:tcPr>
            <w:tcW w:w="15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298,9</w:t>
            </w:r>
          </w:p>
        </w:tc>
        <w:tc>
          <w:tcPr>
            <w:tcW w:w="15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298,9</w:t>
            </w:r>
          </w:p>
        </w:tc>
      </w:tr>
      <w:tr>
        <w:trPr>
          <w:trHeight w:val="291"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12</w:t>
            </w:r>
          </w:p>
        </w:tc>
        <w:tc>
          <w:tcPr>
            <w:tcW w:w="6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jc w:val="left"/>
              <w:rPr>
                <w:sz w:val="22"/>
                <w:szCs w:val="22"/>
              </w:rPr>
            </w:pPr>
            <w:r>
              <w:rPr>
                <w:sz w:val="22"/>
                <w:szCs w:val="22"/>
              </w:rPr>
              <w:t>Зона кладбищ</w:t>
            </w:r>
          </w:p>
        </w:tc>
        <w:tc>
          <w:tcPr>
            <w:tcW w:w="15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227,0</w:t>
            </w:r>
          </w:p>
        </w:tc>
        <w:tc>
          <w:tcPr>
            <w:tcW w:w="15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228,9</w:t>
            </w:r>
          </w:p>
        </w:tc>
      </w:tr>
      <w:tr>
        <w:trPr>
          <w:trHeight w:val="345"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13</w:t>
            </w:r>
          </w:p>
        </w:tc>
        <w:tc>
          <w:tcPr>
            <w:tcW w:w="6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jc w:val="left"/>
              <w:rPr>
                <w:sz w:val="22"/>
                <w:szCs w:val="22"/>
              </w:rPr>
            </w:pPr>
            <w:r>
              <w:rPr>
                <w:sz w:val="22"/>
                <w:szCs w:val="22"/>
              </w:rPr>
              <w:t>Зона складирования и захоронения отходов</w:t>
            </w:r>
          </w:p>
        </w:tc>
        <w:tc>
          <w:tcPr>
            <w:tcW w:w="15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29,8</w:t>
            </w:r>
          </w:p>
        </w:tc>
        <w:tc>
          <w:tcPr>
            <w:tcW w:w="15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62,4</w:t>
            </w:r>
          </w:p>
        </w:tc>
      </w:tr>
      <w:tr>
        <w:trPr>
          <w:trHeight w:val="285"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14</w:t>
            </w:r>
          </w:p>
        </w:tc>
        <w:tc>
          <w:tcPr>
            <w:tcW w:w="6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jc w:val="left"/>
              <w:rPr>
                <w:sz w:val="22"/>
                <w:szCs w:val="22"/>
              </w:rPr>
            </w:pPr>
            <w:r>
              <w:rPr>
                <w:sz w:val="22"/>
                <w:szCs w:val="22"/>
              </w:rPr>
              <w:t>Зона акваторий</w:t>
            </w:r>
          </w:p>
        </w:tc>
        <w:tc>
          <w:tcPr>
            <w:tcW w:w="15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1024,6</w:t>
            </w:r>
          </w:p>
        </w:tc>
        <w:tc>
          <w:tcPr>
            <w:tcW w:w="15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990,5</w:t>
            </w:r>
          </w:p>
        </w:tc>
      </w:tr>
      <w:tr>
        <w:trPr>
          <w:trHeight w:val="330"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15</w:t>
            </w:r>
          </w:p>
        </w:tc>
        <w:tc>
          <w:tcPr>
            <w:tcW w:w="6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jc w:val="left"/>
              <w:rPr>
                <w:sz w:val="22"/>
                <w:szCs w:val="22"/>
              </w:rPr>
            </w:pPr>
            <w:r>
              <w:rPr>
                <w:sz w:val="22"/>
                <w:szCs w:val="22"/>
              </w:rPr>
              <w:t>Иные зоны</w:t>
            </w:r>
          </w:p>
        </w:tc>
        <w:tc>
          <w:tcPr>
            <w:tcW w:w="15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0</w:t>
            </w:r>
          </w:p>
        </w:tc>
        <w:tc>
          <w:tcPr>
            <w:tcW w:w="153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sz w:val="22"/>
                <w:szCs w:val="22"/>
              </w:rPr>
            </w:pPr>
            <w:r>
              <w:rPr>
                <w:sz w:val="22"/>
                <w:szCs w:val="22"/>
              </w:rPr>
              <w:t>1429,6</w:t>
            </w:r>
          </w:p>
        </w:tc>
      </w:tr>
      <w:tr>
        <w:trPr>
          <w:trHeight w:val="552" w:hRule="atLeast"/>
        </w:trPr>
        <w:tc>
          <w:tcPr>
            <w:tcW w:w="6842"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jc w:val="right"/>
              <w:rPr>
                <w:b/>
                <w:sz w:val="22"/>
                <w:szCs w:val="22"/>
              </w:rPr>
            </w:pPr>
            <w:r>
              <w:rPr>
                <w:b/>
                <w:sz w:val="22"/>
                <w:szCs w:val="22"/>
              </w:rPr>
              <w:t>Общая площадь</w:t>
            </w:r>
          </w:p>
        </w:tc>
        <w:tc>
          <w:tcPr>
            <w:tcW w:w="157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b/>
                <w:sz w:val="22"/>
                <w:szCs w:val="22"/>
              </w:rPr>
            </w:pPr>
            <w:r>
              <w:rPr>
                <w:b/>
                <w:sz w:val="22"/>
                <w:szCs w:val="22"/>
              </w:rPr>
              <w:t>54702,0</w:t>
            </w:r>
          </w:p>
        </w:tc>
        <w:tc>
          <w:tcPr>
            <w:tcW w:w="15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0"/>
              <w:widowControl w:val="false"/>
              <w:rPr>
                <w:b/>
                <w:sz w:val="22"/>
                <w:szCs w:val="22"/>
              </w:rPr>
            </w:pPr>
            <w:r>
              <w:rPr>
                <w:b/>
                <w:sz w:val="22"/>
                <w:szCs w:val="22"/>
              </w:rPr>
              <w:t>53661,7</w:t>
            </w:r>
            <w:r>
              <w:rPr>
                <w:b/>
                <w:sz w:val="22"/>
                <w:szCs w:val="22"/>
                <w:vertAlign w:val="superscript"/>
              </w:rPr>
              <w:t>1</w:t>
            </w:r>
          </w:p>
        </w:tc>
      </w:tr>
    </w:tbl>
    <w:p>
      <w:pPr>
        <w:pStyle w:val="Normal"/>
        <w:rPr/>
      </w:pPr>
      <w:r>
        <w:rPr/>
      </w:r>
    </w:p>
    <w:p>
      <w:pPr>
        <w:sectPr>
          <w:headerReference w:type="default" r:id="rId4"/>
          <w:headerReference w:type="first" r:id="rId5"/>
          <w:footerReference w:type="default" r:id="rId6"/>
          <w:footerReference w:type="first" r:id="rId7"/>
          <w:type w:val="nextPage"/>
          <w:pgSz w:w="11906" w:h="16838"/>
          <w:pgMar w:left="1418" w:right="1134" w:gutter="0" w:header="624" w:top="851" w:footer="0" w:bottom="266"/>
          <w:pgNumType w:fmt="decimal"/>
          <w:formProt w:val="false"/>
          <w:textDirection w:val="lrTb"/>
          <w:docGrid w:type="default" w:linePitch="360" w:charSpace="40960"/>
        </w:sectPr>
        <w:pStyle w:val="Normal"/>
        <w:widowControl w:val="false"/>
        <w:rPr/>
      </w:pPr>
      <w:r>
        <w:rPr>
          <w:vertAlign w:val="superscript"/>
        </w:rPr>
        <w:t xml:space="preserve">1 </w:t>
      </w:r>
      <w:r>
        <w:rPr/>
        <w:t>Функциональное зонирование на территории ООПТ федерального значения «Городской бор» не устанавливается.</w:t>
      </w:r>
    </w:p>
    <w:p>
      <w:pPr>
        <w:pStyle w:val="Heading2"/>
        <w:keepNext w:val="false"/>
        <w:widowControl w:val="false"/>
        <w:numPr>
          <w:ilvl w:val="1"/>
          <w:numId w:val="1"/>
        </w:numPr>
        <w:rPr>
          <w:sz w:val="24"/>
          <w:szCs w:val="24"/>
        </w:rPr>
      </w:pPr>
      <w:r>
        <w:rPr>
          <w:sz w:val="24"/>
          <w:szCs w:val="24"/>
        </w:rPr>
        <w:t xml:space="preserve"> </w:t>
      </w:r>
      <w:bookmarkStart w:id="4" w:name="_Toc219457058"/>
      <w:r>
        <w:rPr>
          <w:sz w:val="24"/>
          <w:szCs w:val="24"/>
        </w:rPr>
        <w:t>Параметры функциональных зон для размещения новых объектов</w:t>
      </w:r>
      <w:bookmarkEnd w:id="4"/>
    </w:p>
    <w:p>
      <w:pPr>
        <w:pStyle w:val="ListParagraph"/>
        <w:ind w:hanging="0" w:left="720" w:right="283"/>
        <w:jc w:val="right"/>
        <w:rPr>
          <w:b/>
          <w:sz w:val="24"/>
          <w:szCs w:val="24"/>
        </w:rPr>
      </w:pPr>
      <w:r>
        <w:rPr>
          <w:rFonts w:cs="Symbol"/>
          <w:sz w:val="24"/>
          <w:szCs w:val="24"/>
        </w:rPr>
        <w:t>Таблица 1.2.1.</w:t>
      </w:r>
      <w:r>
        <w:rPr>
          <w:b/>
          <w:sz w:val="24"/>
          <w:szCs w:val="24"/>
        </w:rPr>
        <w:t xml:space="preserve"> </w:t>
      </w:r>
    </w:p>
    <w:tbl>
      <w:tblPr>
        <w:tblStyle w:val="affffff4"/>
        <w:tblW w:w="9634"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4470"/>
        <w:gridCol w:w="5163"/>
      </w:tblGrid>
      <w:tr>
        <w:trPr>
          <w:trHeight w:val="540" w:hRule="atLeast"/>
        </w:trPr>
        <w:tc>
          <w:tcPr>
            <w:tcW w:w="4470" w:type="dxa"/>
            <w:tcBorders/>
            <w:shd w:color="auto" w:fill="EDEDED" w:themeFill="accent3" w:themeFillTint="33" w:val="clear"/>
            <w:vAlign w:val="center"/>
          </w:tcPr>
          <w:p>
            <w:pPr>
              <w:pStyle w:val="Normal"/>
              <w:widowControl w:val="false"/>
              <w:suppressAutoHyphens w:val="true"/>
              <w:spacing w:before="0" w:after="0"/>
              <w:jc w:val="center"/>
              <w:rPr>
                <w:b/>
                <w:sz w:val="22"/>
                <w:szCs w:val="22"/>
              </w:rPr>
            </w:pPr>
            <w:r>
              <w:rPr>
                <w:rFonts w:eastAsia="Times New Roman" w:cs="Times New Roman"/>
                <w:b/>
                <w:kern w:val="0"/>
                <w:sz w:val="22"/>
                <w:szCs w:val="22"/>
                <w:lang w:val="ru-RU" w:bidi="ar-SA"/>
              </w:rPr>
              <w:t>Тип зоны</w:t>
            </w:r>
          </w:p>
        </w:tc>
        <w:tc>
          <w:tcPr>
            <w:tcW w:w="5163" w:type="dxa"/>
            <w:tcBorders/>
            <w:shd w:color="auto" w:fill="EDEDED" w:themeFill="accent3" w:themeFillTint="33" w:val="clear"/>
            <w:vAlign w:val="center"/>
          </w:tcPr>
          <w:p>
            <w:pPr>
              <w:pStyle w:val="Normal"/>
              <w:widowControl w:val="false"/>
              <w:suppressAutoHyphens w:val="true"/>
              <w:spacing w:before="0" w:after="0"/>
              <w:jc w:val="center"/>
              <w:rPr>
                <w:b/>
                <w:sz w:val="22"/>
                <w:szCs w:val="22"/>
              </w:rPr>
            </w:pPr>
            <w:r>
              <w:rPr>
                <w:rFonts w:eastAsia="Times New Roman" w:cs="Times New Roman"/>
                <w:b/>
                <w:kern w:val="0"/>
                <w:sz w:val="22"/>
                <w:szCs w:val="22"/>
                <w:lang w:val="ru-RU" w:bidi="ar-SA"/>
              </w:rPr>
              <w:t>Параметры</w:t>
            </w:r>
          </w:p>
        </w:tc>
      </w:tr>
      <w:tr>
        <w:trPr/>
        <w:tc>
          <w:tcPr>
            <w:tcW w:w="9633" w:type="dxa"/>
            <w:gridSpan w:val="2"/>
            <w:tcBorders/>
            <w:shd w:color="auto" w:fill="auto" w:val="clear"/>
          </w:tcPr>
          <w:p>
            <w:pPr>
              <w:pStyle w:val="Normal"/>
              <w:widowControl w:val="false"/>
              <w:suppressAutoHyphens w:val="true"/>
              <w:spacing w:before="0" w:after="0"/>
              <w:jc w:val="left"/>
              <w:rPr>
                <w:sz w:val="22"/>
                <w:szCs w:val="22"/>
              </w:rPr>
            </w:pPr>
            <w:r>
              <w:rPr>
                <w:rFonts w:eastAsia="Times New Roman" w:cs="Times New Roman"/>
                <w:b/>
                <w:kern w:val="0"/>
                <w:sz w:val="22"/>
                <w:szCs w:val="22"/>
                <w:lang w:val="ru-RU" w:bidi="ar-SA"/>
              </w:rPr>
              <w:t>1. Жилые зоны</w:t>
            </w:r>
          </w:p>
        </w:tc>
      </w:tr>
      <w:tr>
        <w:trPr>
          <w:trHeight w:val="1712" w:hRule="atLeast"/>
        </w:trPr>
        <w:tc>
          <w:tcPr>
            <w:tcW w:w="4470" w:type="dxa"/>
            <w:tcBorders/>
            <w:shd w:color="auto" w:fill="auto" w:val="clear"/>
          </w:tcPr>
          <w:p>
            <w:pPr>
              <w:pStyle w:val="Normal"/>
              <w:widowControl w:val="false"/>
              <w:suppressAutoHyphens w:val="true"/>
              <w:spacing w:before="0" w:after="0"/>
              <w:jc w:val="left"/>
              <w:rPr>
                <w:sz w:val="22"/>
                <w:szCs w:val="22"/>
              </w:rPr>
            </w:pPr>
            <w:r>
              <w:rPr>
                <w:rFonts w:eastAsia="Times New Roman" w:cs="Times New Roman"/>
                <w:kern w:val="0"/>
                <w:sz w:val="22"/>
                <w:szCs w:val="22"/>
                <w:lang w:val="ru-RU" w:bidi="ar-SA"/>
              </w:rPr>
              <w:t>1.1 Застройка многоэтажными многоквартирными домами</w:t>
            </w:r>
          </w:p>
        </w:tc>
        <w:tc>
          <w:tcPr>
            <w:tcW w:w="5163" w:type="dxa"/>
            <w:tcBorders/>
            <w:shd w:color="auto" w:fill="auto" w:val="clear"/>
            <w:vAlign w:val="center"/>
          </w:tcPr>
          <w:p>
            <w:pPr>
              <w:pStyle w:val="Normal"/>
              <w:widowControl w:val="false"/>
              <w:suppressAutoHyphens w:val="true"/>
              <w:spacing w:before="0" w:after="0"/>
              <w:jc w:val="left"/>
              <w:rPr>
                <w:sz w:val="22"/>
                <w:szCs w:val="22"/>
              </w:rPr>
            </w:pPr>
            <w:r>
              <w:rPr>
                <w:rFonts w:eastAsia="Times New Roman" w:cs="Times New Roman"/>
                <w:kern w:val="0"/>
                <w:sz w:val="22"/>
                <w:szCs w:val="22"/>
                <w:lang w:val="ru-RU" w:bidi="ar-SA"/>
              </w:rPr>
              <w:t>- 9 этажей и выше;</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bidi="ar-SA"/>
              </w:rPr>
              <w:t xml:space="preserve">- плотность застройки, кв. м/га: </w:t>
            </w:r>
            <w:r>
              <w:rPr>
                <w:rFonts w:eastAsia="Times New Roman" w:cs="Times New Roman"/>
                <w:kern w:val="0"/>
                <w:sz w:val="22"/>
                <w:szCs w:val="22"/>
                <w:lang w:val="en-US" w:bidi="ar-SA"/>
              </w:rPr>
              <w:t>min</w:t>
            </w:r>
            <w:r>
              <w:rPr>
                <w:rFonts w:eastAsia="Times New Roman" w:cs="Times New Roman"/>
                <w:kern w:val="0"/>
                <w:sz w:val="22"/>
                <w:szCs w:val="22"/>
                <w:lang w:val="ru-RU" w:bidi="ar-SA"/>
              </w:rPr>
              <w:t xml:space="preserve"> 10440/</w:t>
            </w:r>
            <w:r>
              <w:rPr>
                <w:rFonts w:eastAsia="Times New Roman" w:cs="Times New Roman"/>
                <w:kern w:val="0"/>
                <w:sz w:val="22"/>
                <w:szCs w:val="22"/>
                <w:lang w:val="en-US" w:bidi="ar-SA"/>
              </w:rPr>
              <w:t>max</w:t>
            </w:r>
            <w:r>
              <w:rPr>
                <w:rFonts w:eastAsia="Times New Roman" w:cs="Times New Roman"/>
                <w:kern w:val="0"/>
                <w:sz w:val="22"/>
                <w:szCs w:val="22"/>
                <w:lang w:val="ru-RU" w:bidi="ar-SA"/>
              </w:rPr>
              <w:t xml:space="preserve"> 12960;</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bidi="ar-SA"/>
              </w:rPr>
              <w:t>- минимальная расчетная плотность населения, чел./га: 435;</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bidi="ar-SA"/>
              </w:rPr>
              <w:t>- коэффициент застройки: 0,4</w:t>
            </w:r>
          </w:p>
        </w:tc>
      </w:tr>
      <w:tr>
        <w:trPr>
          <w:trHeight w:val="1681" w:hRule="atLeast"/>
        </w:trPr>
        <w:tc>
          <w:tcPr>
            <w:tcW w:w="4470" w:type="dxa"/>
            <w:tcBorders/>
            <w:shd w:color="auto" w:fill="auto" w:val="clear"/>
          </w:tcPr>
          <w:p>
            <w:pPr>
              <w:pStyle w:val="Normal"/>
              <w:widowControl w:val="false"/>
              <w:suppressAutoHyphens w:val="true"/>
              <w:spacing w:before="0" w:after="0"/>
              <w:jc w:val="left"/>
              <w:rPr>
                <w:sz w:val="22"/>
                <w:szCs w:val="22"/>
              </w:rPr>
            </w:pPr>
            <w:r>
              <w:rPr>
                <w:rFonts w:eastAsia="Times New Roman" w:cs="Times New Roman"/>
                <w:kern w:val="0"/>
                <w:sz w:val="22"/>
                <w:szCs w:val="22"/>
                <w:lang w:val="ru-RU" w:bidi="ar-SA"/>
              </w:rPr>
              <w:t>1.2 Застройка среднеэтажными многоквартирными домами</w:t>
            </w:r>
          </w:p>
        </w:tc>
        <w:tc>
          <w:tcPr>
            <w:tcW w:w="5163" w:type="dxa"/>
            <w:tcBorders/>
            <w:shd w:color="auto" w:fill="auto" w:val="clear"/>
            <w:vAlign w:val="center"/>
          </w:tcPr>
          <w:p>
            <w:pPr>
              <w:pStyle w:val="Normal"/>
              <w:widowControl w:val="false"/>
              <w:suppressAutoHyphens w:val="true"/>
              <w:spacing w:before="0" w:after="0"/>
              <w:jc w:val="left"/>
              <w:rPr>
                <w:sz w:val="22"/>
                <w:szCs w:val="22"/>
              </w:rPr>
            </w:pPr>
            <w:r>
              <w:rPr>
                <w:rFonts w:eastAsia="Times New Roman" w:cs="Times New Roman"/>
                <w:kern w:val="0"/>
                <w:sz w:val="22"/>
                <w:szCs w:val="22"/>
                <w:lang w:val="ru-RU" w:bidi="ar-SA"/>
              </w:rPr>
              <w:t>- 5-8 этажей;</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bidi="ar-SA"/>
              </w:rPr>
              <w:t xml:space="preserve">- плотность застройки, кв. м/га: </w:t>
            </w:r>
            <w:r>
              <w:rPr>
                <w:rFonts w:eastAsia="Times New Roman" w:cs="Times New Roman"/>
                <w:kern w:val="0"/>
                <w:sz w:val="22"/>
                <w:szCs w:val="22"/>
                <w:lang w:val="en-US" w:bidi="ar-SA"/>
              </w:rPr>
              <w:t>min</w:t>
            </w:r>
            <w:r>
              <w:rPr>
                <w:rFonts w:eastAsia="Times New Roman" w:cs="Times New Roman"/>
                <w:kern w:val="0"/>
                <w:sz w:val="22"/>
                <w:szCs w:val="22"/>
                <w:lang w:val="ru-RU" w:bidi="ar-SA"/>
              </w:rPr>
              <w:t xml:space="preserve"> 8280/</w:t>
            </w:r>
            <w:r>
              <w:rPr>
                <w:rFonts w:eastAsia="Times New Roman" w:cs="Times New Roman"/>
                <w:kern w:val="0"/>
                <w:sz w:val="22"/>
                <w:szCs w:val="22"/>
                <w:lang w:val="en-US" w:bidi="ar-SA"/>
              </w:rPr>
              <w:t>max</w:t>
            </w:r>
            <w:r>
              <w:rPr>
                <w:rFonts w:eastAsia="Times New Roman" w:cs="Times New Roman"/>
                <w:kern w:val="0"/>
                <w:sz w:val="22"/>
                <w:szCs w:val="22"/>
                <w:lang w:val="ru-RU" w:bidi="ar-SA"/>
              </w:rPr>
              <w:t xml:space="preserve"> 9600;</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bidi="ar-SA"/>
              </w:rPr>
              <w:t>- минимальная расчетная плотность населения, чел./га: 345;</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bidi="ar-SA"/>
              </w:rPr>
              <w:t>- коэффициент застройки: 0,4</w:t>
            </w:r>
          </w:p>
        </w:tc>
      </w:tr>
      <w:tr>
        <w:trPr/>
        <w:tc>
          <w:tcPr>
            <w:tcW w:w="4470" w:type="dxa"/>
            <w:tcBorders/>
            <w:shd w:color="auto" w:fill="auto" w:val="clear"/>
          </w:tcPr>
          <w:p>
            <w:pPr>
              <w:pStyle w:val="Normal"/>
              <w:widowControl w:val="false"/>
              <w:suppressAutoHyphens w:val="true"/>
              <w:spacing w:before="0" w:after="0"/>
              <w:jc w:val="left"/>
              <w:rPr>
                <w:sz w:val="22"/>
                <w:szCs w:val="22"/>
              </w:rPr>
            </w:pPr>
            <w:r>
              <w:rPr>
                <w:rFonts w:eastAsia="Times New Roman" w:cs="Times New Roman"/>
                <w:kern w:val="0"/>
                <w:sz w:val="22"/>
                <w:szCs w:val="22"/>
                <w:lang w:val="ru-RU" w:bidi="ar-SA"/>
              </w:rPr>
              <w:t>1.3 Застройка малоэтажными многоквартирными домами</w:t>
            </w:r>
          </w:p>
        </w:tc>
        <w:tc>
          <w:tcPr>
            <w:tcW w:w="5163" w:type="dxa"/>
            <w:tcBorders/>
            <w:shd w:color="auto" w:fill="auto" w:val="clear"/>
            <w:vAlign w:val="center"/>
          </w:tcPr>
          <w:p>
            <w:pPr>
              <w:pStyle w:val="Normal"/>
              <w:widowControl w:val="false"/>
              <w:suppressAutoHyphens w:val="true"/>
              <w:spacing w:before="0" w:after="0"/>
              <w:jc w:val="left"/>
              <w:rPr>
                <w:sz w:val="22"/>
                <w:szCs w:val="22"/>
              </w:rPr>
            </w:pPr>
            <w:r>
              <w:rPr>
                <w:rFonts w:eastAsia="Times New Roman" w:cs="Times New Roman"/>
                <w:kern w:val="0"/>
                <w:sz w:val="22"/>
                <w:szCs w:val="22"/>
                <w:lang w:val="ru-RU" w:bidi="ar-SA"/>
              </w:rPr>
              <w:t>- до 4 этажей;</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bidi="ar-SA"/>
              </w:rPr>
              <w:t xml:space="preserve">- плотность застройки, кв. м/га: </w:t>
            </w:r>
            <w:r>
              <w:rPr>
                <w:rFonts w:eastAsia="Times New Roman" w:cs="Times New Roman"/>
                <w:kern w:val="0"/>
                <w:sz w:val="22"/>
                <w:szCs w:val="22"/>
                <w:lang w:val="en-US" w:bidi="ar-SA"/>
              </w:rPr>
              <w:t>min</w:t>
            </w:r>
            <w:r>
              <w:rPr>
                <w:rFonts w:eastAsia="Times New Roman" w:cs="Times New Roman"/>
                <w:kern w:val="0"/>
                <w:sz w:val="22"/>
                <w:szCs w:val="22"/>
                <w:lang w:val="ru-RU" w:bidi="ar-SA"/>
              </w:rPr>
              <w:t xml:space="preserve"> 6720/</w:t>
            </w:r>
            <w:r>
              <w:rPr>
                <w:rFonts w:eastAsia="Times New Roman" w:cs="Times New Roman"/>
                <w:kern w:val="0"/>
                <w:sz w:val="22"/>
                <w:szCs w:val="22"/>
                <w:lang w:val="en-US" w:bidi="ar-SA"/>
              </w:rPr>
              <w:t>max</w:t>
            </w:r>
            <w:r>
              <w:rPr>
                <w:rFonts w:eastAsia="Times New Roman" w:cs="Times New Roman"/>
                <w:kern w:val="0"/>
                <w:sz w:val="22"/>
                <w:szCs w:val="22"/>
                <w:lang w:val="ru-RU" w:bidi="ar-SA"/>
              </w:rPr>
              <w:t xml:space="preserve"> 7488;</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bidi="ar-SA"/>
              </w:rPr>
              <w:t>- минимальная расчетная плотность населения, чел./га: 280;</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bidi="ar-SA"/>
              </w:rPr>
              <w:t>- коэффициент застройки: 0,4</w:t>
            </w:r>
          </w:p>
        </w:tc>
      </w:tr>
      <w:tr>
        <w:trPr/>
        <w:tc>
          <w:tcPr>
            <w:tcW w:w="4470" w:type="dxa"/>
            <w:tcBorders/>
            <w:shd w:color="auto" w:fill="auto" w:val="clear"/>
          </w:tcPr>
          <w:p>
            <w:pPr>
              <w:pStyle w:val="Normal"/>
              <w:widowControl w:val="false"/>
              <w:suppressAutoHyphens w:val="true"/>
              <w:spacing w:before="0" w:after="0"/>
              <w:jc w:val="left"/>
              <w:rPr>
                <w:sz w:val="22"/>
                <w:szCs w:val="22"/>
              </w:rPr>
            </w:pPr>
            <w:r>
              <w:rPr>
                <w:rFonts w:eastAsia="Times New Roman" w:cs="Times New Roman"/>
                <w:kern w:val="0"/>
                <w:sz w:val="22"/>
                <w:szCs w:val="22"/>
                <w:lang w:val="ru-RU" w:bidi="ar-SA"/>
              </w:rPr>
              <w:t>1.4 Застройка одноквартирными (индивидуальными) жилыми домами с приквартирными (приусадебными) участками</w:t>
            </w:r>
          </w:p>
        </w:tc>
        <w:tc>
          <w:tcPr>
            <w:tcW w:w="5163" w:type="dxa"/>
            <w:tcBorders/>
            <w:shd w:color="auto" w:fill="auto" w:val="clear"/>
            <w:vAlign w:val="center"/>
          </w:tcPr>
          <w:p>
            <w:pPr>
              <w:pStyle w:val="Normal"/>
              <w:widowControl w:val="false"/>
              <w:suppressAutoHyphens w:val="true"/>
              <w:spacing w:before="0" w:after="0"/>
              <w:jc w:val="left"/>
              <w:rPr>
                <w:sz w:val="22"/>
                <w:szCs w:val="22"/>
              </w:rPr>
            </w:pPr>
            <w:r>
              <w:rPr>
                <w:rFonts w:eastAsia="Times New Roman" w:cs="Times New Roman"/>
                <w:kern w:val="0"/>
                <w:sz w:val="22"/>
                <w:szCs w:val="22"/>
                <w:lang w:val="ru-RU" w:bidi="ar-SA"/>
              </w:rPr>
              <w:t>- до 1-3 этажей;</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bidi="ar-SA"/>
              </w:rPr>
              <w:t xml:space="preserve">- плотность застройки, кв. м/га: </w:t>
            </w:r>
            <w:r>
              <w:rPr>
                <w:rFonts w:eastAsia="Times New Roman" w:cs="Times New Roman"/>
                <w:kern w:val="0"/>
                <w:sz w:val="22"/>
                <w:szCs w:val="22"/>
                <w:lang w:val="en-US" w:bidi="ar-SA"/>
              </w:rPr>
              <w:t>min</w:t>
            </w:r>
            <w:r>
              <w:rPr>
                <w:rFonts w:eastAsia="Times New Roman" w:cs="Times New Roman"/>
                <w:kern w:val="0"/>
                <w:sz w:val="22"/>
                <w:szCs w:val="22"/>
                <w:lang w:val="ru-RU" w:bidi="ar-SA"/>
              </w:rPr>
              <w:t xml:space="preserve"> 900 (для сельских населенных пунктов) 1400 (для г.</w:t>
            </w:r>
            <w:r>
              <w:rPr>
                <w:rFonts w:eastAsia="Times New Roman" w:cs="Times New Roman"/>
                <w:kern w:val="0"/>
                <w:sz w:val="22"/>
                <w:szCs w:val="22"/>
                <w:lang w:val="en-US" w:bidi="ar-SA"/>
              </w:rPr>
              <w:t> </w:t>
            </w:r>
            <w:r>
              <w:rPr>
                <w:rFonts w:eastAsia="Times New Roman" w:cs="Times New Roman"/>
                <w:kern w:val="0"/>
                <w:sz w:val="22"/>
                <w:szCs w:val="22"/>
                <w:lang w:val="ru-RU" w:bidi="ar-SA"/>
              </w:rPr>
              <w:t>Калуга) /</w:t>
            </w:r>
            <w:r>
              <w:rPr>
                <w:rFonts w:eastAsia="Times New Roman" w:cs="Times New Roman"/>
                <w:kern w:val="0"/>
                <w:sz w:val="22"/>
                <w:szCs w:val="22"/>
                <w:lang w:val="en-US" w:bidi="ar-SA"/>
              </w:rPr>
              <w:t>max</w:t>
            </w:r>
            <w:r>
              <w:rPr>
                <w:rFonts w:eastAsia="Times New Roman" w:cs="Times New Roman"/>
                <w:kern w:val="0"/>
                <w:sz w:val="22"/>
                <w:szCs w:val="22"/>
                <w:lang w:val="ru-RU" w:bidi="ar-SA"/>
              </w:rPr>
              <w:t xml:space="preserve"> – не устанавливается;</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bidi="ar-SA"/>
              </w:rPr>
              <w:t>- минимальная расчетная плотность населения, чел./га: 56;</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bidi="ar-SA"/>
              </w:rPr>
              <w:t>- коэффициент застройки: 0,2</w:t>
            </w:r>
          </w:p>
        </w:tc>
      </w:tr>
      <w:tr>
        <w:trPr/>
        <w:tc>
          <w:tcPr>
            <w:tcW w:w="4470" w:type="dxa"/>
            <w:tcBorders/>
            <w:shd w:color="auto" w:fill="auto" w:val="clear"/>
          </w:tcPr>
          <w:p>
            <w:pPr>
              <w:pStyle w:val="Normal"/>
              <w:widowControl w:val="false"/>
              <w:suppressAutoHyphens w:val="true"/>
              <w:spacing w:before="0" w:after="0"/>
              <w:jc w:val="left"/>
              <w:rPr>
                <w:b/>
                <w:sz w:val="22"/>
                <w:szCs w:val="22"/>
              </w:rPr>
            </w:pPr>
            <w:r>
              <w:rPr>
                <w:rFonts w:eastAsia="Times New Roman" w:cs="Times New Roman"/>
                <w:b/>
                <w:kern w:val="0"/>
                <w:sz w:val="22"/>
                <w:szCs w:val="22"/>
                <w:lang w:val="ru-RU" w:bidi="ar-SA"/>
              </w:rPr>
              <w:t>2. Общественно-деловые зоны</w:t>
            </w:r>
          </w:p>
        </w:tc>
        <w:tc>
          <w:tcPr>
            <w:tcW w:w="5163" w:type="dxa"/>
            <w:tcBorders/>
            <w:shd w:color="auto" w:fill="auto" w:val="clear"/>
            <w:vAlign w:val="center"/>
          </w:tcPr>
          <w:p>
            <w:pPr>
              <w:pStyle w:val="Normal"/>
              <w:widowControl w:val="false"/>
              <w:suppressAutoHyphens w:val="true"/>
              <w:spacing w:before="0" w:after="0"/>
              <w:jc w:val="left"/>
              <w:rPr>
                <w:sz w:val="22"/>
                <w:szCs w:val="22"/>
              </w:rPr>
            </w:pPr>
            <w:r>
              <w:rPr>
                <w:rFonts w:eastAsia="Times New Roman" w:cs="Times New Roman"/>
                <w:kern w:val="0"/>
                <w:sz w:val="22"/>
                <w:szCs w:val="22"/>
                <w:lang w:val="ru-RU" w:bidi="ar-SA"/>
              </w:rPr>
              <w:t>Объекты:</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bidi="ar-SA"/>
              </w:rPr>
              <w:t>Административно-управленческие комплексы, деловые и банковские структуры, структуры связи, ЖКХ, НИИ, проектные и конструкторские институты, учреждения культуры, торговые комплексы, гостиницы, развлекательные центры,</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bidi="ar-SA"/>
              </w:rPr>
              <w:t>клинические центры, областные многопрофильные больницы и диспансеры, реабилитационные и консультативно-диагностические центры, специализированные базовые поликлиники, аптеки, дома-интернаты разного профиля, высшие и средние специальные учебные заведения, центры переподготовки кадров, спортивные комплексы открытые и закрытые, бассейны, специализированные спортивные сооружения, производственно-деловые объекты, производственные объекты без санитарно-защитных зон, склады и магазины оптовой торговли, автовокзалы, автостанции, рынки, объекты торговли, общественного питания и бытового обслуживания</w:t>
            </w:r>
          </w:p>
        </w:tc>
      </w:tr>
      <w:tr>
        <w:trPr/>
        <w:tc>
          <w:tcPr>
            <w:tcW w:w="4470" w:type="dxa"/>
            <w:tcBorders/>
            <w:shd w:color="auto" w:fill="auto" w:val="clear"/>
          </w:tcPr>
          <w:p>
            <w:pPr>
              <w:pStyle w:val="Normal"/>
              <w:widowControl w:val="false"/>
              <w:suppressAutoHyphens w:val="true"/>
              <w:spacing w:before="0" w:after="0"/>
              <w:jc w:val="left"/>
              <w:rPr>
                <w:b/>
                <w:sz w:val="22"/>
                <w:szCs w:val="22"/>
              </w:rPr>
            </w:pPr>
            <w:r>
              <w:rPr>
                <w:rFonts w:eastAsia="Times New Roman" w:cs="Times New Roman"/>
                <w:b/>
                <w:kern w:val="0"/>
                <w:sz w:val="22"/>
                <w:szCs w:val="22"/>
                <w:lang w:val="ru-RU" w:bidi="ar-SA"/>
              </w:rPr>
              <w:t>3. Рекреационные зоны</w:t>
            </w:r>
          </w:p>
        </w:tc>
        <w:tc>
          <w:tcPr>
            <w:tcW w:w="5163" w:type="dxa"/>
            <w:tcBorders/>
            <w:shd w:color="auto" w:fill="auto" w:val="clear"/>
          </w:tcPr>
          <w:p>
            <w:pPr>
              <w:pStyle w:val="Normal"/>
              <w:widowControl w:val="false"/>
              <w:suppressAutoHyphens w:val="true"/>
              <w:spacing w:before="0" w:after="0"/>
              <w:jc w:val="left"/>
              <w:rPr>
                <w:sz w:val="22"/>
                <w:szCs w:val="22"/>
              </w:rPr>
            </w:pPr>
            <w:r>
              <w:rPr>
                <w:rFonts w:eastAsia="Times New Roman" w:cs="Times New Roman"/>
                <w:kern w:val="0"/>
                <w:sz w:val="22"/>
                <w:szCs w:val="22"/>
                <w:lang w:val="ru-RU" w:bidi="ar-SA"/>
              </w:rPr>
              <w:t>Параметры:</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bidi="ar-SA"/>
              </w:rPr>
              <w:t>- парки, скверы, бульвары, предназначенные для различных форм отдыха;</w:t>
            </w:r>
          </w:p>
          <w:p>
            <w:pPr>
              <w:pStyle w:val="Normal"/>
              <w:widowControl w:val="false"/>
              <w:suppressAutoHyphens w:val="true"/>
              <w:spacing w:before="0" w:after="0"/>
              <w:jc w:val="left"/>
              <w:rPr/>
            </w:pPr>
            <w:r>
              <w:rPr>
                <w:rFonts w:eastAsia="Times New Roman" w:cs="Times New Roman"/>
                <w:kern w:val="0"/>
                <w:sz w:val="22"/>
                <w:szCs w:val="22"/>
                <w:lang w:val="ru-RU" w:bidi="ar-SA"/>
              </w:rPr>
              <w:t>- рекреационная нагрузка при равномерном ежедневном восьмичасовом перемещении - 50-</w:t>
            </w:r>
          </w:p>
          <w:p>
            <w:pPr>
              <w:pStyle w:val="Normal"/>
              <w:widowControl w:val="false"/>
              <w:suppressAutoHyphens w:val="true"/>
              <w:spacing w:before="0" w:after="0"/>
              <w:jc w:val="left"/>
              <w:rPr/>
            </w:pPr>
            <w:r>
              <w:rPr>
                <w:rFonts w:eastAsia="Times New Roman" w:cs="Times New Roman"/>
                <w:kern w:val="0"/>
                <w:sz w:val="22"/>
                <w:szCs w:val="22"/>
                <w:lang w:val="ru-RU" w:bidi="ar-SA"/>
              </w:rPr>
              <w:t>100 человек на гектар;</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bidi="ar-SA"/>
              </w:rPr>
              <w:t>- территории, предназначенные для отдыха, туризма, занятий физкультурой и спортом;</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bidi="ar-SA"/>
              </w:rPr>
              <w:t>- минимальная площадь земельного участка на</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bidi="ar-SA"/>
              </w:rPr>
              <w:t xml:space="preserve"> </w:t>
            </w:r>
            <w:r>
              <w:rPr>
                <w:rFonts w:eastAsia="Times New Roman" w:cs="Times New Roman"/>
                <w:kern w:val="0"/>
                <w:sz w:val="22"/>
                <w:szCs w:val="22"/>
                <w:lang w:val="ru-RU" w:bidi="ar-SA"/>
              </w:rPr>
              <w:t>1 посетителя 70-200 кв. м;</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bidi="ar-SA"/>
              </w:rPr>
              <w:t>- леса - рекреационная нагрузка при равномерном ежедневном восьмичасовом перемещении – до</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bidi="ar-SA"/>
              </w:rPr>
              <w:t>10 человек на гектар в зависимости от породного состава леса;</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bidi="ar-SA"/>
              </w:rPr>
              <w:t>- защитная категория лесов</w:t>
            </w:r>
          </w:p>
        </w:tc>
      </w:tr>
      <w:tr>
        <w:trPr/>
        <w:tc>
          <w:tcPr>
            <w:tcW w:w="4470" w:type="dxa"/>
            <w:tcBorders/>
            <w:shd w:color="auto" w:fill="auto" w:val="clear"/>
          </w:tcPr>
          <w:p>
            <w:pPr>
              <w:pStyle w:val="Normal"/>
              <w:widowControl w:val="false"/>
              <w:suppressAutoHyphens w:val="true"/>
              <w:spacing w:before="0" w:after="0"/>
              <w:jc w:val="left"/>
              <w:rPr>
                <w:b/>
                <w:sz w:val="22"/>
                <w:szCs w:val="22"/>
              </w:rPr>
            </w:pPr>
            <w:r>
              <w:rPr>
                <w:rFonts w:eastAsia="Times New Roman" w:cs="Times New Roman"/>
                <w:b/>
                <w:kern w:val="0"/>
                <w:sz w:val="22"/>
                <w:szCs w:val="22"/>
                <w:lang w:val="ru-RU" w:bidi="ar-SA"/>
              </w:rPr>
              <w:t>4. Производственные зоны</w:t>
            </w:r>
          </w:p>
        </w:tc>
        <w:tc>
          <w:tcPr>
            <w:tcW w:w="5163" w:type="dxa"/>
            <w:tcBorders/>
            <w:shd w:color="auto" w:fill="auto" w:val="clear"/>
          </w:tcPr>
          <w:p>
            <w:pPr>
              <w:pStyle w:val="Normal"/>
              <w:widowControl w:val="false"/>
              <w:suppressAutoHyphens w:val="true"/>
              <w:spacing w:before="0" w:after="0"/>
              <w:jc w:val="left"/>
              <w:rPr>
                <w:sz w:val="22"/>
                <w:szCs w:val="22"/>
              </w:rPr>
            </w:pPr>
            <w:r>
              <w:rPr>
                <w:rFonts w:eastAsia="Times New Roman" w:cs="Times New Roman"/>
                <w:kern w:val="0"/>
                <w:sz w:val="22"/>
                <w:szCs w:val="22"/>
                <w:lang w:val="ru-RU" w:bidi="ar-SA"/>
              </w:rPr>
              <w:t>- класс опасности предприятия: 1-5;</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bidi="ar-SA"/>
              </w:rPr>
              <w:t>- размер санитарно-защитной зоны, м: 50-1000;</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bidi="ar-SA"/>
              </w:rPr>
              <w:t>- коэффициент застройки: 40-60 %</w:t>
            </w:r>
          </w:p>
        </w:tc>
      </w:tr>
      <w:tr>
        <w:trPr/>
        <w:tc>
          <w:tcPr>
            <w:tcW w:w="4470" w:type="dxa"/>
            <w:tcBorders/>
            <w:shd w:color="auto" w:fill="auto" w:val="clear"/>
          </w:tcPr>
          <w:p>
            <w:pPr>
              <w:pStyle w:val="Normal"/>
              <w:widowControl w:val="false"/>
              <w:suppressAutoHyphens w:val="true"/>
              <w:spacing w:before="0" w:after="0"/>
              <w:jc w:val="left"/>
              <w:rPr>
                <w:b/>
                <w:sz w:val="22"/>
                <w:szCs w:val="22"/>
              </w:rPr>
            </w:pPr>
            <w:r>
              <w:rPr>
                <w:rFonts w:eastAsia="Times New Roman" w:cs="Times New Roman"/>
                <w:b/>
                <w:kern w:val="0"/>
                <w:sz w:val="22"/>
                <w:szCs w:val="22"/>
                <w:lang w:val="ru-RU" w:bidi="ar-SA"/>
              </w:rPr>
              <w:t>5. Зоны сельскохозяйственного использования</w:t>
            </w:r>
          </w:p>
        </w:tc>
        <w:tc>
          <w:tcPr>
            <w:tcW w:w="5163" w:type="dxa"/>
            <w:tcBorders/>
            <w:shd w:color="auto" w:fill="auto" w:val="clear"/>
          </w:tcPr>
          <w:p>
            <w:pPr>
              <w:pStyle w:val="Normal"/>
              <w:widowControl w:val="false"/>
              <w:suppressAutoHyphens w:val="true"/>
              <w:spacing w:before="0" w:after="0"/>
              <w:jc w:val="left"/>
              <w:rPr>
                <w:sz w:val="22"/>
                <w:szCs w:val="22"/>
              </w:rPr>
            </w:pPr>
            <w:r>
              <w:rPr>
                <w:rFonts w:eastAsia="Times New Roman" w:cs="Times New Roman"/>
                <w:kern w:val="0"/>
                <w:sz w:val="22"/>
                <w:szCs w:val="22"/>
                <w:lang w:val="ru-RU" w:bidi="ar-SA"/>
              </w:rPr>
              <w:t>Параметры:</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bidi="ar-SA"/>
              </w:rPr>
              <w:t>- размещение объектов сельскохозяйственного производства 4-5 классов опасности</w:t>
            </w:r>
          </w:p>
        </w:tc>
      </w:tr>
      <w:tr>
        <w:trPr/>
        <w:tc>
          <w:tcPr>
            <w:tcW w:w="4470" w:type="dxa"/>
            <w:tcBorders/>
            <w:shd w:color="auto" w:fill="auto" w:val="clear"/>
          </w:tcPr>
          <w:p>
            <w:pPr>
              <w:pStyle w:val="Normal"/>
              <w:widowControl w:val="false"/>
              <w:suppressAutoHyphens w:val="true"/>
              <w:spacing w:before="0" w:after="0"/>
              <w:jc w:val="left"/>
              <w:rPr>
                <w:b/>
                <w:sz w:val="22"/>
                <w:szCs w:val="22"/>
              </w:rPr>
            </w:pPr>
            <w:r>
              <w:rPr>
                <w:rFonts w:eastAsia="Times New Roman" w:cs="Times New Roman"/>
                <w:b/>
                <w:kern w:val="0"/>
                <w:sz w:val="22"/>
                <w:szCs w:val="22"/>
                <w:lang w:val="ru-RU" w:bidi="ar-SA"/>
              </w:rPr>
              <w:t>6. Зоны специального назначения</w:t>
            </w:r>
          </w:p>
        </w:tc>
        <w:tc>
          <w:tcPr>
            <w:tcW w:w="5163" w:type="dxa"/>
            <w:tcBorders/>
            <w:shd w:color="auto" w:fill="auto" w:val="clear"/>
          </w:tcPr>
          <w:p>
            <w:pPr>
              <w:pStyle w:val="Normal"/>
              <w:widowControl w:val="false"/>
              <w:suppressAutoHyphens w:val="true"/>
              <w:spacing w:before="0" w:after="0"/>
              <w:jc w:val="left"/>
              <w:rPr>
                <w:sz w:val="22"/>
                <w:szCs w:val="22"/>
              </w:rPr>
            </w:pPr>
            <w:r>
              <w:rPr>
                <w:rFonts w:eastAsia="Times New Roman" w:cs="Times New Roman"/>
                <w:kern w:val="0"/>
                <w:sz w:val="22"/>
                <w:szCs w:val="22"/>
                <w:lang w:val="ru-RU" w:bidi="ar-SA"/>
              </w:rPr>
              <w:t>Параметры:</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bidi="ar-SA"/>
              </w:rPr>
              <w:t>- кладбища - не менее 0,24 га на 1000 человек;</w:t>
            </w:r>
          </w:p>
          <w:p>
            <w:pPr>
              <w:pStyle w:val="Normal"/>
              <w:widowControl w:val="false"/>
              <w:suppressAutoHyphens w:val="true"/>
              <w:spacing w:before="0" w:after="0"/>
              <w:jc w:val="left"/>
              <w:rPr>
                <w:sz w:val="22"/>
                <w:szCs w:val="22"/>
              </w:rPr>
            </w:pPr>
            <w:r>
              <w:rPr>
                <w:rFonts w:eastAsia="Times New Roman" w:cs="Times New Roman"/>
                <w:kern w:val="0"/>
                <w:sz w:val="22"/>
                <w:szCs w:val="22"/>
                <w:lang w:val="ru-RU" w:bidi="ar-SA"/>
              </w:rPr>
              <w:t>- озелененная территория санитарно-защитных, водоохранных, защитно-мелиоративных, противопожарных зон, кладбищ, насаждения вдоль автомобильных и железных дорог</w:t>
            </w:r>
          </w:p>
        </w:tc>
      </w:tr>
    </w:tbl>
    <w:p>
      <w:pPr>
        <w:pStyle w:val="216"/>
        <w:spacing w:lineRule="auto" w:line="240" w:before="0" w:after="0"/>
        <w:ind w:firstLine="709"/>
        <w:jc w:val="both"/>
        <w:rPr>
          <w:rFonts w:eastAsia="Calibri"/>
          <w:sz w:val="24"/>
          <w:szCs w:val="24"/>
          <w:lang w:eastAsia="en-US"/>
        </w:rPr>
      </w:pPr>
      <w:r>
        <w:rPr>
          <w:rFonts w:eastAsia="Calibri"/>
          <w:sz w:val="24"/>
          <w:szCs w:val="24"/>
          <w:lang w:eastAsia="en-US"/>
        </w:rPr>
      </w:r>
      <w:r>
        <w:br w:type="page"/>
      </w:r>
    </w:p>
    <w:p>
      <w:pPr>
        <w:pStyle w:val="Heading2"/>
        <w:keepNext w:val="false"/>
        <w:widowControl w:val="false"/>
        <w:numPr>
          <w:ilvl w:val="1"/>
          <w:numId w:val="1"/>
        </w:numPr>
        <w:tabs>
          <w:tab w:val="clear" w:pos="1134"/>
          <w:tab w:val="left" w:pos="426" w:leader="none"/>
          <w:tab w:val="left" w:pos="1276" w:leader="none"/>
        </w:tabs>
        <w:spacing w:before="0" w:after="60"/>
        <w:ind w:hanging="0" w:left="0"/>
        <w:jc w:val="both"/>
        <w:rPr>
          <w:sz w:val="24"/>
          <w:szCs w:val="24"/>
        </w:rPr>
      </w:pPr>
      <w:bookmarkStart w:id="5" w:name="_Toc219457059"/>
      <w:r>
        <w:rPr>
          <w:sz w:val="24"/>
          <w:szCs w:val="24"/>
        </w:rPr>
        <w:t>Сведения о планируемых для размещения в функциональных зонах объектах федерального значения, объектах регионального значения, за исключением линейных объектов.</w:t>
      </w:r>
      <w:bookmarkEnd w:id="5"/>
    </w:p>
    <w:p>
      <w:pPr>
        <w:pStyle w:val="ListParagraph"/>
        <w:ind w:hanging="0" w:left="644"/>
        <w:jc w:val="right"/>
        <w:rPr>
          <w:b/>
          <w:sz w:val="24"/>
          <w:szCs w:val="24"/>
        </w:rPr>
      </w:pPr>
      <w:r>
        <w:rPr>
          <w:rFonts w:cs="Symbol"/>
          <w:sz w:val="24"/>
          <w:szCs w:val="24"/>
        </w:rPr>
        <w:t>Таблица 1.3.1.</w:t>
      </w:r>
      <w:r>
        <w:rPr>
          <w:b/>
          <w:sz w:val="24"/>
          <w:szCs w:val="24"/>
        </w:rPr>
        <w:t xml:space="preserve"> </w:t>
      </w:r>
    </w:p>
    <w:tbl>
      <w:tblPr>
        <w:tblW w:w="11100"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731"/>
        <w:gridCol w:w="2716"/>
        <w:gridCol w:w="2672"/>
        <w:gridCol w:w="1243"/>
        <w:gridCol w:w="2329"/>
        <w:gridCol w:w="1408"/>
      </w:tblGrid>
      <w:tr>
        <w:trPr>
          <w:tblHeader w:val="true"/>
          <w:cantSplit w:val="true"/>
        </w:trPr>
        <w:tc>
          <w:tcPr>
            <w:tcW w:w="731"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spacing w:lineRule="auto" w:line="259"/>
              <w:jc w:val="center"/>
              <w:rPr>
                <w:sz w:val="22"/>
                <w:szCs w:val="22"/>
              </w:rPr>
            </w:pPr>
            <w:r>
              <w:rPr>
                <w:b/>
                <w:sz w:val="22"/>
                <w:szCs w:val="22"/>
                <w:lang w:eastAsia="ru-RU"/>
              </w:rPr>
              <w:t>№</w:t>
            </w:r>
          </w:p>
          <w:p>
            <w:pPr>
              <w:pStyle w:val="Normal"/>
              <w:widowControl w:val="false"/>
              <w:spacing w:lineRule="auto" w:line="259"/>
              <w:jc w:val="center"/>
              <w:rPr>
                <w:sz w:val="22"/>
                <w:szCs w:val="22"/>
              </w:rPr>
            </w:pPr>
            <w:r>
              <w:rPr>
                <w:b/>
                <w:sz w:val="22"/>
                <w:szCs w:val="22"/>
                <w:lang w:eastAsia="ru-RU"/>
              </w:rPr>
              <w:t>п/п</w:t>
            </w:r>
          </w:p>
        </w:tc>
        <w:tc>
          <w:tcPr>
            <w:tcW w:w="2716"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spacing w:lineRule="auto" w:line="259"/>
              <w:ind w:hanging="0" w:left="86"/>
              <w:jc w:val="center"/>
              <w:rPr>
                <w:sz w:val="22"/>
                <w:szCs w:val="22"/>
              </w:rPr>
            </w:pPr>
            <w:r>
              <w:rPr>
                <w:b/>
                <w:sz w:val="22"/>
                <w:szCs w:val="22"/>
                <w:lang w:eastAsia="ru-RU"/>
              </w:rPr>
              <w:t>Местоположение</w:t>
            </w:r>
          </w:p>
        </w:tc>
        <w:tc>
          <w:tcPr>
            <w:tcW w:w="2672"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sz w:val="22"/>
                <w:szCs w:val="22"/>
              </w:rPr>
            </w:pPr>
            <w:r>
              <w:rPr>
                <w:b/>
                <w:sz w:val="22"/>
                <w:szCs w:val="22"/>
                <w:lang w:eastAsia="ru-RU"/>
              </w:rPr>
              <w:t>Название зоны расположения объекта и ее характеристики</w:t>
            </w:r>
          </w:p>
        </w:tc>
        <w:tc>
          <w:tcPr>
            <w:tcW w:w="1243"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sz w:val="22"/>
                <w:szCs w:val="22"/>
              </w:rPr>
            </w:pPr>
            <w:r>
              <w:rPr>
                <w:b/>
                <w:sz w:val="22"/>
                <w:szCs w:val="22"/>
                <w:lang w:eastAsia="ru-RU"/>
              </w:rPr>
              <w:t>Площадь, га</w:t>
            </w:r>
          </w:p>
        </w:tc>
        <w:tc>
          <w:tcPr>
            <w:tcW w:w="2329"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sz w:val="22"/>
                <w:szCs w:val="22"/>
              </w:rPr>
            </w:pPr>
            <w:r>
              <w:rPr>
                <w:b/>
                <w:sz w:val="22"/>
                <w:szCs w:val="22"/>
                <w:lang w:eastAsia="ru-RU"/>
              </w:rPr>
              <w:t>Тип объекта</w:t>
            </w:r>
          </w:p>
        </w:tc>
        <w:tc>
          <w:tcPr>
            <w:tcW w:w="1408"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sz w:val="22"/>
                <w:szCs w:val="22"/>
              </w:rPr>
            </w:pPr>
            <w:r>
              <w:rPr>
                <w:b/>
                <w:sz w:val="22"/>
                <w:szCs w:val="22"/>
                <w:lang w:eastAsia="ru-RU"/>
              </w:rPr>
              <w:t>Уровень объекта</w:t>
            </w:r>
          </w:p>
        </w:tc>
      </w:tr>
      <w:tr>
        <w:trPr>
          <w:trHeight w:val="600" w:hRule="atLeast"/>
          <w:cantSplit w:val="true"/>
        </w:trPr>
        <w:tc>
          <w:tcPr>
            <w:tcW w:w="11099"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2"/>
                <w:szCs w:val="22"/>
              </w:rPr>
            </w:pPr>
            <w:r>
              <w:rPr>
                <w:b/>
                <w:sz w:val="22"/>
                <w:szCs w:val="22"/>
                <w:lang w:eastAsia="ru-RU"/>
              </w:rPr>
              <w:t>1. Сведения о планируемых для размещения в функциональных зонах объектах федерального значения, за исключением линейных объектов</w:t>
            </w:r>
          </w:p>
        </w:tc>
      </w:tr>
      <w:tr>
        <w:trPr>
          <w:trHeight w:val="2306"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1.1</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 области, в районе деревни Жерело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специального назначения.</w:t>
            </w:r>
          </w:p>
          <w:p>
            <w:pPr>
              <w:pStyle w:val="Normal"/>
              <w:widowControl w:val="false"/>
              <w:jc w:val="center"/>
              <w:rPr>
                <w:sz w:val="22"/>
                <w:szCs w:val="22"/>
              </w:rPr>
            </w:pPr>
            <w:r>
              <w:rPr>
                <w:sz w:val="22"/>
                <w:szCs w:val="22"/>
              </w:rPr>
              <w:t>Максимальный процент застройки - не регламентируется. Предельное количество этажей - не регламентируется.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val="en-US" w:eastAsia="ru-RU"/>
              </w:rPr>
              <w:t>106</w:t>
            </w:r>
            <w:r>
              <w:rPr>
                <w:sz w:val="22"/>
                <w:szCs w:val="22"/>
                <w:lang w:eastAsia="ru-RU"/>
              </w:rPr>
              <w:t>,</w:t>
            </w:r>
            <w:r>
              <w:rPr>
                <w:sz w:val="22"/>
                <w:szCs w:val="22"/>
                <w:lang w:val="en-US" w:eastAsia="ru-RU"/>
              </w:rPr>
              <w:t>44</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Строительство учреждения объединенного типа на 3000 мест УФСИН</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center"/>
              <w:rPr>
                <w:sz w:val="22"/>
                <w:szCs w:val="22"/>
              </w:rPr>
            </w:pPr>
            <w:r>
              <w:rPr>
                <w:sz w:val="22"/>
                <w:szCs w:val="22"/>
                <w:lang w:eastAsia="ru-RU"/>
              </w:rPr>
              <w:t>Федеральный</w:t>
            </w:r>
          </w:p>
        </w:tc>
      </w:tr>
      <w:tr>
        <w:trPr>
          <w:trHeight w:val="1539" w:hRule="atLeast"/>
          <w:cantSplit w:val="true"/>
        </w:trPr>
        <w:tc>
          <w:tcPr>
            <w:tcW w:w="731" w:type="dxa"/>
            <w:tcBorders>
              <w:top w:val="single" w:sz="4" w:space="0" w:color="000000"/>
              <w:left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1.2</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 области, г. Калуга</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Общественно-деловые зоны. Максимальный процент застройки - 50%. Предельное количество этажей - 6,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ru-RU"/>
              </w:rPr>
              <w:t>38,19</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16"/>
              <w:jc w:val="center"/>
              <w:rPr/>
            </w:pPr>
            <w:r>
              <w:rPr>
                <w:sz w:val="22"/>
                <w:szCs w:val="22"/>
                <w:lang w:eastAsia="en-US"/>
              </w:rPr>
              <w:t>Комплекс объектов проектной мощностью до 500 посещений в смену, мощность круглосуточного стационара до 325 коек, мощность дневного</w:t>
            </w:r>
          </w:p>
          <w:p>
            <w:pPr>
              <w:pStyle w:val="Normal"/>
              <w:widowControl w:val="false"/>
              <w:spacing w:lineRule="auto" w:line="216"/>
              <w:jc w:val="center"/>
              <w:rPr>
                <w:sz w:val="22"/>
                <w:szCs w:val="22"/>
              </w:rPr>
            </w:pPr>
            <w:r>
              <w:rPr>
                <w:sz w:val="22"/>
                <w:szCs w:val="22"/>
                <w:lang w:eastAsia="en-US"/>
              </w:rPr>
              <w:t>стационара – 175 коек, включающий создание</w:t>
            </w:r>
          </w:p>
          <w:p>
            <w:pPr>
              <w:pStyle w:val="Normal"/>
              <w:widowControl w:val="false"/>
              <w:spacing w:lineRule="auto" w:line="216"/>
              <w:jc w:val="center"/>
              <w:rPr>
                <w:sz w:val="22"/>
                <w:szCs w:val="22"/>
              </w:rPr>
            </w:pPr>
            <w:r>
              <w:rPr>
                <w:sz w:val="22"/>
                <w:szCs w:val="22"/>
                <w:lang w:eastAsia="en-US"/>
              </w:rPr>
              <w:t>регионального сосудистого центра, действующего в рамках государственного заказа и создание первичного сосудистого центра</w:t>
            </w:r>
          </w:p>
          <w:p>
            <w:pPr>
              <w:pStyle w:val="Normal"/>
              <w:widowControl w:val="false"/>
              <w:spacing w:lineRule="auto" w:line="216"/>
              <w:jc w:val="center"/>
              <w:rPr>
                <w:sz w:val="22"/>
                <w:szCs w:val="22"/>
              </w:rPr>
            </w:pPr>
            <w:r>
              <w:rPr>
                <w:sz w:val="22"/>
                <w:szCs w:val="22"/>
                <w:lang w:eastAsia="en-US"/>
              </w:rPr>
              <w:t>(г. Калуга)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center"/>
              <w:rPr>
                <w:sz w:val="22"/>
                <w:szCs w:val="22"/>
              </w:rPr>
            </w:pPr>
            <w:r>
              <w:rPr>
                <w:sz w:val="22"/>
                <w:szCs w:val="22"/>
                <w:lang w:eastAsia="ru-RU"/>
              </w:rPr>
              <w:t>Федеральный</w:t>
            </w:r>
          </w:p>
        </w:tc>
      </w:tr>
      <w:tr>
        <w:trPr>
          <w:trHeight w:val="3209"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1.3</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 области, Дзержинский муниципальный округ Калужской области</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Производственные зоны, зоны инженерной и транспортной инфраструктур.</w:t>
            </w:r>
          </w:p>
          <w:p>
            <w:pPr>
              <w:pStyle w:val="Normal"/>
              <w:widowControl w:val="false"/>
              <w:jc w:val="center"/>
              <w:rPr>
                <w:sz w:val="22"/>
                <w:szCs w:val="22"/>
              </w:rPr>
            </w:pPr>
            <w:r>
              <w:rPr>
                <w:sz w:val="22"/>
                <w:szCs w:val="22"/>
              </w:rPr>
              <w:t>Максимальный процент застройки - 50%. Предельное количество этажей - не регламентируется.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ru-RU"/>
              </w:rPr>
              <w:t>18,61</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lang w:eastAsia="en-US"/>
              </w:rPr>
              <w:t>Реконструкция ГРП-2 и газопромысловых объектов Калужского ПХГ, проектный объем транспортировки</w:t>
            </w:r>
          </w:p>
          <w:p>
            <w:pPr>
              <w:pStyle w:val="Normal"/>
              <w:widowControl w:val="false"/>
              <w:jc w:val="center"/>
              <w:rPr/>
            </w:pPr>
            <w:r>
              <w:rPr>
                <w:sz w:val="22"/>
                <w:szCs w:val="22"/>
                <w:lang w:eastAsia="en-US"/>
              </w:rPr>
              <w:t>газа - 4,38 млрд куб. метров в год; проектная производительность ПXГ - 30 млн куб. метров газа в сутки</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ru-RU"/>
              </w:rPr>
              <w:t>Федераль-ный</w:t>
            </w:r>
          </w:p>
        </w:tc>
      </w:tr>
      <w:tr>
        <w:trPr>
          <w:trHeight w:val="600" w:hRule="atLeast"/>
          <w:cantSplit w:val="true"/>
        </w:trPr>
        <w:tc>
          <w:tcPr>
            <w:tcW w:w="11099"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2"/>
                <w:szCs w:val="22"/>
              </w:rPr>
            </w:pPr>
            <w:r>
              <w:rPr>
                <w:b/>
                <w:sz w:val="20"/>
                <w:szCs w:val="20"/>
                <w:lang w:eastAsia="ru-RU"/>
              </w:rPr>
              <w:t>2. Сведения о планируемых для размещения в функциональных зонах объектах регионального значения, за исключением линейных объектов</w:t>
            </w:r>
          </w:p>
        </w:tc>
      </w:tr>
      <w:tr>
        <w:trPr>
          <w:trHeight w:val="1211"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2.1</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bCs/>
                <w:sz w:val="22"/>
                <w:szCs w:val="22"/>
              </w:rPr>
              <w:t>городской округ город Калуга Калужской области, г. Калуга, район д. Некрасово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Общественно-деловые зоны. Максимальный процент застройки - 50%. Предельное количество этажей - 6,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6,58</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bCs/>
                <w:sz w:val="22"/>
                <w:szCs w:val="22"/>
              </w:rPr>
              <w:t xml:space="preserve">Строительство здания профессионального образовательного учреждения «Калужский индустриально-педагогический колледж», </w:t>
            </w:r>
            <w:r>
              <w:rPr>
                <w:sz w:val="22"/>
                <w:szCs w:val="22"/>
              </w:rPr>
              <w:t xml:space="preserve">проектной вместимостью </w:t>
            </w:r>
            <w:r>
              <w:rPr>
                <w:bCs/>
                <w:sz w:val="22"/>
                <w:szCs w:val="22"/>
              </w:rPr>
              <w:t>775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Региональ-ный</w:t>
            </w:r>
          </w:p>
        </w:tc>
      </w:tr>
      <w:tr>
        <w:trPr>
          <w:trHeight w:val="1558"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2.2</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Cs/>
                <w:sz w:val="22"/>
                <w:szCs w:val="22"/>
              </w:rPr>
              <w:t>городской округ город Калуга Калужской области, г. Калуга,</w:t>
            </w:r>
          </w:p>
          <w:p>
            <w:pPr>
              <w:pStyle w:val="Normal"/>
              <w:widowControl w:val="false"/>
              <w:jc w:val="center"/>
              <w:rPr>
                <w:sz w:val="22"/>
                <w:szCs w:val="22"/>
              </w:rPr>
            </w:pPr>
            <w:r>
              <w:rPr>
                <w:bCs/>
                <w:sz w:val="22"/>
                <w:szCs w:val="22"/>
              </w:rPr>
              <w:t>мкр. «Тайфун»</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Жилые зоны.</w:t>
            </w:r>
          </w:p>
          <w:p>
            <w:pPr>
              <w:pStyle w:val="Normal"/>
              <w:widowControl w:val="false"/>
              <w:jc w:val="center"/>
              <w:rPr>
                <w:sz w:val="22"/>
                <w:szCs w:val="22"/>
              </w:rPr>
            </w:pPr>
            <w:r>
              <w:rPr>
                <w:sz w:val="22"/>
                <w:szCs w:val="22"/>
              </w:rPr>
              <w:t>Максимальный процент застройки - 50%. Предельное количество этажей - 8, рекомендуемая плотность населения - 345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53,42</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bCs/>
                <w:sz w:val="22"/>
                <w:szCs w:val="22"/>
              </w:rPr>
              <w:t xml:space="preserve">Строительство общеобразовательной школы </w:t>
            </w:r>
            <w:r>
              <w:rPr>
                <w:sz w:val="22"/>
                <w:szCs w:val="22"/>
              </w:rPr>
              <w:t xml:space="preserve">проектной вместимостью </w:t>
            </w:r>
            <w:r>
              <w:rPr>
                <w:bCs/>
                <w:sz w:val="22"/>
                <w:szCs w:val="22"/>
              </w:rPr>
              <w:t>1125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Региональ-ный</w:t>
            </w:r>
          </w:p>
        </w:tc>
      </w:tr>
      <w:tr>
        <w:trPr>
          <w:trHeight w:val="1185"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2.3</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bCs/>
                <w:sz w:val="22"/>
                <w:szCs w:val="22"/>
              </w:rPr>
              <w:t>городской округ город Калуга Калужской области, г. Калуга,</w:t>
            </w:r>
          </w:p>
          <w:p>
            <w:pPr>
              <w:pStyle w:val="Normal"/>
              <w:widowControl w:val="false"/>
              <w:jc w:val="center"/>
              <w:rPr>
                <w:sz w:val="22"/>
                <w:szCs w:val="22"/>
              </w:rPr>
            </w:pPr>
            <w:r>
              <w:rPr>
                <w:bCs/>
                <w:sz w:val="22"/>
                <w:szCs w:val="22"/>
              </w:rPr>
              <w:t>ул. Комфортная, д. 1</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Жилые зоны.</w:t>
            </w:r>
          </w:p>
          <w:p>
            <w:pPr>
              <w:pStyle w:val="Normal"/>
              <w:widowControl w:val="false"/>
              <w:jc w:val="center"/>
              <w:rPr>
                <w:sz w:val="22"/>
                <w:szCs w:val="22"/>
              </w:rPr>
            </w:pPr>
            <w:r>
              <w:rPr>
                <w:sz w:val="22"/>
                <w:szCs w:val="22"/>
              </w:rPr>
              <w:t>Максимальный процент застройки - 50%. Предельное количество этажей - 9, рекомендуемая плотность населения - 435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21,05</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bCs/>
                <w:sz w:val="22"/>
                <w:szCs w:val="22"/>
              </w:rPr>
              <w:t xml:space="preserve">Строительство общеобразовательной школы </w:t>
            </w:r>
            <w:r>
              <w:rPr>
                <w:sz w:val="22"/>
                <w:szCs w:val="22"/>
              </w:rPr>
              <w:t xml:space="preserve">проектной вместимостью </w:t>
            </w:r>
            <w:r>
              <w:rPr>
                <w:bCs/>
                <w:sz w:val="22"/>
                <w:szCs w:val="22"/>
              </w:rPr>
              <w:t>806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Региональ-ный</w:t>
            </w:r>
          </w:p>
        </w:tc>
      </w:tr>
      <w:tr>
        <w:trPr>
          <w:trHeight w:val="1472"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2.4</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bCs/>
                <w:sz w:val="22"/>
                <w:szCs w:val="22"/>
              </w:rPr>
              <w:t>городской округ город Калуга Калужской области,</w:t>
            </w:r>
          </w:p>
          <w:p>
            <w:pPr>
              <w:pStyle w:val="Normal"/>
              <w:widowControl w:val="false"/>
              <w:jc w:val="center"/>
              <w:rPr>
                <w:sz w:val="22"/>
                <w:szCs w:val="22"/>
              </w:rPr>
            </w:pPr>
            <w:r>
              <w:rPr>
                <w:bCs/>
                <w:sz w:val="22"/>
                <w:szCs w:val="22"/>
              </w:rPr>
              <w:t>г. Калуга, д. Мстихино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- 60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71,04</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bCs/>
                <w:sz w:val="22"/>
                <w:szCs w:val="22"/>
              </w:rPr>
              <w:t xml:space="preserve">Строительство общеобразовательной школы </w:t>
            </w:r>
            <w:r>
              <w:rPr>
                <w:sz w:val="22"/>
                <w:szCs w:val="22"/>
              </w:rPr>
              <w:t xml:space="preserve">проектной вместимостью </w:t>
            </w:r>
            <w:r>
              <w:rPr>
                <w:bCs/>
                <w:sz w:val="22"/>
                <w:szCs w:val="22"/>
              </w:rPr>
              <w:t>до 1000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Региональ-ный</w:t>
            </w:r>
          </w:p>
        </w:tc>
      </w:tr>
      <w:tr>
        <w:trPr>
          <w:trHeight w:val="1534"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2.5</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bCs/>
                <w:sz w:val="22"/>
                <w:szCs w:val="22"/>
              </w:rPr>
              <w:t>городской округ город Калуга Калужской области, г. Калуга, ул. 65 лет Победы</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- 5, рекомендуемая плотность населения - 60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45,49</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bCs/>
                <w:sz w:val="22"/>
                <w:szCs w:val="22"/>
              </w:rPr>
              <w:t xml:space="preserve">Строительство нежилого здания для реализации программ дошкольного образования в правобережном районе г. Калуги </w:t>
            </w:r>
            <w:r>
              <w:rPr>
                <w:sz w:val="22"/>
                <w:szCs w:val="22"/>
              </w:rPr>
              <w:t xml:space="preserve">проектной вместимостью </w:t>
            </w:r>
            <w:r>
              <w:rPr>
                <w:bCs/>
                <w:sz w:val="22"/>
                <w:szCs w:val="22"/>
              </w:rPr>
              <w:t>350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Региональ-ный</w:t>
            </w:r>
          </w:p>
        </w:tc>
      </w:tr>
      <w:tr>
        <w:trPr>
          <w:trHeight w:val="1326"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2.6</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bCs/>
                <w:sz w:val="22"/>
                <w:szCs w:val="22"/>
              </w:rPr>
              <w:t>городской округ город Калуга Калужской области, г. Калуга, ЖК «Кречетников парк»</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- 435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39,79</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bCs/>
                <w:sz w:val="22"/>
                <w:szCs w:val="22"/>
              </w:rPr>
              <w:t xml:space="preserve">Строительство нежилого здания для реализации программ дошкольного образования в микрорайоне «Правобережье» г. Калуги </w:t>
            </w:r>
            <w:r>
              <w:rPr>
                <w:sz w:val="22"/>
                <w:szCs w:val="22"/>
              </w:rPr>
              <w:t xml:space="preserve">проектной вместимостью </w:t>
            </w:r>
            <w:r>
              <w:rPr>
                <w:bCs/>
                <w:sz w:val="22"/>
                <w:szCs w:val="22"/>
              </w:rPr>
              <w:t>140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Региональ-ный</w:t>
            </w:r>
          </w:p>
        </w:tc>
      </w:tr>
      <w:tr>
        <w:trPr>
          <w:trHeight w:val="128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2.7</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bCs/>
                <w:sz w:val="22"/>
                <w:szCs w:val="22"/>
              </w:rPr>
              <w:t>городской округ город Калуга Калужской области, г. Калуга, ул. Комфортная</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- 435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21,05</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bCs/>
                <w:sz w:val="22"/>
                <w:szCs w:val="22"/>
              </w:rPr>
              <w:t xml:space="preserve">Строительство нежилого здания для реализации программ дошкольного образования в правобережном районе г. Калуги </w:t>
            </w:r>
            <w:r>
              <w:rPr>
                <w:sz w:val="22"/>
                <w:szCs w:val="22"/>
              </w:rPr>
              <w:t xml:space="preserve">проектной вместимостью </w:t>
            </w:r>
            <w:r>
              <w:rPr>
                <w:bCs/>
                <w:sz w:val="22"/>
                <w:szCs w:val="22"/>
              </w:rPr>
              <w:t>300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center"/>
              <w:rPr>
                <w:sz w:val="22"/>
                <w:szCs w:val="22"/>
              </w:rPr>
            </w:pPr>
            <w:r>
              <w:rPr>
                <w:sz w:val="22"/>
                <w:szCs w:val="22"/>
                <w:lang w:eastAsia="en-US"/>
              </w:rPr>
              <w:t>Региональный</w:t>
            </w:r>
          </w:p>
        </w:tc>
      </w:tr>
      <w:tr>
        <w:trPr>
          <w:trHeight w:val="1796"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2.8</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firstLine="33"/>
              <w:jc w:val="center"/>
              <w:rPr>
                <w:sz w:val="22"/>
                <w:szCs w:val="22"/>
              </w:rPr>
            </w:pPr>
            <w:r>
              <w:rPr>
                <w:bCs/>
                <w:sz w:val="22"/>
                <w:szCs w:val="22"/>
              </w:rPr>
              <w:t>городской округ город Калуга Калужской области, г. Калуга, з.у. с</w:t>
            </w:r>
          </w:p>
          <w:p>
            <w:pPr>
              <w:pStyle w:val="Normal"/>
              <w:widowControl w:val="false"/>
              <w:jc w:val="center"/>
              <w:rPr>
                <w:sz w:val="22"/>
                <w:szCs w:val="22"/>
              </w:rPr>
            </w:pPr>
            <w:r>
              <w:rPr>
                <w:bCs/>
                <w:sz w:val="22"/>
                <w:szCs w:val="22"/>
              </w:rPr>
              <w:t>К№ 40:26:000374:2012</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Жилые зоны.</w:t>
            </w:r>
          </w:p>
          <w:p>
            <w:pPr>
              <w:pStyle w:val="Normal"/>
              <w:widowControl w:val="false"/>
              <w:jc w:val="center"/>
              <w:rPr>
                <w:sz w:val="22"/>
                <w:szCs w:val="22"/>
              </w:rPr>
            </w:pPr>
            <w:r>
              <w:rPr>
                <w:sz w:val="22"/>
                <w:szCs w:val="22"/>
              </w:rPr>
              <w:t>Максимальный процент застройки - 50%. Предельное количество этажей - 9, рекомендуемая плотность населения - 435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52,53</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rPr>
              <w:t xml:space="preserve">Строительство детско-взрослой поликлиники, в том числе ПИР, </w:t>
            </w:r>
            <w:r>
              <w:rPr>
                <w:bCs/>
                <w:sz w:val="22"/>
                <w:szCs w:val="22"/>
              </w:rPr>
              <w:t>площадью здания – 4250 м</w:t>
            </w:r>
            <w:r>
              <w:rPr>
                <w:bCs/>
                <w:sz w:val="22"/>
                <w:szCs w:val="22"/>
                <w:vertAlign w:val="superscript"/>
              </w:rPr>
              <w:t>2</w:t>
            </w:r>
            <w:r>
              <w:rPr>
                <w:bCs/>
                <w:sz w:val="22"/>
                <w:szCs w:val="22"/>
              </w:rPr>
              <w:t>, 650 посещений в смену, вместимостью дневного</w:t>
            </w:r>
          </w:p>
          <w:p>
            <w:pPr>
              <w:pStyle w:val="Normal"/>
              <w:widowControl w:val="false"/>
              <w:jc w:val="center"/>
              <w:rPr>
                <w:sz w:val="22"/>
                <w:szCs w:val="22"/>
              </w:rPr>
            </w:pPr>
            <w:r>
              <w:rPr>
                <w:bCs/>
                <w:sz w:val="22"/>
                <w:szCs w:val="22"/>
              </w:rPr>
              <w:t>стационара – до 50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center"/>
              <w:rPr>
                <w:sz w:val="22"/>
                <w:szCs w:val="22"/>
              </w:rPr>
            </w:pPr>
            <w:r>
              <w:rPr>
                <w:sz w:val="22"/>
                <w:szCs w:val="22"/>
                <w:lang w:eastAsia="en-US"/>
              </w:rPr>
              <w:t>Региональный</w:t>
            </w:r>
          </w:p>
        </w:tc>
      </w:tr>
      <w:tr>
        <w:trPr>
          <w:trHeight w:val="20"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2.9</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bCs/>
                <w:sz w:val="22"/>
                <w:szCs w:val="22"/>
              </w:rPr>
              <w:t>городской округ город Калуга Калужской области, г.</w:t>
            </w:r>
            <w:r>
              <w:rPr>
                <w:sz w:val="22"/>
                <w:szCs w:val="22"/>
              </w:rPr>
              <w:t xml:space="preserve"> Калуга, з.у. с</w:t>
            </w:r>
          </w:p>
          <w:p>
            <w:pPr>
              <w:pStyle w:val="Normal"/>
              <w:widowControl w:val="false"/>
              <w:jc w:val="center"/>
              <w:rPr>
                <w:sz w:val="22"/>
                <w:szCs w:val="22"/>
              </w:rPr>
            </w:pPr>
            <w:r>
              <w:rPr>
                <w:sz w:val="22"/>
                <w:szCs w:val="22"/>
              </w:rPr>
              <w:t>К№ 40:26:000395:457</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Общественно-деловые зоны.</w:t>
            </w:r>
          </w:p>
          <w:p>
            <w:pPr>
              <w:pStyle w:val="Normal"/>
              <w:widowControl w:val="false"/>
              <w:jc w:val="center"/>
              <w:rPr>
                <w:sz w:val="22"/>
                <w:szCs w:val="22"/>
              </w:rPr>
            </w:pPr>
            <w:r>
              <w:rPr>
                <w:sz w:val="22"/>
                <w:szCs w:val="22"/>
              </w:rPr>
              <w:t>Максимальный процент застройки - 50%. Предельное количество этажей - 6,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38,19</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 xml:space="preserve">Строительство лечебно-диагностического корпуса государственного бюджетного учреждения здравоохранения Калужской области «Калужский областной клинический онкологический диспансер», в том числе ПИР, </w:t>
            </w:r>
            <w:r>
              <w:rPr>
                <w:bCs/>
                <w:sz w:val="22"/>
                <w:szCs w:val="22"/>
              </w:rPr>
              <w:t>площадью здания – 21690,38 кв.м, с</w:t>
            </w:r>
          </w:p>
          <w:p>
            <w:pPr>
              <w:pStyle w:val="Normal"/>
              <w:widowControl w:val="false"/>
              <w:jc w:val="center"/>
              <w:rPr>
                <w:sz w:val="22"/>
                <w:szCs w:val="22"/>
              </w:rPr>
            </w:pPr>
            <w:r>
              <w:rPr>
                <w:bCs/>
                <w:sz w:val="22"/>
                <w:szCs w:val="22"/>
              </w:rPr>
              <w:t>количеством коек 264, до 500 посещений в смену</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center"/>
              <w:rPr>
                <w:sz w:val="22"/>
                <w:szCs w:val="22"/>
              </w:rPr>
            </w:pPr>
            <w:r>
              <w:rPr>
                <w:sz w:val="22"/>
                <w:szCs w:val="22"/>
                <w:lang w:eastAsia="en-US"/>
              </w:rPr>
              <w:t>Региональный</w:t>
            </w:r>
          </w:p>
        </w:tc>
      </w:tr>
      <w:tr>
        <w:trPr>
          <w:trHeight w:val="87"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2.10</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bCs/>
                <w:sz w:val="22"/>
                <w:szCs w:val="22"/>
              </w:rPr>
              <w:t>городской округ город Калуга Калужской области, г.</w:t>
            </w:r>
            <w:r>
              <w:rPr>
                <w:sz w:val="22"/>
                <w:szCs w:val="22"/>
              </w:rPr>
              <w:t xml:space="preserve"> Калуга, Тульское шоссе</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Общественно-деловые зоны.</w:t>
            </w:r>
          </w:p>
          <w:p>
            <w:pPr>
              <w:pStyle w:val="Normal"/>
              <w:widowControl w:val="false"/>
              <w:jc w:val="center"/>
              <w:rPr>
                <w:sz w:val="22"/>
                <w:szCs w:val="22"/>
              </w:rPr>
            </w:pPr>
            <w:r>
              <w:rPr>
                <w:sz w:val="22"/>
                <w:szCs w:val="22"/>
              </w:rPr>
              <w:t>Максимальный процент застройки - 50%. Предельное количество этажей - 6,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46,81</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Строительство крытого футбольного манежа на тренировочной площадке «Спутник» единовременной пропускной способностью - 128 человек</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center"/>
              <w:rPr>
                <w:sz w:val="22"/>
                <w:szCs w:val="22"/>
              </w:rPr>
            </w:pPr>
            <w:r>
              <w:rPr>
                <w:sz w:val="22"/>
                <w:szCs w:val="22"/>
                <w:lang w:eastAsia="en-US"/>
              </w:rPr>
              <w:t>Региональный</w:t>
            </w:r>
          </w:p>
        </w:tc>
      </w:tr>
      <w:tr>
        <w:trPr>
          <w:trHeight w:val="20"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2.11</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bCs/>
                <w:sz w:val="22"/>
                <w:szCs w:val="22"/>
              </w:rPr>
              <w:t>городской округ город Калуга Калужской области, г.</w:t>
            </w:r>
            <w:r>
              <w:rPr>
                <w:sz w:val="22"/>
                <w:szCs w:val="22"/>
              </w:rPr>
              <w:t xml:space="preserve"> Калуга, наб. Яченская</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Зоны рекреационного назначения.</w:t>
            </w:r>
          </w:p>
          <w:p>
            <w:pPr>
              <w:pStyle w:val="Normal"/>
              <w:widowControl w:val="false"/>
              <w:jc w:val="center"/>
              <w:rPr>
                <w:sz w:val="22"/>
                <w:szCs w:val="22"/>
              </w:rPr>
            </w:pPr>
            <w:r>
              <w:rPr>
                <w:sz w:val="22"/>
                <w:szCs w:val="22"/>
              </w:rPr>
              <w:t>Максимальный процент застройки - не регламентируется. Предельное количество этажей - не регламентируется.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123,25</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Строительство гребного центра, единовременной пропускной</w:t>
            </w:r>
          </w:p>
          <w:p>
            <w:pPr>
              <w:pStyle w:val="Normal"/>
              <w:widowControl w:val="false"/>
              <w:jc w:val="center"/>
              <w:rPr>
                <w:sz w:val="22"/>
                <w:szCs w:val="22"/>
              </w:rPr>
            </w:pPr>
            <w:r>
              <w:rPr>
                <w:sz w:val="22"/>
                <w:szCs w:val="22"/>
              </w:rPr>
              <w:t>способностью - 100 человек</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center"/>
              <w:rPr>
                <w:sz w:val="22"/>
                <w:szCs w:val="22"/>
              </w:rPr>
            </w:pPr>
            <w:r>
              <w:rPr>
                <w:sz w:val="22"/>
                <w:szCs w:val="22"/>
                <w:lang w:eastAsia="en-US"/>
              </w:rPr>
              <w:t>Региональный</w:t>
            </w:r>
          </w:p>
        </w:tc>
      </w:tr>
      <w:tr>
        <w:trPr>
          <w:trHeight w:val="20"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2.12</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bCs/>
                <w:sz w:val="22"/>
                <w:szCs w:val="22"/>
              </w:rPr>
              <w:t>городской округ город Калуга Калужской области, г.</w:t>
            </w:r>
            <w:r>
              <w:rPr>
                <w:sz w:val="22"/>
                <w:szCs w:val="22"/>
              </w:rPr>
              <w:t xml:space="preserve"> Калуга, мкр. Анненки</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Зоны рекреационного назначения.</w:t>
            </w:r>
          </w:p>
          <w:p>
            <w:pPr>
              <w:pStyle w:val="Normal"/>
              <w:widowControl w:val="false"/>
              <w:jc w:val="center"/>
              <w:rPr>
                <w:sz w:val="22"/>
                <w:szCs w:val="22"/>
              </w:rPr>
            </w:pPr>
            <w:r>
              <w:rPr>
                <w:sz w:val="22"/>
                <w:szCs w:val="22"/>
              </w:rPr>
              <w:t>Максимальный процент застройки - не регламентируется. Предельное количество этажей - не регламентируется.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6,4</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Строительство биатлонного комплекса, единовременной пропускной способностью - 250 человек</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center"/>
              <w:rPr>
                <w:sz w:val="22"/>
                <w:szCs w:val="22"/>
              </w:rPr>
            </w:pPr>
            <w:r>
              <w:rPr>
                <w:sz w:val="22"/>
                <w:szCs w:val="22"/>
                <w:lang w:eastAsia="en-US"/>
              </w:rPr>
              <w:t>Региональный</w:t>
            </w:r>
          </w:p>
        </w:tc>
      </w:tr>
      <w:tr>
        <w:trPr>
          <w:trHeight w:val="2041"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2.13</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bCs/>
                <w:sz w:val="22"/>
                <w:szCs w:val="22"/>
              </w:rPr>
              <w:t>городской округ город Калуга Калужской области, г. Калуга, Тульское шоссе, з.у. с                             КН 40:25:000216:479</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Общественно-деловые зоны.</w:t>
            </w:r>
          </w:p>
          <w:p>
            <w:pPr>
              <w:pStyle w:val="Normal"/>
              <w:widowControl w:val="false"/>
              <w:jc w:val="center"/>
              <w:rPr>
                <w:sz w:val="22"/>
                <w:szCs w:val="22"/>
              </w:rPr>
            </w:pPr>
            <w:r>
              <w:rPr>
                <w:sz w:val="22"/>
                <w:szCs w:val="22"/>
              </w:rPr>
              <w:t>Максимальный процент застройки - 50%. Предельное количество этажей - 6,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46,81</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bCs/>
                <w:sz w:val="22"/>
                <w:szCs w:val="22"/>
              </w:rPr>
              <w:t>Калужское областное хранилище для археологических предметов</w:t>
            </w:r>
          </w:p>
          <w:p>
            <w:pPr>
              <w:pStyle w:val="Normal"/>
              <w:widowControl w:val="false"/>
              <w:jc w:val="center"/>
              <w:rPr>
                <w:sz w:val="22"/>
                <w:szCs w:val="22"/>
              </w:rPr>
            </w:pPr>
            <w:r>
              <w:rPr>
                <w:bCs/>
                <w:sz w:val="22"/>
                <w:szCs w:val="22"/>
              </w:rPr>
              <w:t>общей площадью - 4970,10 кв.м,</w:t>
            </w:r>
          </w:p>
          <w:p>
            <w:pPr>
              <w:pStyle w:val="Normal"/>
              <w:widowControl w:val="false"/>
              <w:jc w:val="center"/>
              <w:rPr>
                <w:sz w:val="22"/>
                <w:szCs w:val="22"/>
              </w:rPr>
            </w:pPr>
            <w:r>
              <w:rPr>
                <w:bCs/>
                <w:sz w:val="22"/>
                <w:szCs w:val="22"/>
              </w:rPr>
              <w:t>библиотечным фондом до 200 тыс. экз., общая единовременная вместимость: 235 человек</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center"/>
              <w:rPr>
                <w:sz w:val="22"/>
                <w:szCs w:val="22"/>
              </w:rPr>
            </w:pPr>
            <w:r>
              <w:rPr>
                <w:sz w:val="22"/>
                <w:szCs w:val="22"/>
                <w:lang w:eastAsia="en-US"/>
              </w:rPr>
              <w:t>Региональный</w:t>
            </w:r>
          </w:p>
        </w:tc>
      </w:tr>
      <w:tr>
        <w:trPr>
          <w:trHeight w:val="1721"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2.14</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bCs/>
                <w:sz w:val="22"/>
                <w:szCs w:val="22"/>
              </w:rPr>
              <w:t>городской округ город Калуга Калужской области,</w:t>
            </w:r>
          </w:p>
          <w:p>
            <w:pPr>
              <w:pStyle w:val="Normal"/>
              <w:widowControl w:val="false"/>
              <w:jc w:val="center"/>
              <w:rPr>
                <w:sz w:val="22"/>
                <w:szCs w:val="22"/>
              </w:rPr>
            </w:pPr>
            <w:r>
              <w:rPr>
                <w:bCs/>
                <w:sz w:val="22"/>
                <w:szCs w:val="22"/>
              </w:rPr>
              <w:t>д.</w:t>
            </w:r>
            <w:r>
              <w:rPr>
                <w:sz w:val="22"/>
                <w:szCs w:val="22"/>
              </w:rPr>
              <w:t xml:space="preserve"> Николо-Лапиносово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- 60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49,13</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Газорегуляторный пункт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center"/>
              <w:rPr>
                <w:sz w:val="22"/>
                <w:szCs w:val="22"/>
              </w:rPr>
            </w:pPr>
            <w:r>
              <w:rPr>
                <w:sz w:val="22"/>
                <w:szCs w:val="22"/>
                <w:lang w:eastAsia="en-US"/>
              </w:rPr>
              <w:t>Региональный</w:t>
            </w:r>
          </w:p>
        </w:tc>
      </w:tr>
      <w:tr>
        <w:trPr>
          <w:trHeight w:val="1601"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2.15</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bCs/>
                <w:sz w:val="22"/>
                <w:szCs w:val="22"/>
              </w:rPr>
              <w:t>городской округ город Калуга Калужской области,</w:t>
            </w:r>
          </w:p>
          <w:p>
            <w:pPr>
              <w:pStyle w:val="Normal"/>
              <w:widowControl w:val="false"/>
              <w:jc w:val="center"/>
              <w:rPr>
                <w:sz w:val="22"/>
                <w:szCs w:val="22"/>
              </w:rPr>
            </w:pPr>
            <w:r>
              <w:rPr>
                <w:sz w:val="22"/>
                <w:szCs w:val="22"/>
              </w:rPr>
              <w:t>д. Сокорево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- 60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54,5</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Газорегуляторный пункт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center"/>
              <w:rPr>
                <w:sz w:val="22"/>
                <w:szCs w:val="22"/>
              </w:rPr>
            </w:pPr>
            <w:r>
              <w:rPr>
                <w:sz w:val="22"/>
                <w:szCs w:val="22"/>
                <w:lang w:eastAsia="en-US"/>
              </w:rPr>
              <w:t>Региональный</w:t>
            </w:r>
          </w:p>
        </w:tc>
      </w:tr>
      <w:tr>
        <w:trPr>
          <w:trHeight w:val="1305"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2.16</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bCs/>
                <w:sz w:val="22"/>
                <w:szCs w:val="22"/>
              </w:rPr>
              <w:t>городской округ город Калуга Калужской области,</w:t>
            </w:r>
          </w:p>
          <w:p>
            <w:pPr>
              <w:pStyle w:val="Normal"/>
              <w:widowControl w:val="false"/>
              <w:jc w:val="center"/>
              <w:rPr>
                <w:sz w:val="22"/>
                <w:szCs w:val="22"/>
              </w:rPr>
            </w:pPr>
            <w:r>
              <w:rPr>
                <w:bCs/>
                <w:sz w:val="22"/>
                <w:szCs w:val="22"/>
              </w:rPr>
              <w:t>д.</w:t>
            </w:r>
            <w:r>
              <w:rPr>
                <w:sz w:val="22"/>
                <w:szCs w:val="22"/>
              </w:rPr>
              <w:t> Орешково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 Предельное количество этажей - 4, рекомендуемая плотность населения - 60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31,69</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Газорегуляторный пункт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center"/>
              <w:rPr>
                <w:sz w:val="22"/>
                <w:szCs w:val="22"/>
              </w:rPr>
            </w:pPr>
            <w:r>
              <w:rPr>
                <w:sz w:val="22"/>
                <w:szCs w:val="22"/>
                <w:lang w:eastAsia="en-US"/>
              </w:rPr>
              <w:t>Региональный</w:t>
            </w:r>
          </w:p>
        </w:tc>
      </w:tr>
      <w:tr>
        <w:trPr>
          <w:trHeight w:val="1644"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2.17</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bCs/>
                <w:sz w:val="22"/>
                <w:szCs w:val="22"/>
              </w:rPr>
              <w:t>городской округ город Калуга Калужской области,</w:t>
            </w:r>
          </w:p>
          <w:p>
            <w:pPr>
              <w:pStyle w:val="Normal"/>
              <w:widowControl w:val="false"/>
              <w:jc w:val="center"/>
              <w:rPr>
                <w:sz w:val="22"/>
                <w:szCs w:val="22"/>
              </w:rPr>
            </w:pPr>
            <w:r>
              <w:rPr>
                <w:bCs/>
                <w:sz w:val="22"/>
                <w:szCs w:val="22"/>
              </w:rPr>
              <w:t>д. Аргуново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 Предельное количество этажей - 4,</w:t>
            </w:r>
          </w:p>
          <w:p>
            <w:pPr>
              <w:pStyle w:val="Normal"/>
              <w:widowControl w:val="false"/>
              <w:jc w:val="center"/>
              <w:rPr>
                <w:sz w:val="22"/>
                <w:szCs w:val="22"/>
              </w:rPr>
            </w:pPr>
            <w:r>
              <w:rPr>
                <w:sz w:val="22"/>
                <w:szCs w:val="22"/>
              </w:rPr>
              <w:t>рекомендуемая</w:t>
            </w:r>
          </w:p>
          <w:p>
            <w:pPr>
              <w:pStyle w:val="Normal"/>
              <w:widowControl w:val="false"/>
              <w:jc w:val="center"/>
              <w:rPr/>
            </w:pPr>
            <w:r>
              <w:rPr>
                <w:sz w:val="22"/>
                <w:szCs w:val="22"/>
              </w:rPr>
              <w:t>плотность населения -</w:t>
            </w:r>
          </w:p>
          <w:p>
            <w:pPr>
              <w:pStyle w:val="Normal"/>
              <w:widowControl w:val="false"/>
              <w:jc w:val="center"/>
              <w:rPr>
                <w:sz w:val="22"/>
                <w:szCs w:val="22"/>
              </w:rPr>
            </w:pPr>
            <w:r>
              <w:rPr>
                <w:sz w:val="22"/>
                <w:szCs w:val="22"/>
              </w:rPr>
              <w:t xml:space="preserve"> </w:t>
            </w:r>
            <w:r>
              <w:rPr>
                <w:sz w:val="22"/>
                <w:szCs w:val="22"/>
              </w:rPr>
              <w:t>60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158,06</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Газорегуляторный пункт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center"/>
              <w:rPr>
                <w:sz w:val="22"/>
                <w:szCs w:val="22"/>
              </w:rPr>
            </w:pPr>
            <w:r>
              <w:rPr>
                <w:sz w:val="22"/>
                <w:szCs w:val="22"/>
                <w:lang w:eastAsia="en-US"/>
              </w:rPr>
              <w:t>Региональный</w:t>
            </w:r>
          </w:p>
        </w:tc>
      </w:tr>
      <w:tr>
        <w:trPr>
          <w:trHeight w:val="1644"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2.18</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bCs/>
                <w:sz w:val="22"/>
                <w:szCs w:val="22"/>
              </w:rPr>
              <w:t>городской округ город Калуга Калужской области,</w:t>
            </w:r>
          </w:p>
          <w:p>
            <w:pPr>
              <w:pStyle w:val="Normal"/>
              <w:widowControl w:val="false"/>
              <w:jc w:val="center"/>
              <w:rPr>
                <w:sz w:val="22"/>
                <w:szCs w:val="22"/>
              </w:rPr>
            </w:pPr>
            <w:r>
              <w:rPr>
                <w:bCs/>
                <w:sz w:val="22"/>
                <w:szCs w:val="22"/>
              </w:rPr>
              <w:t>д. Новоселки</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 Предельное</w:t>
            </w:r>
          </w:p>
          <w:p>
            <w:pPr>
              <w:pStyle w:val="Normal"/>
              <w:widowControl w:val="false"/>
              <w:jc w:val="center"/>
              <w:rPr>
                <w:sz w:val="22"/>
                <w:szCs w:val="22"/>
              </w:rPr>
            </w:pPr>
            <w:r>
              <w:rPr>
                <w:sz w:val="22"/>
                <w:szCs w:val="22"/>
              </w:rPr>
              <w:t>количество этажей - 4, рекомендуемая плотность населения - 60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18,26</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Газорегуляторный пункт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center"/>
              <w:rPr>
                <w:sz w:val="22"/>
                <w:szCs w:val="22"/>
              </w:rPr>
            </w:pPr>
            <w:r>
              <w:rPr>
                <w:sz w:val="22"/>
                <w:szCs w:val="22"/>
                <w:lang w:eastAsia="en-US"/>
              </w:rPr>
              <w:t>Региональный</w:t>
            </w:r>
          </w:p>
        </w:tc>
      </w:tr>
      <w:tr>
        <w:trPr>
          <w:trHeight w:val="1644"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2.19</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bCs/>
                <w:sz w:val="22"/>
                <w:szCs w:val="22"/>
              </w:rPr>
              <w:t>городской округ город Калуга Калужской области,</w:t>
            </w:r>
          </w:p>
          <w:p>
            <w:pPr>
              <w:pStyle w:val="Normal"/>
              <w:widowControl w:val="false"/>
              <w:jc w:val="center"/>
              <w:rPr>
                <w:sz w:val="22"/>
                <w:szCs w:val="22"/>
              </w:rPr>
            </w:pPr>
            <w:r>
              <w:rPr>
                <w:bCs/>
                <w:sz w:val="22"/>
                <w:szCs w:val="22"/>
              </w:rPr>
              <w:t>д. Рожки</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 Предельное количество этажей - 4, рекомендуемая плотность населения - 60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16,03</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Газорегуляторный пункт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center"/>
              <w:rPr>
                <w:sz w:val="22"/>
                <w:szCs w:val="22"/>
              </w:rPr>
            </w:pPr>
            <w:r>
              <w:rPr>
                <w:sz w:val="22"/>
                <w:szCs w:val="22"/>
                <w:lang w:eastAsia="en-US"/>
              </w:rPr>
              <w:t>Региональный</w:t>
            </w:r>
          </w:p>
        </w:tc>
      </w:tr>
      <w:tr>
        <w:trPr>
          <w:trHeight w:val="1644"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2.20</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bCs/>
                <w:sz w:val="22"/>
                <w:szCs w:val="22"/>
              </w:rPr>
              <w:t>городской округ город Калуга Калужской области,</w:t>
            </w:r>
          </w:p>
          <w:p>
            <w:pPr>
              <w:pStyle w:val="Normal"/>
              <w:widowControl w:val="false"/>
              <w:jc w:val="center"/>
              <w:rPr>
                <w:sz w:val="22"/>
                <w:szCs w:val="22"/>
              </w:rPr>
            </w:pPr>
            <w:r>
              <w:rPr>
                <w:bCs/>
                <w:sz w:val="22"/>
                <w:szCs w:val="22"/>
              </w:rPr>
              <w:t>д. Лобаново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 Предельное количество этажей - 4, рекомендуемая плотность населения - 60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31,48</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Газорегуляторный пункт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center"/>
              <w:rPr>
                <w:sz w:val="22"/>
                <w:szCs w:val="22"/>
              </w:rPr>
            </w:pPr>
            <w:r>
              <w:rPr>
                <w:sz w:val="22"/>
                <w:szCs w:val="22"/>
                <w:lang w:eastAsia="en-US"/>
              </w:rPr>
              <w:t>Региональный</w:t>
            </w:r>
          </w:p>
        </w:tc>
      </w:tr>
      <w:tr>
        <w:trPr>
          <w:trHeight w:val="1644"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2.21</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bCs/>
                <w:sz w:val="22"/>
                <w:szCs w:val="22"/>
              </w:rPr>
              <w:t>городской округ город Калуга Калужской области,</w:t>
            </w:r>
          </w:p>
          <w:p>
            <w:pPr>
              <w:pStyle w:val="Normal"/>
              <w:widowControl w:val="false"/>
              <w:jc w:val="center"/>
              <w:rPr>
                <w:sz w:val="22"/>
                <w:szCs w:val="22"/>
              </w:rPr>
            </w:pPr>
            <w:r>
              <w:rPr>
                <w:bCs/>
                <w:sz w:val="22"/>
                <w:szCs w:val="22"/>
              </w:rPr>
              <w:t>п. Зеленый</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16"/>
              <w:jc w:val="center"/>
              <w:rPr>
                <w:sz w:val="22"/>
                <w:szCs w:val="22"/>
              </w:rPr>
            </w:pPr>
            <w:r>
              <w:rPr>
                <w:sz w:val="22"/>
                <w:szCs w:val="22"/>
              </w:rPr>
              <w:t>Зоны рекреационного назначения.</w:t>
            </w:r>
          </w:p>
          <w:p>
            <w:pPr>
              <w:pStyle w:val="Normal"/>
              <w:widowControl w:val="false"/>
              <w:spacing w:lineRule="auto" w:line="216"/>
              <w:jc w:val="center"/>
              <w:rPr>
                <w:sz w:val="22"/>
                <w:szCs w:val="22"/>
              </w:rPr>
            </w:pPr>
            <w:r>
              <w:rPr>
                <w:sz w:val="22"/>
                <w:szCs w:val="22"/>
              </w:rPr>
              <w:t>Максимальный процент застройки – не регламентируется. Предельное количество этажей – не регламентируется,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0,29</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Газорегуляторный пункт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center"/>
              <w:rPr>
                <w:sz w:val="22"/>
                <w:szCs w:val="22"/>
              </w:rPr>
            </w:pPr>
            <w:r>
              <w:rPr>
                <w:sz w:val="22"/>
                <w:szCs w:val="22"/>
                <w:lang w:eastAsia="en-US"/>
              </w:rPr>
              <w:t>Региональный</w:t>
            </w:r>
          </w:p>
        </w:tc>
      </w:tr>
      <w:tr>
        <w:trPr>
          <w:trHeight w:val="1644"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2.22</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bCs/>
                <w:sz w:val="22"/>
                <w:szCs w:val="22"/>
              </w:rPr>
              <w:t>городской округ город Калуга Калужской области, объект ФСИН России</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специального назначения.</w:t>
            </w:r>
          </w:p>
          <w:p>
            <w:pPr>
              <w:pStyle w:val="Normal"/>
              <w:widowControl w:val="false"/>
              <w:jc w:val="center"/>
              <w:rPr>
                <w:sz w:val="22"/>
                <w:szCs w:val="22"/>
              </w:rPr>
            </w:pPr>
            <w:r>
              <w:rPr>
                <w:sz w:val="22"/>
                <w:szCs w:val="22"/>
              </w:rPr>
              <w:t>Максимальный процент застройки - не регламентируется. Предельное количество этажей - не регламентируется.</w:t>
            </w:r>
          </w:p>
          <w:p>
            <w:pPr>
              <w:pStyle w:val="Normal"/>
              <w:widowControl w:val="false"/>
              <w:jc w:val="center"/>
              <w:rPr>
                <w:sz w:val="22"/>
                <w:szCs w:val="22"/>
              </w:rPr>
            </w:pPr>
            <w:r>
              <w:rPr>
                <w:sz w:val="22"/>
                <w:szCs w:val="22"/>
              </w:rPr>
              <w:t>Рекомендуемая плотность</w:t>
            </w:r>
          </w:p>
          <w:p>
            <w:pPr>
              <w:pStyle w:val="Normal"/>
              <w:widowControl w:val="false"/>
              <w:jc w:val="center"/>
              <w:rPr>
                <w:sz w:val="22"/>
                <w:szCs w:val="22"/>
              </w:rPr>
            </w:pPr>
            <w:r>
              <w:rPr>
                <w:sz w:val="22"/>
                <w:szCs w:val="22"/>
              </w:rPr>
              <w:t>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val="en-US" w:eastAsia="ru-RU"/>
              </w:rPr>
              <w:t>106</w:t>
            </w:r>
            <w:r>
              <w:rPr>
                <w:sz w:val="22"/>
                <w:szCs w:val="22"/>
                <w:lang w:eastAsia="ru-RU"/>
              </w:rPr>
              <w:t>,</w:t>
            </w:r>
            <w:r>
              <w:rPr>
                <w:sz w:val="22"/>
                <w:szCs w:val="22"/>
                <w:lang w:val="en-US" w:eastAsia="ru-RU"/>
              </w:rPr>
              <w:t>44</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Газорегуляторный пункт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center"/>
              <w:rPr>
                <w:sz w:val="22"/>
                <w:szCs w:val="22"/>
              </w:rPr>
            </w:pPr>
            <w:r>
              <w:rPr>
                <w:sz w:val="22"/>
                <w:szCs w:val="22"/>
                <w:lang w:eastAsia="en-US"/>
              </w:rPr>
              <w:t>Региональный</w:t>
            </w:r>
          </w:p>
        </w:tc>
      </w:tr>
      <w:tr>
        <w:trPr>
          <w:trHeight w:val="20"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2.23</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bCs/>
                <w:sz w:val="22"/>
                <w:szCs w:val="22"/>
              </w:rPr>
              <w:t>городской округ город Калуга Калужской области, район д. Андреевское,</w:t>
            </w:r>
          </w:p>
          <w:p>
            <w:pPr>
              <w:pStyle w:val="Normal"/>
              <w:widowControl w:val="false"/>
              <w:jc w:val="center"/>
              <w:rPr>
                <w:sz w:val="22"/>
                <w:szCs w:val="22"/>
              </w:rPr>
            </w:pPr>
            <w:r>
              <w:rPr>
                <w:bCs/>
                <w:sz w:val="22"/>
                <w:szCs w:val="22"/>
              </w:rPr>
              <w:t>Перемышльский</w:t>
            </w:r>
          </w:p>
          <w:p>
            <w:pPr>
              <w:pStyle w:val="Normal"/>
              <w:widowControl w:val="false"/>
              <w:jc w:val="center"/>
              <w:rPr>
                <w:sz w:val="22"/>
                <w:szCs w:val="22"/>
              </w:rPr>
            </w:pPr>
            <w:r>
              <w:rPr>
                <w:bCs/>
                <w:sz w:val="22"/>
                <w:szCs w:val="22"/>
              </w:rPr>
              <w:t>муниципальный</w:t>
            </w:r>
          </w:p>
          <w:p>
            <w:pPr>
              <w:pStyle w:val="Normal"/>
              <w:widowControl w:val="false"/>
              <w:jc w:val="center"/>
              <w:rPr>
                <w:sz w:val="22"/>
                <w:szCs w:val="22"/>
              </w:rPr>
            </w:pPr>
            <w:r>
              <w:rPr>
                <w:bCs/>
                <w:sz w:val="22"/>
                <w:szCs w:val="22"/>
              </w:rPr>
              <w:t>округ</w:t>
            </w:r>
          </w:p>
          <w:p>
            <w:pPr>
              <w:pStyle w:val="Normal"/>
              <w:widowControl w:val="false"/>
              <w:jc w:val="center"/>
              <w:rPr>
                <w:sz w:val="22"/>
                <w:szCs w:val="22"/>
              </w:rPr>
            </w:pPr>
            <w:r>
              <w:rPr>
                <w:bCs/>
                <w:sz w:val="22"/>
                <w:szCs w:val="22"/>
              </w:rPr>
              <w:t>Калужской области</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04"/>
              <w:jc w:val="center"/>
              <w:rPr>
                <w:sz w:val="22"/>
                <w:szCs w:val="22"/>
              </w:rPr>
            </w:pPr>
            <w:r>
              <w:rPr>
                <w:sz w:val="22"/>
                <w:szCs w:val="22"/>
                <w:lang w:eastAsia="en-US"/>
              </w:rPr>
              <w:t>Зона сельскохозяйственного использования/</w:t>
            </w:r>
          </w:p>
          <w:p>
            <w:pPr>
              <w:pStyle w:val="Normal"/>
              <w:widowControl w:val="false"/>
              <w:spacing w:lineRule="auto" w:line="204"/>
              <w:jc w:val="center"/>
              <w:rPr>
                <w:sz w:val="22"/>
                <w:szCs w:val="22"/>
              </w:rPr>
            </w:pPr>
            <w:r>
              <w:rPr>
                <w:sz w:val="22"/>
                <w:szCs w:val="22"/>
                <w:lang w:eastAsia="en-US"/>
              </w:rPr>
              <w:t>Рекреационные зоны.</w:t>
            </w:r>
          </w:p>
          <w:p>
            <w:pPr>
              <w:pStyle w:val="Normal"/>
              <w:widowControl w:val="false"/>
              <w:spacing w:lineRule="auto" w:line="204"/>
              <w:jc w:val="center"/>
              <w:rPr>
                <w:sz w:val="22"/>
                <w:szCs w:val="22"/>
              </w:rPr>
            </w:pPr>
            <w:r>
              <w:rPr>
                <w:sz w:val="22"/>
                <w:szCs w:val="22"/>
              </w:rPr>
              <w:t>Максимальный процент застройки - не регламентируется. Предельное количество этажей - не регламентируется. Рекомендуемая плотность</w:t>
            </w:r>
          </w:p>
          <w:p>
            <w:pPr>
              <w:pStyle w:val="Normal"/>
              <w:widowControl w:val="false"/>
              <w:spacing w:lineRule="auto" w:line="204"/>
              <w:jc w:val="center"/>
              <w:rPr>
                <w:sz w:val="22"/>
                <w:szCs w:val="22"/>
              </w:rPr>
            </w:pPr>
            <w:r>
              <w:rPr>
                <w:sz w:val="22"/>
                <w:szCs w:val="22"/>
              </w:rPr>
              <w:t>населения -</w:t>
            </w:r>
          </w:p>
          <w:p>
            <w:pPr>
              <w:pStyle w:val="Normal"/>
              <w:widowControl w:val="false"/>
              <w:spacing w:lineRule="auto" w:line="204"/>
              <w:jc w:val="center"/>
              <w:rPr>
                <w:sz w:val="22"/>
                <w:szCs w:val="22"/>
              </w:rPr>
            </w:pPr>
            <w:r>
              <w:rPr>
                <w:sz w:val="22"/>
                <w:szCs w:val="22"/>
              </w:rPr>
              <w:t>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144,17/</w:t>
            </w:r>
          </w:p>
          <w:p>
            <w:pPr>
              <w:pStyle w:val="Normal"/>
              <w:widowControl w:val="false"/>
              <w:jc w:val="center"/>
              <w:rPr>
                <w:sz w:val="22"/>
                <w:szCs w:val="22"/>
              </w:rPr>
            </w:pPr>
            <w:r>
              <w:rPr>
                <w:sz w:val="22"/>
                <w:szCs w:val="22"/>
                <w:lang w:eastAsia="en-US"/>
              </w:rPr>
              <w:t>19,2</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bCs/>
                <w:sz w:val="22"/>
                <w:szCs w:val="22"/>
              </w:rPr>
              <w:t>Проектирование и строительство Андреевского водозабора подземных вод городского округа</w:t>
            </w:r>
          </w:p>
          <w:p>
            <w:pPr>
              <w:pStyle w:val="Normal"/>
              <w:widowControl w:val="false"/>
              <w:jc w:val="center"/>
              <w:rPr/>
            </w:pPr>
            <w:r>
              <w:rPr>
                <w:bCs/>
                <w:sz w:val="22"/>
                <w:szCs w:val="22"/>
              </w:rPr>
              <w:t>мощностью – 108,000 тыс. куб. м/сут.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center"/>
              <w:rPr>
                <w:sz w:val="22"/>
                <w:szCs w:val="22"/>
              </w:rPr>
            </w:pPr>
            <w:r>
              <w:rPr>
                <w:sz w:val="22"/>
                <w:szCs w:val="22"/>
                <w:lang w:eastAsia="en-US"/>
              </w:rPr>
              <w:t>Региональный</w:t>
            </w:r>
          </w:p>
        </w:tc>
      </w:tr>
      <w:tr>
        <w:trPr>
          <w:trHeight w:val="20"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2.24</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bCs/>
                <w:sz w:val="22"/>
                <w:szCs w:val="22"/>
              </w:rPr>
              <w:t>городской округ город Калуга Калужской области, окрестности</w:t>
            </w:r>
          </w:p>
          <w:p>
            <w:pPr>
              <w:pStyle w:val="Normal"/>
              <w:widowControl w:val="false"/>
              <w:jc w:val="center"/>
              <w:rPr>
                <w:sz w:val="22"/>
                <w:szCs w:val="22"/>
              </w:rPr>
            </w:pPr>
            <w:r>
              <w:rPr>
                <w:bCs/>
                <w:sz w:val="22"/>
                <w:szCs w:val="22"/>
              </w:rPr>
              <w:t>д. Андреевское</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04"/>
              <w:jc w:val="center"/>
              <w:rPr>
                <w:sz w:val="22"/>
                <w:szCs w:val="22"/>
              </w:rPr>
            </w:pPr>
            <w:r>
              <w:rPr>
                <w:sz w:val="22"/>
                <w:szCs w:val="22"/>
                <w:lang w:eastAsia="en-US"/>
              </w:rPr>
              <w:t>Зоны рекреационного назначения, зоны сельскохозяйственного использования</w:t>
            </w:r>
          </w:p>
          <w:p>
            <w:pPr>
              <w:pStyle w:val="Normal"/>
              <w:widowControl w:val="false"/>
              <w:spacing w:lineRule="auto" w:line="204"/>
              <w:jc w:val="center"/>
              <w:rPr>
                <w:sz w:val="22"/>
                <w:szCs w:val="22"/>
              </w:rPr>
            </w:pPr>
            <w:r>
              <w:rPr>
                <w:sz w:val="22"/>
                <w:szCs w:val="22"/>
              </w:rPr>
              <w:t>Максимальный процент застройки - не регламентируется. Предельное количество этажей - не регламентируется.</w:t>
            </w:r>
          </w:p>
          <w:p>
            <w:pPr>
              <w:pStyle w:val="Normal"/>
              <w:widowControl w:val="false"/>
              <w:spacing w:lineRule="auto" w:line="204"/>
              <w:jc w:val="center"/>
              <w:rPr>
                <w:sz w:val="22"/>
                <w:szCs w:val="22"/>
              </w:rPr>
            </w:pPr>
            <w:r>
              <w:rPr>
                <w:sz w:val="22"/>
                <w:szCs w:val="22"/>
              </w:rPr>
              <w:t>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146,8937</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Памятник природы</w:t>
            </w:r>
          </w:p>
          <w:p>
            <w:pPr>
              <w:pStyle w:val="Normal"/>
              <w:widowControl w:val="false"/>
              <w:jc w:val="center"/>
              <w:rPr>
                <w:sz w:val="22"/>
                <w:szCs w:val="22"/>
              </w:rPr>
            </w:pPr>
            <w:r>
              <w:rPr>
                <w:sz w:val="22"/>
                <w:szCs w:val="22"/>
                <w:lang w:eastAsia="en-US"/>
              </w:rPr>
              <w:t>«Долина Оки»</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center"/>
              <w:rPr>
                <w:sz w:val="22"/>
                <w:szCs w:val="22"/>
              </w:rPr>
            </w:pPr>
            <w:r>
              <w:rPr>
                <w:sz w:val="22"/>
                <w:szCs w:val="22"/>
                <w:lang w:eastAsia="en-US"/>
              </w:rPr>
              <w:t>Региональный</w:t>
            </w:r>
          </w:p>
        </w:tc>
      </w:tr>
      <w:tr>
        <w:trPr>
          <w:trHeight w:val="20"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2.25</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bCs/>
                <w:sz w:val="22"/>
                <w:szCs w:val="22"/>
              </w:rPr>
              <w:t>городской округ город Калуга Калужской области, вблизи</w:t>
            </w:r>
          </w:p>
          <w:p>
            <w:pPr>
              <w:pStyle w:val="Normal"/>
              <w:widowControl w:val="false"/>
              <w:jc w:val="center"/>
              <w:rPr>
                <w:sz w:val="22"/>
                <w:szCs w:val="22"/>
              </w:rPr>
            </w:pPr>
            <w:r>
              <w:rPr>
                <w:bCs/>
                <w:sz w:val="22"/>
                <w:szCs w:val="22"/>
              </w:rPr>
              <w:t>д. Плетеневка</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04"/>
              <w:jc w:val="center"/>
              <w:rPr>
                <w:sz w:val="22"/>
                <w:szCs w:val="22"/>
              </w:rPr>
            </w:pPr>
            <w:r>
              <w:rPr>
                <w:sz w:val="22"/>
                <w:szCs w:val="22"/>
                <w:lang w:eastAsia="en-US"/>
              </w:rPr>
              <w:t>Рекреационные зоны, зоны акваторий, зоны сельскохозяйственного использования, общественно-деловые зоны.</w:t>
            </w:r>
          </w:p>
          <w:p>
            <w:pPr>
              <w:pStyle w:val="Normal"/>
              <w:widowControl w:val="false"/>
              <w:spacing w:lineRule="auto" w:line="204"/>
              <w:jc w:val="center"/>
              <w:rPr>
                <w:sz w:val="22"/>
                <w:szCs w:val="22"/>
              </w:rPr>
            </w:pPr>
            <w:r>
              <w:rPr>
                <w:sz w:val="22"/>
                <w:szCs w:val="22"/>
              </w:rPr>
              <w:t>Максимальный процент застройки - не регламентируется. Предельное количество этажей - не регламентируется.</w:t>
            </w:r>
          </w:p>
          <w:p>
            <w:pPr>
              <w:pStyle w:val="Normal"/>
              <w:widowControl w:val="false"/>
              <w:spacing w:lineRule="auto" w:line="204"/>
              <w:jc w:val="center"/>
              <w:rPr>
                <w:sz w:val="22"/>
                <w:szCs w:val="22"/>
              </w:rPr>
            </w:pPr>
            <w:r>
              <w:rPr>
                <w:sz w:val="22"/>
                <w:szCs w:val="22"/>
              </w:rPr>
              <w:t>Рекомендуемая</w:t>
            </w:r>
          </w:p>
          <w:p>
            <w:pPr>
              <w:pStyle w:val="Normal"/>
              <w:widowControl w:val="false"/>
              <w:spacing w:lineRule="auto" w:line="204"/>
              <w:jc w:val="center"/>
              <w:rPr>
                <w:sz w:val="22"/>
                <w:szCs w:val="22"/>
              </w:rPr>
            </w:pPr>
            <w:r>
              <w:rPr>
                <w:sz w:val="22"/>
                <w:szCs w:val="22"/>
              </w:rPr>
              <w:t>плотность населения -</w:t>
            </w:r>
          </w:p>
          <w:p>
            <w:pPr>
              <w:pStyle w:val="Normal"/>
              <w:widowControl w:val="false"/>
              <w:spacing w:lineRule="auto" w:line="204"/>
              <w:jc w:val="center"/>
              <w:rPr>
                <w:sz w:val="22"/>
                <w:szCs w:val="22"/>
              </w:rPr>
            </w:pPr>
            <w:r>
              <w:rPr>
                <w:sz w:val="22"/>
                <w:szCs w:val="22"/>
              </w:rPr>
              <w:t>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333,3129</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Памятник природы</w:t>
            </w:r>
          </w:p>
          <w:p>
            <w:pPr>
              <w:pStyle w:val="Normal"/>
              <w:widowControl w:val="false"/>
              <w:jc w:val="center"/>
              <w:rPr>
                <w:sz w:val="22"/>
                <w:szCs w:val="22"/>
              </w:rPr>
            </w:pPr>
            <w:r>
              <w:rPr>
                <w:sz w:val="22"/>
                <w:szCs w:val="22"/>
                <w:lang w:eastAsia="en-US"/>
              </w:rPr>
              <w:t>«Пороги на Оке»</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center"/>
              <w:rPr>
                <w:sz w:val="22"/>
                <w:szCs w:val="22"/>
              </w:rPr>
            </w:pPr>
            <w:r>
              <w:rPr>
                <w:sz w:val="22"/>
                <w:szCs w:val="22"/>
                <w:lang w:eastAsia="en-US"/>
              </w:rPr>
              <w:t>Региональный</w:t>
            </w:r>
          </w:p>
        </w:tc>
      </w:tr>
      <w:tr>
        <w:trPr>
          <w:trHeight w:val="20"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2.26</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bCs/>
                <w:sz w:val="22"/>
                <w:szCs w:val="22"/>
              </w:rPr>
              <w:t>городской округ город Калуга Калужской области, вблизи</w:t>
            </w:r>
          </w:p>
          <w:p>
            <w:pPr>
              <w:pStyle w:val="Normal"/>
              <w:widowControl w:val="false"/>
              <w:jc w:val="center"/>
              <w:rPr>
                <w:sz w:val="22"/>
                <w:szCs w:val="22"/>
              </w:rPr>
            </w:pPr>
            <w:r>
              <w:rPr>
                <w:bCs/>
                <w:sz w:val="22"/>
                <w:szCs w:val="22"/>
              </w:rPr>
              <w:t>д. Верхняя Вырка</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04"/>
              <w:jc w:val="center"/>
              <w:rPr>
                <w:sz w:val="22"/>
                <w:szCs w:val="22"/>
              </w:rPr>
            </w:pPr>
            <w:r>
              <w:rPr>
                <w:sz w:val="22"/>
                <w:szCs w:val="22"/>
                <w:lang w:eastAsia="en-US"/>
              </w:rPr>
              <w:t>Зоны рекреационного назначения.</w:t>
            </w:r>
          </w:p>
          <w:p>
            <w:pPr>
              <w:pStyle w:val="Normal"/>
              <w:widowControl w:val="false"/>
              <w:spacing w:lineRule="auto" w:line="204"/>
              <w:jc w:val="center"/>
              <w:rPr>
                <w:sz w:val="22"/>
                <w:szCs w:val="22"/>
              </w:rPr>
            </w:pPr>
            <w:r>
              <w:rPr>
                <w:sz w:val="22"/>
                <w:szCs w:val="22"/>
              </w:rPr>
              <w:t>Максимальный процент застройки - не регламентируется. Предельное количество этажей - не регламентируется.</w:t>
            </w:r>
          </w:p>
          <w:p>
            <w:pPr>
              <w:pStyle w:val="Normal"/>
              <w:widowControl w:val="false"/>
              <w:spacing w:lineRule="auto" w:line="204"/>
              <w:jc w:val="center"/>
              <w:rPr>
                <w:sz w:val="22"/>
                <w:szCs w:val="22"/>
              </w:rPr>
            </w:pPr>
            <w:r>
              <w:rPr>
                <w:sz w:val="22"/>
                <w:szCs w:val="22"/>
              </w:rPr>
              <w:t>Рекомендуемая плотность населения -</w:t>
            </w:r>
          </w:p>
          <w:p>
            <w:pPr>
              <w:pStyle w:val="Normal"/>
              <w:widowControl w:val="false"/>
              <w:spacing w:lineRule="auto" w:line="204"/>
              <w:jc w:val="center"/>
              <w:rPr>
                <w:sz w:val="22"/>
                <w:szCs w:val="22"/>
              </w:rPr>
            </w:pPr>
            <w:r>
              <w:rPr>
                <w:sz w:val="22"/>
                <w:szCs w:val="22"/>
              </w:rPr>
              <w:t>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0,86</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«Источник на реке Вырка»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center"/>
              <w:rPr>
                <w:sz w:val="22"/>
                <w:szCs w:val="22"/>
              </w:rPr>
            </w:pPr>
            <w:r>
              <w:rPr>
                <w:sz w:val="22"/>
                <w:szCs w:val="22"/>
                <w:lang w:eastAsia="en-US"/>
              </w:rPr>
              <w:t>Региональный</w:t>
            </w:r>
          </w:p>
        </w:tc>
      </w:tr>
      <w:tr>
        <w:trPr>
          <w:trHeight w:val="2208"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2.27</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bCs/>
                <w:sz w:val="22"/>
                <w:szCs w:val="22"/>
              </w:rPr>
              <w:t>городской округ город Калуга Калужской</w:t>
            </w:r>
          </w:p>
          <w:p>
            <w:pPr>
              <w:pStyle w:val="Normal"/>
              <w:widowControl w:val="false"/>
              <w:jc w:val="center"/>
              <w:rPr>
                <w:sz w:val="22"/>
                <w:szCs w:val="22"/>
              </w:rPr>
            </w:pPr>
            <w:r>
              <w:rPr>
                <w:bCs/>
                <w:sz w:val="22"/>
                <w:szCs w:val="22"/>
              </w:rPr>
              <w:t>области, г. Калуга,</w:t>
            </w:r>
          </w:p>
          <w:p>
            <w:pPr>
              <w:pStyle w:val="Normal"/>
              <w:widowControl w:val="false"/>
              <w:jc w:val="center"/>
              <w:rPr>
                <w:sz w:val="22"/>
                <w:szCs w:val="22"/>
              </w:rPr>
            </w:pPr>
            <w:r>
              <w:rPr>
                <w:bCs/>
                <w:sz w:val="22"/>
                <w:szCs w:val="22"/>
              </w:rPr>
              <w:t>мкр. Дубрава</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04"/>
              <w:jc w:val="center"/>
              <w:rPr>
                <w:sz w:val="22"/>
                <w:szCs w:val="22"/>
              </w:rPr>
            </w:pPr>
            <w:r>
              <w:rPr>
                <w:sz w:val="22"/>
                <w:szCs w:val="22"/>
                <w:lang w:eastAsia="en-US"/>
              </w:rPr>
              <w:t>Зоны рекреационного назначения.</w:t>
            </w:r>
          </w:p>
          <w:p>
            <w:pPr>
              <w:pStyle w:val="Normal"/>
              <w:widowControl w:val="false"/>
              <w:spacing w:lineRule="auto" w:line="204"/>
              <w:jc w:val="center"/>
              <w:rPr>
                <w:sz w:val="22"/>
                <w:szCs w:val="22"/>
              </w:rPr>
            </w:pPr>
            <w:r>
              <w:rPr>
                <w:sz w:val="22"/>
                <w:szCs w:val="22"/>
                <w:lang w:eastAsia="en-US"/>
              </w:rPr>
              <w:t>Производственные зоны, зоны инженерной и транспортной инфраструктур.</w:t>
            </w:r>
          </w:p>
          <w:p>
            <w:pPr>
              <w:pStyle w:val="Normal"/>
              <w:widowControl w:val="false"/>
              <w:spacing w:lineRule="auto" w:line="204"/>
              <w:jc w:val="center"/>
              <w:rPr>
                <w:sz w:val="22"/>
                <w:szCs w:val="22"/>
              </w:rPr>
            </w:pPr>
            <w:r>
              <w:rPr>
                <w:sz w:val="22"/>
                <w:szCs w:val="22"/>
                <w:lang w:eastAsia="en-US"/>
              </w:rPr>
              <w:t>Предельное количество этажей - не регламентируется.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91,2886</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«Парк «Дубрава»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center"/>
              <w:rPr>
                <w:sz w:val="22"/>
                <w:szCs w:val="22"/>
              </w:rPr>
            </w:pPr>
            <w:r>
              <w:rPr>
                <w:sz w:val="22"/>
                <w:szCs w:val="22"/>
                <w:lang w:eastAsia="en-US"/>
              </w:rPr>
              <w:t>Региональный</w:t>
            </w:r>
          </w:p>
        </w:tc>
      </w:tr>
      <w:tr>
        <w:trPr>
          <w:trHeight w:val="2681"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2.28</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bCs/>
                <w:sz w:val="22"/>
                <w:szCs w:val="22"/>
              </w:rPr>
              <w:t>городской округ город Калуга Калужской области, г. Калуга,</w:t>
            </w:r>
          </w:p>
          <w:p>
            <w:pPr>
              <w:pStyle w:val="Normal"/>
              <w:widowControl w:val="false"/>
              <w:jc w:val="center"/>
              <w:rPr>
                <w:sz w:val="22"/>
                <w:szCs w:val="22"/>
              </w:rPr>
            </w:pPr>
            <w:r>
              <w:rPr>
                <w:bCs/>
                <w:sz w:val="22"/>
                <w:szCs w:val="22"/>
              </w:rPr>
              <w:t>ул. Автомобильная</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Производственные зоны, зоны инженерной и транспортной инфраструктур.</w:t>
            </w:r>
          </w:p>
          <w:p>
            <w:pPr>
              <w:pStyle w:val="Normal"/>
              <w:widowControl w:val="false"/>
              <w:jc w:val="center"/>
              <w:rPr>
                <w:sz w:val="22"/>
                <w:szCs w:val="22"/>
              </w:rPr>
            </w:pPr>
            <w:r>
              <w:rPr>
                <w:sz w:val="22"/>
                <w:szCs w:val="22"/>
              </w:rPr>
              <w:t>Максимальный процент застройки - 50%. Предельное количество этажей - не регламентируется. Рекомендуемая плотность населения -</w:t>
            </w:r>
          </w:p>
          <w:p>
            <w:pPr>
              <w:pStyle w:val="Normal"/>
              <w:widowControl w:val="false"/>
              <w:jc w:val="center"/>
              <w:rPr>
                <w:sz w:val="22"/>
                <w:szCs w:val="22"/>
              </w:rPr>
            </w:pPr>
            <w:r>
              <w:rPr>
                <w:sz w:val="22"/>
                <w:szCs w:val="22"/>
              </w:rPr>
              <w:t>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414</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Индустриальный парк «Грабцево»,</w:t>
            </w:r>
          </w:p>
          <w:p>
            <w:pPr>
              <w:pStyle w:val="Normal"/>
              <w:widowControl w:val="false"/>
              <w:jc w:val="center"/>
              <w:rPr>
                <w:sz w:val="22"/>
                <w:szCs w:val="22"/>
              </w:rPr>
            </w:pPr>
            <w:r>
              <w:rPr>
                <w:sz w:val="22"/>
                <w:szCs w:val="22"/>
                <w:lang w:eastAsia="en-US"/>
              </w:rPr>
              <w:t>общая площадь индустриального парка – 414 га, Выделено</w:t>
            </w:r>
          </w:p>
          <w:p>
            <w:pPr>
              <w:pStyle w:val="Normal"/>
              <w:widowControl w:val="false"/>
              <w:jc w:val="center"/>
              <w:rPr>
                <w:sz w:val="22"/>
                <w:szCs w:val="22"/>
              </w:rPr>
            </w:pPr>
            <w:r>
              <w:rPr>
                <w:sz w:val="22"/>
                <w:szCs w:val="22"/>
                <w:lang w:eastAsia="en-US"/>
              </w:rPr>
              <w:t>под коридоры</w:t>
            </w:r>
          </w:p>
          <w:p>
            <w:pPr>
              <w:pStyle w:val="Normal"/>
              <w:widowControl w:val="false"/>
              <w:jc w:val="center"/>
              <w:rPr>
                <w:sz w:val="22"/>
                <w:szCs w:val="22"/>
              </w:rPr>
            </w:pPr>
            <w:r>
              <w:rPr>
                <w:sz w:val="22"/>
                <w:szCs w:val="22"/>
                <w:lang w:eastAsia="en-US"/>
              </w:rPr>
              <w:t>коммуникаций – 118 га. Предоставлено инвесторам – 252 га. Свободно для размещения – 13,59 га.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center"/>
              <w:rPr>
                <w:sz w:val="22"/>
                <w:szCs w:val="22"/>
              </w:rPr>
            </w:pPr>
            <w:r>
              <w:rPr>
                <w:sz w:val="22"/>
                <w:szCs w:val="22"/>
                <w:lang w:eastAsia="en-US"/>
              </w:rPr>
              <w:t>Региональный</w:t>
            </w:r>
          </w:p>
        </w:tc>
      </w:tr>
      <w:tr>
        <w:trPr>
          <w:trHeight w:val="2445"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2.29</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bCs/>
                <w:sz w:val="22"/>
                <w:szCs w:val="22"/>
              </w:rPr>
              <w:t>городской округ город Калуга Калужской области, г. Калуга,</w:t>
            </w:r>
          </w:p>
          <w:p>
            <w:pPr>
              <w:pStyle w:val="Normal"/>
              <w:widowControl w:val="false"/>
              <w:jc w:val="center"/>
              <w:rPr>
                <w:sz w:val="22"/>
                <w:szCs w:val="22"/>
              </w:rPr>
            </w:pPr>
            <w:r>
              <w:rPr>
                <w:bCs/>
                <w:sz w:val="22"/>
                <w:szCs w:val="22"/>
              </w:rPr>
              <w:t>Тульское шоссе</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Производственные зоны, зоны инженерной и транспортной инфраструктур.</w:t>
            </w:r>
          </w:p>
          <w:p>
            <w:pPr>
              <w:pStyle w:val="Normal"/>
              <w:widowControl w:val="false"/>
              <w:jc w:val="center"/>
              <w:rPr>
                <w:sz w:val="22"/>
                <w:szCs w:val="22"/>
              </w:rPr>
            </w:pPr>
            <w:r>
              <w:rPr>
                <w:sz w:val="22"/>
                <w:szCs w:val="22"/>
              </w:rPr>
              <w:t>Максимальный процент застройки - 50%. Предельное количество этажей - не регламентируется. Рекомендуемая плотность населения -</w:t>
            </w:r>
          </w:p>
          <w:p>
            <w:pPr>
              <w:pStyle w:val="Normal"/>
              <w:widowControl w:val="false"/>
              <w:jc w:val="center"/>
              <w:rPr>
                <w:sz w:val="22"/>
                <w:szCs w:val="22"/>
              </w:rPr>
            </w:pPr>
            <w:r>
              <w:rPr>
                <w:sz w:val="22"/>
                <w:szCs w:val="22"/>
              </w:rPr>
              <w:t>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115</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Индустриальный парк «Калуга Юг», общая площадь индустриального парка – 115 га,</w:t>
            </w:r>
          </w:p>
          <w:p>
            <w:pPr>
              <w:pStyle w:val="Normal"/>
              <w:widowControl w:val="false"/>
              <w:jc w:val="center"/>
              <w:rPr>
                <w:sz w:val="22"/>
                <w:szCs w:val="22"/>
              </w:rPr>
            </w:pPr>
            <w:r>
              <w:rPr>
                <w:sz w:val="22"/>
                <w:szCs w:val="22"/>
                <w:lang w:eastAsia="en-US"/>
              </w:rPr>
              <w:t>Выделено под коридоры коммуникаций – 25 га.</w:t>
            </w:r>
          </w:p>
          <w:p>
            <w:pPr>
              <w:pStyle w:val="Normal"/>
              <w:widowControl w:val="false"/>
              <w:jc w:val="center"/>
              <w:rPr>
                <w:sz w:val="22"/>
                <w:szCs w:val="22"/>
              </w:rPr>
            </w:pPr>
            <w:r>
              <w:rPr>
                <w:sz w:val="22"/>
                <w:szCs w:val="22"/>
                <w:lang w:eastAsia="en-US"/>
              </w:rPr>
              <w:t>Предоставлено инвесторам – 90 га.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center"/>
              <w:rPr>
                <w:sz w:val="22"/>
                <w:szCs w:val="22"/>
              </w:rPr>
            </w:pPr>
            <w:r>
              <w:rPr>
                <w:sz w:val="22"/>
                <w:szCs w:val="22"/>
                <w:lang w:eastAsia="en-US"/>
              </w:rPr>
              <w:t>Региональный</w:t>
            </w:r>
          </w:p>
        </w:tc>
      </w:tr>
      <w:tr>
        <w:trPr>
          <w:trHeight w:val="2655"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2.30</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bCs/>
                <w:sz w:val="22"/>
                <w:szCs w:val="22"/>
              </w:rPr>
              <w:t>городской округ город Калуга Калужской</w:t>
            </w:r>
          </w:p>
          <w:p>
            <w:pPr>
              <w:pStyle w:val="Normal"/>
              <w:widowControl w:val="false"/>
              <w:jc w:val="center"/>
              <w:rPr>
                <w:sz w:val="22"/>
                <w:szCs w:val="22"/>
              </w:rPr>
            </w:pPr>
            <w:r>
              <w:rPr>
                <w:bCs/>
                <w:sz w:val="22"/>
                <w:szCs w:val="22"/>
              </w:rPr>
              <w:t>области, с. Росва</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Производственные зоны, зоны инженерной и транспортной инфраструктур.</w:t>
            </w:r>
          </w:p>
          <w:p>
            <w:pPr>
              <w:pStyle w:val="Normal"/>
              <w:widowControl w:val="false"/>
              <w:jc w:val="center"/>
              <w:rPr>
                <w:sz w:val="22"/>
                <w:szCs w:val="22"/>
              </w:rPr>
            </w:pPr>
            <w:r>
              <w:rPr>
                <w:sz w:val="22"/>
                <w:szCs w:val="22"/>
              </w:rPr>
              <w:t>Максимальный процент застройки - 50%. Предельное количество этажей - не регламентируется. Рекомендуемая плотность населения -</w:t>
            </w:r>
          </w:p>
          <w:p>
            <w:pPr>
              <w:pStyle w:val="Normal"/>
              <w:widowControl w:val="false"/>
              <w:jc w:val="center"/>
              <w:rPr>
                <w:sz w:val="22"/>
                <w:szCs w:val="22"/>
              </w:rPr>
            </w:pPr>
            <w:r>
              <w:rPr>
                <w:sz w:val="22"/>
                <w:szCs w:val="22"/>
              </w:rPr>
              <w:t>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748,0</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Индустриальный парк «Росва», общая площадь индустриального парка – 748 га. Выделено</w:t>
            </w:r>
          </w:p>
          <w:p>
            <w:pPr>
              <w:pStyle w:val="Normal"/>
              <w:widowControl w:val="false"/>
              <w:jc w:val="center"/>
              <w:rPr>
                <w:sz w:val="22"/>
                <w:szCs w:val="22"/>
              </w:rPr>
            </w:pPr>
            <w:r>
              <w:rPr>
                <w:sz w:val="22"/>
                <w:szCs w:val="22"/>
                <w:lang w:eastAsia="en-US"/>
              </w:rPr>
              <w:t>под коридоры</w:t>
            </w:r>
          </w:p>
          <w:p>
            <w:pPr>
              <w:pStyle w:val="Normal"/>
              <w:widowControl w:val="false"/>
              <w:jc w:val="center"/>
              <w:rPr/>
            </w:pPr>
            <w:r>
              <w:rPr>
                <w:sz w:val="22"/>
                <w:szCs w:val="22"/>
                <w:lang w:eastAsia="en-US"/>
              </w:rPr>
              <w:t>коммуникаций –</w:t>
            </w:r>
          </w:p>
          <w:p>
            <w:pPr>
              <w:pStyle w:val="Normal"/>
              <w:widowControl w:val="false"/>
              <w:jc w:val="center"/>
              <w:rPr>
                <w:sz w:val="22"/>
                <w:szCs w:val="22"/>
              </w:rPr>
            </w:pPr>
            <w:r>
              <w:rPr>
                <w:sz w:val="22"/>
                <w:szCs w:val="22"/>
                <w:lang w:eastAsia="en-US"/>
              </w:rPr>
              <w:t>281 га. Предоставлено инвесторам – 324 га. Свободно для размещения инвесторов –</w:t>
            </w:r>
          </w:p>
          <w:p>
            <w:pPr>
              <w:pStyle w:val="Normal"/>
              <w:widowControl w:val="false"/>
              <w:jc w:val="center"/>
              <w:rPr>
                <w:sz w:val="22"/>
                <w:szCs w:val="22"/>
              </w:rPr>
            </w:pPr>
            <w:r>
              <w:rPr>
                <w:sz w:val="22"/>
                <w:szCs w:val="22"/>
                <w:lang w:eastAsia="en-US"/>
              </w:rPr>
              <w:t>76,7 га.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center"/>
              <w:rPr>
                <w:sz w:val="22"/>
                <w:szCs w:val="22"/>
              </w:rPr>
            </w:pPr>
            <w:r>
              <w:rPr>
                <w:sz w:val="22"/>
                <w:szCs w:val="22"/>
                <w:lang w:eastAsia="en-US"/>
              </w:rPr>
              <w:t>Региональный</w:t>
            </w:r>
          </w:p>
        </w:tc>
      </w:tr>
      <w:tr>
        <w:trPr>
          <w:trHeight w:val="2325"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2.31</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bCs/>
                <w:sz w:val="22"/>
                <w:szCs w:val="22"/>
              </w:rPr>
              <w:t>городской округ город Калуга Калужской</w:t>
            </w:r>
          </w:p>
          <w:p>
            <w:pPr>
              <w:pStyle w:val="Normal"/>
              <w:widowControl w:val="false"/>
              <w:jc w:val="center"/>
              <w:rPr>
                <w:sz w:val="22"/>
                <w:szCs w:val="22"/>
              </w:rPr>
            </w:pPr>
            <w:r>
              <w:rPr>
                <w:bCs/>
                <w:sz w:val="22"/>
                <w:szCs w:val="22"/>
              </w:rPr>
              <w:t>области, г. Калуга</w:t>
            </w:r>
          </w:p>
          <w:p>
            <w:pPr>
              <w:pStyle w:val="Normal"/>
              <w:widowControl w:val="false"/>
              <w:jc w:val="center"/>
              <w:rPr>
                <w:sz w:val="22"/>
                <w:szCs w:val="22"/>
              </w:rPr>
            </w:pPr>
            <w:r>
              <w:rPr>
                <w:bCs/>
                <w:sz w:val="22"/>
                <w:szCs w:val="22"/>
              </w:rPr>
              <w:t>ул. Городенская, зд. 27а</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Зона складирования и</w:t>
            </w:r>
          </w:p>
          <w:p>
            <w:pPr>
              <w:pStyle w:val="Normal"/>
              <w:widowControl w:val="false"/>
              <w:jc w:val="center"/>
              <w:rPr>
                <w:sz w:val="22"/>
                <w:szCs w:val="22"/>
              </w:rPr>
            </w:pPr>
            <w:r>
              <w:rPr>
                <w:sz w:val="22"/>
                <w:szCs w:val="22"/>
                <w:lang w:eastAsia="en-US"/>
              </w:rPr>
              <w:t>захоронения отходов.</w:t>
            </w:r>
          </w:p>
          <w:p>
            <w:pPr>
              <w:pStyle w:val="Normal"/>
              <w:widowControl w:val="false"/>
              <w:jc w:val="center"/>
              <w:rPr>
                <w:sz w:val="22"/>
                <w:szCs w:val="22"/>
              </w:rPr>
            </w:pPr>
            <w:r>
              <w:rPr>
                <w:sz w:val="22"/>
                <w:szCs w:val="22"/>
              </w:rPr>
              <w:t>Максимальный процент застройки - не регламентируется. Предельное количество этажей - не регламентируется.</w:t>
            </w:r>
          </w:p>
          <w:p>
            <w:pPr>
              <w:pStyle w:val="Normal"/>
              <w:widowControl w:val="false"/>
              <w:jc w:val="center"/>
              <w:rPr>
                <w:sz w:val="22"/>
                <w:szCs w:val="22"/>
              </w:rPr>
            </w:pPr>
            <w:r>
              <w:rPr>
                <w:sz w:val="22"/>
                <w:szCs w:val="22"/>
              </w:rPr>
              <w:t>Рекомендуемая плотность населения -</w:t>
            </w:r>
          </w:p>
          <w:p>
            <w:pPr>
              <w:pStyle w:val="Normal"/>
              <w:widowControl w:val="false"/>
              <w:jc w:val="center"/>
              <w:rPr>
                <w:sz w:val="22"/>
                <w:szCs w:val="22"/>
              </w:rPr>
            </w:pPr>
            <w:r>
              <w:rPr>
                <w:sz w:val="22"/>
                <w:szCs w:val="22"/>
              </w:rPr>
              <w:t>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6,44</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bCs/>
                <w:color w:val="auto"/>
                <w:sz w:val="22"/>
                <w:szCs w:val="22"/>
                <w:lang w:eastAsia="ru-RU"/>
              </w:rPr>
              <w:t>Объект утилизации ООО «КЗПАТ» (производство альтернативного топлива из твердых коммунальных отходов),</w:t>
            </w:r>
          </w:p>
          <w:p>
            <w:pPr>
              <w:pStyle w:val="Normal"/>
              <w:widowControl w:val="false"/>
              <w:jc w:val="center"/>
              <w:rPr>
                <w:sz w:val="22"/>
                <w:szCs w:val="22"/>
              </w:rPr>
            </w:pPr>
            <w:r>
              <w:rPr>
                <w:bCs/>
                <w:sz w:val="22"/>
                <w:szCs w:val="22"/>
                <w:lang w:eastAsia="ru-RU"/>
              </w:rPr>
              <w:t>Проектная</w:t>
            </w:r>
          </w:p>
          <w:p>
            <w:pPr>
              <w:pStyle w:val="Normal"/>
              <w:widowControl w:val="false"/>
              <w:jc w:val="center"/>
              <w:rPr>
                <w:sz w:val="22"/>
                <w:szCs w:val="22"/>
              </w:rPr>
            </w:pPr>
            <w:r>
              <w:rPr>
                <w:bCs/>
                <w:sz w:val="22"/>
                <w:szCs w:val="22"/>
                <w:lang w:eastAsia="ru-RU"/>
              </w:rPr>
              <w:t>мощность - 124 тыс. тонн в год</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center"/>
              <w:rPr>
                <w:sz w:val="22"/>
                <w:szCs w:val="22"/>
              </w:rPr>
            </w:pPr>
            <w:r>
              <w:rPr>
                <w:sz w:val="22"/>
                <w:szCs w:val="22"/>
                <w:lang w:eastAsia="en-US"/>
              </w:rPr>
              <w:t>Региональный</w:t>
            </w:r>
          </w:p>
        </w:tc>
      </w:tr>
      <w:tr>
        <w:trPr>
          <w:trHeight w:val="2100"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2.32</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bCs/>
                <w:sz w:val="22"/>
                <w:szCs w:val="22"/>
              </w:rPr>
              <w:t>городской округ город Калуга Калужской области,</w:t>
            </w:r>
          </w:p>
          <w:p>
            <w:pPr>
              <w:pStyle w:val="Normal"/>
              <w:widowControl w:val="false"/>
              <w:jc w:val="center"/>
              <w:rPr>
                <w:sz w:val="22"/>
                <w:szCs w:val="22"/>
              </w:rPr>
            </w:pPr>
            <w:r>
              <w:rPr>
                <w:bCs/>
                <w:sz w:val="22"/>
                <w:szCs w:val="22"/>
              </w:rPr>
              <w:t>район д. Верхняя Вырка</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Производственные зоны, зоны инженерной и транспортной инфраструктур.</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не регламентируется.</w:t>
            </w:r>
          </w:p>
          <w:p>
            <w:pPr>
              <w:pStyle w:val="Normal"/>
              <w:widowControl w:val="false"/>
              <w:jc w:val="center"/>
              <w:rPr>
                <w:sz w:val="22"/>
                <w:szCs w:val="22"/>
              </w:rPr>
            </w:pPr>
            <w:r>
              <w:rPr>
                <w:sz w:val="22"/>
                <w:szCs w:val="22"/>
              </w:rPr>
              <w:t>Рекомендуемая плотность населения -</w:t>
            </w:r>
          </w:p>
          <w:p>
            <w:pPr>
              <w:pStyle w:val="Normal"/>
              <w:widowControl w:val="false"/>
              <w:jc w:val="center"/>
              <w:rPr>
                <w:sz w:val="22"/>
                <w:szCs w:val="22"/>
              </w:rPr>
            </w:pPr>
            <w:r>
              <w:rPr>
                <w:sz w:val="22"/>
                <w:szCs w:val="22"/>
              </w:rPr>
              <w:t>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10,02</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bCs/>
                <w:color w:val="auto"/>
                <w:sz w:val="22"/>
                <w:szCs w:val="22"/>
              </w:rPr>
              <w:t xml:space="preserve">Посадочная площадка для </w:t>
            </w:r>
            <w:r>
              <w:rPr>
                <w:bCs/>
                <w:color w:val="auto"/>
                <w:sz w:val="22"/>
                <w:szCs w:val="22"/>
                <w:lang w:eastAsia="ru-RU"/>
              </w:rPr>
              <w:t>обеспечения приема, выпуска, стоянки, обслуживания и хранения беспилотных авиационных систем и размещения наземного оборудования</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center"/>
              <w:rPr>
                <w:sz w:val="22"/>
                <w:szCs w:val="22"/>
              </w:rPr>
            </w:pPr>
            <w:r>
              <w:rPr>
                <w:sz w:val="22"/>
                <w:szCs w:val="22"/>
                <w:lang w:eastAsia="en-US"/>
              </w:rPr>
              <w:t>Региональный</w:t>
            </w:r>
          </w:p>
        </w:tc>
      </w:tr>
      <w:tr>
        <w:trPr>
          <w:trHeight w:val="1826"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2.33</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ул. Фомушина</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Общественно-деловые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- 5,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1,37</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Здание управления Минюста России по Калужской области</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center"/>
              <w:rPr>
                <w:sz w:val="22"/>
                <w:szCs w:val="22"/>
              </w:rPr>
            </w:pPr>
            <w:r>
              <w:rPr>
                <w:sz w:val="22"/>
                <w:szCs w:val="22"/>
                <w:lang w:eastAsia="en-US"/>
              </w:rPr>
              <w:t>Региональный</w:t>
            </w:r>
          </w:p>
        </w:tc>
      </w:tr>
      <w:tr>
        <w:trPr>
          <w:trHeight w:val="20" w:hRule="atLeast"/>
          <w:cantSplit w:val="true"/>
        </w:trPr>
        <w:tc>
          <w:tcPr>
            <w:tcW w:w="11099" w:type="dxa"/>
            <w:gridSpan w:val="6"/>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b/>
                <w:sz w:val="20"/>
                <w:szCs w:val="20"/>
                <w:lang w:eastAsia="ru-RU"/>
              </w:rPr>
              <w:t>3. Сведения о планируемых для размещения в функциональных зонах объектах местного значения, за исключением линейных объектов</w:t>
            </w:r>
          </w:p>
        </w:tc>
      </w:tr>
      <w:tr>
        <w:trPr>
          <w:trHeight w:val="20"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мкр. Северный, г. Калуга,  район улиц Тепличная, Дорожная, Новая</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 xml:space="preserve"> </w:t>
            </w:r>
            <w:r>
              <w:rPr>
                <w:sz w:val="22"/>
                <w:szCs w:val="22"/>
              </w:rPr>
              <w:t>Максимальный процент застройки - 50%. Предельное количество этажей - 4, рекомендуемая плотность населения - 435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51,36</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Детское дошкольное учреждение проектной вместимостью 209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20"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3.2</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мкр. Северный, г. Калуга, район улиц Тепличная, Дорожная, Новая</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 Предельное количество этажей - 4, рекомендуемая плотность населения - 435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22,96</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Детское дошкольное учреждение, проектной вместимостью 223 места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20"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3.3</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Изумрудная</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 Предельное количество этажей - 4, рекомендуемая плотность населения - 280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21,65</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Детское дошкольное учреждение проектной вместимостью 48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20"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3.4</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Небесная</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Общественно-деловые зоны.</w:t>
            </w:r>
          </w:p>
          <w:p>
            <w:pPr>
              <w:pStyle w:val="Normal"/>
              <w:widowControl w:val="false"/>
              <w:jc w:val="center"/>
              <w:rPr>
                <w:sz w:val="22"/>
                <w:szCs w:val="22"/>
              </w:rPr>
            </w:pPr>
            <w:r>
              <w:rPr>
                <w:sz w:val="22"/>
                <w:szCs w:val="22"/>
              </w:rPr>
              <w:t>Максимальный процент застройки - 50%. Предельное количество этажей - 3,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33,19</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Детское дошкольное учреждение проектной вместимостью 350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20"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3.5</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ул. Университетский</w:t>
            </w:r>
          </w:p>
          <w:p>
            <w:pPr>
              <w:pStyle w:val="Normal"/>
              <w:widowControl w:val="false"/>
              <w:jc w:val="center"/>
              <w:rPr>
                <w:sz w:val="22"/>
                <w:szCs w:val="22"/>
              </w:rPr>
            </w:pPr>
            <w:r>
              <w:rPr>
                <w:sz w:val="22"/>
                <w:szCs w:val="22"/>
              </w:rPr>
              <w:t>Городок</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 Предельное количество этажей - 4, рекомендуемая плотность населения - 435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23,03</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Детское дошкольное учреждение проектной вместимостью 300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20"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3.6</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ул. Московская, д. 311</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 Предельное количество этажей - 1/2, рекомендуемая плотность населения - 280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8,03</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Детское дошкольное учреждение проектной вместимостью 78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3.7</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район Правобережный,</w:t>
            </w:r>
          </w:p>
          <w:p>
            <w:pPr>
              <w:pStyle w:val="Normal"/>
              <w:widowControl w:val="false"/>
              <w:jc w:val="center"/>
              <w:rPr>
                <w:sz w:val="22"/>
                <w:szCs w:val="22"/>
              </w:rPr>
            </w:pPr>
            <w:r>
              <w:rPr>
                <w:sz w:val="22"/>
                <w:szCs w:val="22"/>
              </w:rPr>
              <w:t>в районе ул. Хорошая</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 Предельное количество этажей - 4, рекомендуемая плотность населения - 435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39,79</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Детское дошкольное учреждение проектной вместимостью 140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3.8</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район Правобережный,</w:t>
            </w:r>
          </w:p>
          <w:p>
            <w:pPr>
              <w:pStyle w:val="Normal"/>
              <w:widowControl w:val="false"/>
              <w:jc w:val="center"/>
              <w:rPr>
                <w:sz w:val="22"/>
                <w:szCs w:val="22"/>
              </w:rPr>
            </w:pPr>
            <w:r>
              <w:rPr>
                <w:sz w:val="22"/>
                <w:szCs w:val="22"/>
              </w:rPr>
              <w:t>в районе ул. Минская</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 Предельное количество этажей - 4, рекомендуемая плотность населения - 435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39,79</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Детское дошкольное учреждение проектной вместимостью 220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3.9</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Хрустальная</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 Предельное количество этажей - 4, рекомендуемая плотность населения - 280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10,95</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Детское дошкольное учреждение проектной вместимостью 100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3.10</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ул. Болдина, д. 22</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Зона смешанной и общественно-деловой</w:t>
            </w:r>
          </w:p>
          <w:p>
            <w:pPr>
              <w:pStyle w:val="Normal"/>
              <w:widowControl w:val="false"/>
              <w:jc w:val="center"/>
              <w:rPr>
                <w:sz w:val="22"/>
                <w:szCs w:val="22"/>
              </w:rPr>
            </w:pPr>
            <w:r>
              <w:rPr>
                <w:sz w:val="22"/>
                <w:szCs w:val="22"/>
              </w:rPr>
              <w:t>застройки.</w:t>
            </w:r>
          </w:p>
          <w:p>
            <w:pPr>
              <w:pStyle w:val="Normal"/>
              <w:widowControl w:val="false"/>
              <w:jc w:val="center"/>
              <w:rPr>
                <w:sz w:val="22"/>
                <w:szCs w:val="22"/>
              </w:rPr>
            </w:pPr>
            <w:r>
              <w:rPr>
                <w:sz w:val="22"/>
                <w:szCs w:val="22"/>
              </w:rPr>
              <w:t>Максимальный процент застройки - 50%. Предельное количество этажей - не регламентируется,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14,67</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Детское дошкольное учреждение проектной вместимостью 300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3.11</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Московская, район д. 139</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 Предельное количество этажей - 4, рекомендуемая плотность населения - 435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23,69</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Детское дошкольное учреждение проектной вместимостью 130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3.12</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Белые Росы</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- 4, рекомендуемая плотность населения - 280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39,49</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Детское дошкольное учреждение проектной вместимостью 130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3.13</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ул. Байконурская</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 Предельное количество этажей - 4, рекомендуемая плотность населения - 345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22,95</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Детское дошкольное учреждение проектной вместимостью 185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3.14</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ул. Новосельская</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- 4, рекомендуемая плотность населения - 280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18,12</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Детское дошкольное учреждение проектной вместимостью 200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3.15</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3-й Академический проезд</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 Предельное количество этажей - 4, рекомендуемая плотность населения - 435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37,11</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Детское дошкольное учреждение проектной вместимостью 175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3.16</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3-й Академический проезд</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 Предельное количество этажей - 4, рекомендуемая плотность населения - 435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12,4</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Детское дошкольное учреждение проектной вместимостью 150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3.17</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3-й Академический проезд</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 Предельное количество этажей - 4, рекомендуемая плотность населения - 435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37,11</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Детское дошкольное учреждение проектной вместимостью 225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3.18</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Советская</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 Предельное количество этажей - 1, рекомендуемая плотность населения - 345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45,73</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Детское дошкольное учреждение проектной вместимостью 50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3.19</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Советская</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 Предельное количество этажей - 4, рекомендуемая плотность населения - 345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45,73</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Детское дошкольное учреждение проектной вместимостью 290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3.20</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w:t>
            </w:r>
          </w:p>
          <w:p>
            <w:pPr>
              <w:pStyle w:val="Normal"/>
              <w:widowControl w:val="false"/>
              <w:jc w:val="center"/>
              <w:rPr>
                <w:sz w:val="22"/>
                <w:szCs w:val="22"/>
              </w:rPr>
            </w:pPr>
            <w:r>
              <w:rPr>
                <w:sz w:val="22"/>
                <w:szCs w:val="22"/>
                <w:lang w:eastAsia="en-US"/>
              </w:rPr>
              <w:t xml:space="preserve">город Калуга Калужской области, </w:t>
            </w:r>
            <w:r>
              <w:rPr>
                <w:sz w:val="22"/>
                <w:szCs w:val="22"/>
              </w:rPr>
              <w:t>д. Новоселки</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 Предельное количество этажей - 4, рекомендуемая плотность населения - 60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124,46</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Детское дошкольное учреждение проектной вместимостью 150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3.21</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ул. Социалистическая,</w:t>
            </w:r>
          </w:p>
          <w:p>
            <w:pPr>
              <w:pStyle w:val="Normal"/>
              <w:widowControl w:val="false"/>
              <w:jc w:val="center"/>
              <w:rPr>
                <w:sz w:val="22"/>
                <w:szCs w:val="22"/>
              </w:rPr>
            </w:pPr>
            <w:r>
              <w:rPr>
                <w:sz w:val="22"/>
                <w:szCs w:val="22"/>
              </w:rPr>
              <w:t>д. 2а</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 Предельное количество этажей - 4, рекомендуемая плотность населения - 280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109,65</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Детское дошкольное учреждение проектной вместимостью 338 мест</w:t>
            </w:r>
          </w:p>
          <w:p>
            <w:pPr>
              <w:pStyle w:val="Default1"/>
              <w:widowControl w:val="false"/>
              <w:jc w:val="center"/>
              <w:rPr>
                <w:sz w:val="22"/>
                <w:szCs w:val="22"/>
              </w:rPr>
            </w:pPr>
            <w:r>
              <w:rPr>
                <w:color w:val="auto"/>
                <w:sz w:val="22"/>
                <w:szCs w:val="22"/>
              </w:rPr>
              <w:t>(с увеличением вместимости на</w:t>
            </w:r>
          </w:p>
          <w:p>
            <w:pPr>
              <w:pStyle w:val="Default1"/>
              <w:widowControl w:val="false"/>
              <w:jc w:val="center"/>
              <w:rPr>
                <w:sz w:val="22"/>
                <w:szCs w:val="22"/>
              </w:rPr>
            </w:pPr>
            <w:r>
              <w:rPr>
                <w:color w:val="auto"/>
                <w:sz w:val="22"/>
                <w:szCs w:val="22"/>
              </w:rPr>
              <w:t>80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3.22</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К. Либкнехта</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Зона смешанной и общественно-деловой</w:t>
            </w:r>
          </w:p>
          <w:p>
            <w:pPr>
              <w:pStyle w:val="Normal"/>
              <w:widowControl w:val="false"/>
              <w:jc w:val="center"/>
              <w:rPr>
                <w:sz w:val="22"/>
                <w:szCs w:val="22"/>
              </w:rPr>
            </w:pPr>
            <w:r>
              <w:rPr>
                <w:sz w:val="22"/>
                <w:szCs w:val="22"/>
              </w:rPr>
              <w:t>застройки.</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не регламентируется,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10,31</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Детское дошкольное учреждение проектной вместимостью 55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3.23</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ул. Маяковского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- 4, рекомендуемая плотность населения - 280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53,42</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Детское дошкольное учреждение проектной вместимостью 200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3.24</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мкр. Куровской, на участке нового строительства</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Рекреационные зоны. Максимальный процент застройки - 50%. Предельное количество этажей - не регламентируется, рекомендуемая плотность населения -</w:t>
            </w:r>
          </w:p>
          <w:p>
            <w:pPr>
              <w:pStyle w:val="Normal"/>
              <w:widowControl w:val="false"/>
              <w:jc w:val="center"/>
              <w:rPr>
                <w:sz w:val="22"/>
                <w:szCs w:val="22"/>
              </w:rPr>
            </w:pPr>
            <w:r>
              <w:rPr>
                <w:sz w:val="22"/>
                <w:szCs w:val="22"/>
              </w:rPr>
              <w:t>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5,41</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Детское дошкольное учреждение проектной вместимостью 200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3.25</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ул. Ромодановские</w:t>
            </w:r>
          </w:p>
          <w:p>
            <w:pPr>
              <w:pStyle w:val="Normal"/>
              <w:widowControl w:val="false"/>
              <w:jc w:val="center"/>
              <w:rPr>
                <w:sz w:val="22"/>
                <w:szCs w:val="22"/>
              </w:rPr>
            </w:pPr>
            <w:r>
              <w:rPr>
                <w:sz w:val="22"/>
                <w:szCs w:val="22"/>
              </w:rPr>
              <w:t>Дворики</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 Предельное количество этажей - 6, рекомендуемая плотность населения - 280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80,64</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Детское дошкольное учреждение проектной вместимостью 150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3.26</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в районе с. Некрасово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- 4, рекомендуемая плотность населения - 435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153,48</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Детское дошкольное учреждение проектной вместимостью 300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3.27</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в районе д. Пучково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- 4, рекомендуемая плотность населения - 435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95,97</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Детское дошкольное учреждение проектной вместимостью 300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3.28</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w:t>
            </w:r>
          </w:p>
          <w:p>
            <w:pPr>
              <w:pStyle w:val="Normal"/>
              <w:widowControl w:val="false"/>
              <w:jc w:val="center"/>
              <w:rPr>
                <w:sz w:val="22"/>
                <w:szCs w:val="22"/>
              </w:rPr>
            </w:pPr>
            <w:r>
              <w:rPr>
                <w:sz w:val="22"/>
                <w:szCs w:val="22"/>
                <w:lang w:eastAsia="en-US"/>
              </w:rPr>
              <w:t xml:space="preserve"> </w:t>
            </w:r>
            <w:r>
              <w:rPr>
                <w:sz w:val="22"/>
                <w:szCs w:val="22"/>
                <w:lang w:eastAsia="en-US"/>
              </w:rPr>
              <w:t xml:space="preserve">области, </w:t>
            </w:r>
            <w:r>
              <w:rPr>
                <w:sz w:val="22"/>
                <w:szCs w:val="22"/>
              </w:rPr>
              <w:t>д. Заречье</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 Предельное количество этажей - 4, рекомендуемая плотность населения - 60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55,53</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Детское дошкольное учреждение проектной вместимостью 100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3.29</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w:t>
            </w:r>
          </w:p>
          <w:p>
            <w:pPr>
              <w:pStyle w:val="Normal"/>
              <w:widowControl w:val="false"/>
              <w:jc w:val="center"/>
              <w:rPr>
                <w:sz w:val="22"/>
                <w:szCs w:val="22"/>
              </w:rPr>
            </w:pPr>
            <w:r>
              <w:rPr>
                <w:sz w:val="22"/>
                <w:szCs w:val="22"/>
                <w:lang w:eastAsia="en-US"/>
              </w:rPr>
              <w:t xml:space="preserve">области, </w:t>
            </w:r>
            <w:r>
              <w:rPr>
                <w:sz w:val="22"/>
                <w:szCs w:val="22"/>
              </w:rPr>
              <w:t>д. Канищево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- 4, рекомендуемая плотность населения - 60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49,09</w:t>
            </w:r>
          </w:p>
          <w:p>
            <w:pPr>
              <w:pStyle w:val="Normal"/>
              <w:widowControl w:val="false"/>
              <w:rPr>
                <w:sz w:val="22"/>
                <w:szCs w:val="22"/>
                <w:lang w:eastAsia="en-US"/>
              </w:rPr>
            </w:pPr>
            <w:r>
              <w:rPr>
                <w:sz w:val="22"/>
                <w:szCs w:val="22"/>
                <w:lang w:eastAsia="en-US"/>
              </w:rPr>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Детское дошкольное учреждение проектной вместимостью 150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3.30</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w:t>
            </w:r>
          </w:p>
          <w:p>
            <w:pPr>
              <w:pStyle w:val="Normal"/>
              <w:widowControl w:val="false"/>
              <w:jc w:val="center"/>
              <w:rPr>
                <w:sz w:val="22"/>
                <w:szCs w:val="22"/>
              </w:rPr>
            </w:pPr>
            <w:r>
              <w:rPr>
                <w:sz w:val="22"/>
                <w:szCs w:val="22"/>
                <w:lang w:eastAsia="en-US"/>
              </w:rPr>
              <w:t xml:space="preserve">области, </w:t>
            </w:r>
            <w:r>
              <w:rPr>
                <w:sz w:val="22"/>
                <w:szCs w:val="22"/>
              </w:rPr>
              <w:t>д. Яглово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- 6, рекомендуемая плотность населения - 60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84,06</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Детское дошкольное учреждение проектной вместимостью 120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3.31</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w:t>
            </w:r>
          </w:p>
          <w:p>
            <w:pPr>
              <w:pStyle w:val="Normal"/>
              <w:widowControl w:val="false"/>
              <w:jc w:val="center"/>
              <w:rPr>
                <w:sz w:val="22"/>
                <w:szCs w:val="22"/>
              </w:rPr>
            </w:pPr>
            <w:r>
              <w:rPr>
                <w:sz w:val="22"/>
                <w:szCs w:val="22"/>
                <w:lang w:eastAsia="en-US"/>
              </w:rPr>
              <w:t xml:space="preserve">области, </w:t>
            </w:r>
            <w:r>
              <w:rPr>
                <w:sz w:val="22"/>
                <w:szCs w:val="22"/>
              </w:rPr>
              <w:t>д. Матюнино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- 6, рекомендуемая плотность населения - 60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166,44</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Детское дошкольное учреждение проектной вместимостью 200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3.32</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w:t>
            </w:r>
          </w:p>
          <w:p>
            <w:pPr>
              <w:pStyle w:val="Normal"/>
              <w:widowControl w:val="false"/>
              <w:jc w:val="center"/>
              <w:rPr>
                <w:sz w:val="22"/>
                <w:szCs w:val="22"/>
              </w:rPr>
            </w:pPr>
            <w:r>
              <w:rPr>
                <w:sz w:val="22"/>
                <w:szCs w:val="22"/>
                <w:lang w:eastAsia="en-US"/>
              </w:rPr>
              <w:t xml:space="preserve">области, </w:t>
            </w:r>
            <w:r>
              <w:rPr>
                <w:sz w:val="22"/>
                <w:szCs w:val="22"/>
              </w:rPr>
              <w:t>д. Матюнино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- 6, рекомендуемая плотность населения - 60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166,44</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Детское дошкольное учреждение проектной вместимостью 200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3.33</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w:t>
            </w:r>
          </w:p>
          <w:p>
            <w:pPr>
              <w:pStyle w:val="Normal"/>
              <w:widowControl w:val="false"/>
              <w:jc w:val="center"/>
              <w:rPr>
                <w:sz w:val="22"/>
                <w:szCs w:val="22"/>
              </w:rPr>
            </w:pPr>
            <w:r>
              <w:rPr>
                <w:sz w:val="22"/>
                <w:szCs w:val="22"/>
                <w:lang w:eastAsia="en-US"/>
              </w:rPr>
              <w:t xml:space="preserve">области, </w:t>
            </w:r>
            <w:r>
              <w:rPr>
                <w:sz w:val="22"/>
                <w:szCs w:val="22"/>
              </w:rPr>
              <w:t>д. Матюнино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- 6, рекомендуемая плотность населения - 60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166,44</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Детское дошкольное учреждение проектной вместимостью 100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3.34</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w:t>
            </w:r>
          </w:p>
          <w:p>
            <w:pPr>
              <w:pStyle w:val="Normal"/>
              <w:widowControl w:val="false"/>
              <w:jc w:val="center"/>
              <w:rPr>
                <w:sz w:val="22"/>
                <w:szCs w:val="22"/>
              </w:rPr>
            </w:pPr>
            <w:r>
              <w:rPr>
                <w:sz w:val="22"/>
                <w:szCs w:val="22"/>
                <w:lang w:eastAsia="en-US"/>
              </w:rPr>
              <w:t xml:space="preserve">области, </w:t>
            </w:r>
            <w:r>
              <w:rPr>
                <w:sz w:val="22"/>
                <w:szCs w:val="22"/>
              </w:rPr>
              <w:t>д. Аргуново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 Предельное количество этажей - 6, рекомендуемая плотность населения - 60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158,06</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Детское дошкольное учреждение проектной вместимостью 190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3.35</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w:t>
            </w:r>
          </w:p>
          <w:p>
            <w:pPr>
              <w:pStyle w:val="Normal"/>
              <w:widowControl w:val="false"/>
              <w:jc w:val="center"/>
              <w:rPr>
                <w:sz w:val="22"/>
                <w:szCs w:val="22"/>
              </w:rPr>
            </w:pPr>
            <w:r>
              <w:rPr>
                <w:sz w:val="22"/>
                <w:szCs w:val="22"/>
                <w:lang w:eastAsia="en-US"/>
              </w:rPr>
              <w:t xml:space="preserve">области, </w:t>
            </w:r>
            <w:r>
              <w:rPr>
                <w:sz w:val="22"/>
                <w:szCs w:val="22"/>
              </w:rPr>
              <w:t>д. Аргуново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- 6, рекомендуемая плотность населения - 60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158,06</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Детское дошкольное учреждение проектной вместимостью 210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3.36</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w:t>
            </w:r>
          </w:p>
          <w:p>
            <w:pPr>
              <w:pStyle w:val="Normal"/>
              <w:widowControl w:val="false"/>
              <w:jc w:val="center"/>
              <w:rPr>
                <w:sz w:val="22"/>
                <w:szCs w:val="22"/>
              </w:rPr>
            </w:pPr>
            <w:r>
              <w:rPr>
                <w:sz w:val="22"/>
                <w:szCs w:val="22"/>
                <w:lang w:eastAsia="en-US"/>
              </w:rPr>
              <w:t xml:space="preserve">области, </w:t>
            </w:r>
            <w:r>
              <w:rPr>
                <w:sz w:val="22"/>
                <w:szCs w:val="22"/>
              </w:rPr>
              <w:t>д. Уварово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- 6, рекомендуемая плотность населения - 60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40,04</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Детское дошкольное учреждение проектной вместимостью 140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3.37</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w:t>
            </w:r>
          </w:p>
          <w:p>
            <w:pPr>
              <w:pStyle w:val="Normal"/>
              <w:widowControl w:val="false"/>
              <w:jc w:val="center"/>
              <w:rPr>
                <w:sz w:val="22"/>
                <w:szCs w:val="22"/>
              </w:rPr>
            </w:pPr>
            <w:r>
              <w:rPr>
                <w:sz w:val="22"/>
                <w:szCs w:val="22"/>
                <w:lang w:eastAsia="en-US"/>
              </w:rPr>
              <w:t xml:space="preserve">области, </w:t>
            </w:r>
            <w:r>
              <w:rPr>
                <w:sz w:val="22"/>
                <w:szCs w:val="22"/>
              </w:rPr>
              <w:t>д. Груздово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- 6, рекомендуемая плотность населения - 60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134,53</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Детское дошкольное учреждение проектной вместимостью 200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3.38</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w:t>
            </w:r>
          </w:p>
          <w:p>
            <w:pPr>
              <w:pStyle w:val="Normal"/>
              <w:widowControl w:val="false"/>
              <w:jc w:val="center"/>
              <w:rPr>
                <w:sz w:val="22"/>
                <w:szCs w:val="22"/>
              </w:rPr>
            </w:pPr>
            <w:r>
              <w:rPr>
                <w:sz w:val="22"/>
                <w:szCs w:val="22"/>
                <w:lang w:eastAsia="en-US"/>
              </w:rPr>
              <w:t xml:space="preserve">области, </w:t>
            </w:r>
            <w:r>
              <w:rPr>
                <w:sz w:val="22"/>
                <w:szCs w:val="22"/>
              </w:rPr>
              <w:t>д. Груздово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- 6, рекомендуемая плотность населения - 60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134,53</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Детское дошкольное учреждение проектной вместимостью 100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3.39</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w:t>
            </w:r>
          </w:p>
          <w:p>
            <w:pPr>
              <w:pStyle w:val="Normal"/>
              <w:widowControl w:val="false"/>
              <w:jc w:val="center"/>
              <w:rPr>
                <w:sz w:val="22"/>
                <w:szCs w:val="22"/>
              </w:rPr>
            </w:pPr>
            <w:r>
              <w:rPr>
                <w:sz w:val="22"/>
                <w:szCs w:val="22"/>
                <w:lang w:eastAsia="en-US"/>
              </w:rPr>
              <w:t xml:space="preserve">области, </w:t>
            </w:r>
            <w:r>
              <w:rPr>
                <w:sz w:val="22"/>
                <w:szCs w:val="22"/>
              </w:rPr>
              <w:t>д. Юрьевка</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- 6, рекомендуемая плотность населения - 60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69,37</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Детское дошкольное учреждение проектной вместимостью 140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3.40</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w:t>
            </w:r>
          </w:p>
          <w:p>
            <w:pPr>
              <w:pStyle w:val="Normal"/>
              <w:widowControl w:val="false"/>
              <w:jc w:val="center"/>
              <w:rPr>
                <w:sz w:val="22"/>
                <w:szCs w:val="22"/>
              </w:rPr>
            </w:pPr>
            <w:r>
              <w:rPr>
                <w:sz w:val="22"/>
                <w:szCs w:val="22"/>
                <w:lang w:eastAsia="en-US"/>
              </w:rPr>
              <w:t xml:space="preserve">области, </w:t>
            </w:r>
            <w:r>
              <w:rPr>
                <w:sz w:val="22"/>
                <w:szCs w:val="22"/>
              </w:rPr>
              <w:t>д. Тинино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Зона смешанной и общественно-деловой</w:t>
            </w:r>
          </w:p>
          <w:p>
            <w:pPr>
              <w:pStyle w:val="Normal"/>
              <w:widowControl w:val="false"/>
              <w:jc w:val="center"/>
              <w:rPr>
                <w:sz w:val="22"/>
                <w:szCs w:val="22"/>
              </w:rPr>
            </w:pPr>
            <w:r>
              <w:rPr>
                <w:sz w:val="22"/>
                <w:szCs w:val="22"/>
              </w:rPr>
              <w:t>застройки.</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не регламентируется,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27,31</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Детское дошкольное учреждение проектной вместимостью 120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3.41</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ул. Железняки</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- 4, рекомендуемая плотность населения - 345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33,47</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Детское дошкольное учреждение проектной вместимостью 150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3.42</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ул. Новая</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- 4, рекомендуемая плотность населения - 345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4,98</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Детское дошкольное учреждение проектной вместимостью 327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3.43</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мкр. Северный, г. Калуга,  район улиц Тепличная, Дорожная, Новая</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 xml:space="preserve"> </w:t>
            </w: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- 6, рекомендуемая плотность населения - 435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24,44</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Общеобразовательная школа проектной вместимостью 1505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3.44</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w:t>
            </w:r>
          </w:p>
          <w:p>
            <w:pPr>
              <w:pStyle w:val="Normal"/>
              <w:widowControl w:val="false"/>
              <w:jc w:val="center"/>
              <w:rPr>
                <w:sz w:val="22"/>
                <w:szCs w:val="22"/>
              </w:rPr>
            </w:pPr>
            <w:r>
              <w:rPr>
                <w:sz w:val="22"/>
                <w:szCs w:val="22"/>
                <w:lang w:eastAsia="en-US"/>
              </w:rPr>
              <w:t xml:space="preserve">город Калуга Калужской области, </w:t>
            </w:r>
            <w:r>
              <w:rPr>
                <w:sz w:val="22"/>
                <w:szCs w:val="22"/>
              </w:rPr>
              <w:t>д. Новоселки</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- 4, рекомендуемая плотность населения - 60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124,46</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Общеобразовательная школа проектной вместимостью 1300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3.45</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ул. Университетский</w:t>
            </w:r>
          </w:p>
          <w:p>
            <w:pPr>
              <w:pStyle w:val="Normal"/>
              <w:widowControl w:val="false"/>
              <w:jc w:val="center"/>
              <w:rPr>
                <w:sz w:val="22"/>
                <w:szCs w:val="22"/>
              </w:rPr>
            </w:pPr>
            <w:r>
              <w:rPr>
                <w:sz w:val="22"/>
                <w:szCs w:val="22"/>
              </w:rPr>
              <w:t>Городок</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- 4, рекомендуемая плотность населения - 435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23,03</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Общеобразовательная школа</w:t>
            </w:r>
          </w:p>
          <w:p>
            <w:pPr>
              <w:pStyle w:val="Default1"/>
              <w:widowControl w:val="false"/>
              <w:jc w:val="center"/>
              <w:rPr>
                <w:sz w:val="22"/>
                <w:szCs w:val="22"/>
              </w:rPr>
            </w:pPr>
            <w:r>
              <w:rPr>
                <w:color w:val="auto"/>
                <w:sz w:val="22"/>
                <w:szCs w:val="22"/>
              </w:rPr>
              <w:t>проектной вместимостью 800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3.46</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район Правобережный, ул. Серафима Туликова</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- 6, рекомендуемая плотность населения - 435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39,79</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Общеобразовательная школа проектной вместимостью 1100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3.47</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Хрустальная</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- 4, рекомендуемая плотность населения - 280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10,95</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Общеобразовательная школа проектной вместимостью 180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3.48</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3-й Академический проезд</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- 4/6, рекомендуемая плотность населения - 435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37,11</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Общеобразовательная школа проектной вместимостью 1600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3.49</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Советская</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- 4, рекомендуемая плотность населения - 345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45,73</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Общеобразовательная школа проектной вместимостью 1100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3.50</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ул. Ромодановские</w:t>
            </w:r>
          </w:p>
          <w:p>
            <w:pPr>
              <w:pStyle w:val="Normal"/>
              <w:widowControl w:val="false"/>
              <w:jc w:val="center"/>
              <w:rPr>
                <w:sz w:val="22"/>
                <w:szCs w:val="22"/>
              </w:rPr>
            </w:pPr>
            <w:r>
              <w:rPr>
                <w:sz w:val="22"/>
                <w:szCs w:val="22"/>
              </w:rPr>
              <w:t>Дворики</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- 4, рекомендуемая плотность населения - 60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80,64</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Общеобразовательная школа проектной вместимостью 1000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3.51</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мкр. Черносвитино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- 4, рекомендуемая плотность населения - 60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112,47</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Общеобразовательная школа проектной вместимостью 2000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3.52</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ул. Новосельская</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- 4, рекомендуемая плотность населения - 280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18,12</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Общеобразовательная школа проектной вместимостью 2000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3.53</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Железняки</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- 4, рекомендуемая плотность населения - 345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33,47</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Общеобразовательная школа проектной вместимостью 1500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3.54</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в районе</w:t>
            </w:r>
          </w:p>
          <w:p>
            <w:pPr>
              <w:pStyle w:val="Normal"/>
              <w:widowControl w:val="false"/>
              <w:jc w:val="center"/>
              <w:rPr>
                <w:sz w:val="22"/>
                <w:szCs w:val="22"/>
              </w:rPr>
            </w:pPr>
            <w:r>
              <w:rPr>
                <w:sz w:val="22"/>
                <w:szCs w:val="22"/>
              </w:rPr>
              <w:t>с. Некрасово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- 6, рекомендуемая плотность населения - 435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153,48</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Общеобразовательная школа проектной вместимостью 2000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3.55</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в районе д. Пучково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- 6, рекомендуемая плотность населения - 435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95,97</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Общеобразовательная школа проектной вместимостью 1500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3.56</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w:t>
            </w:r>
          </w:p>
          <w:p>
            <w:pPr>
              <w:pStyle w:val="Normal"/>
              <w:widowControl w:val="false"/>
              <w:jc w:val="center"/>
              <w:rPr>
                <w:sz w:val="22"/>
                <w:szCs w:val="22"/>
              </w:rPr>
            </w:pPr>
            <w:r>
              <w:rPr>
                <w:sz w:val="22"/>
                <w:szCs w:val="22"/>
                <w:lang w:eastAsia="en-US"/>
              </w:rPr>
              <w:t xml:space="preserve">области, </w:t>
            </w:r>
            <w:r>
              <w:rPr>
                <w:sz w:val="22"/>
                <w:szCs w:val="22"/>
              </w:rPr>
              <w:t>д. Лихун</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- 4, рекомендуемая плотность населения - 60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21,89</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Общеобразовательная школа проектной вместимостью 800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3.57</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w:t>
            </w:r>
          </w:p>
          <w:p>
            <w:pPr>
              <w:pStyle w:val="Normal"/>
              <w:widowControl w:val="false"/>
              <w:jc w:val="center"/>
              <w:rPr>
                <w:sz w:val="22"/>
                <w:szCs w:val="22"/>
              </w:rPr>
            </w:pPr>
            <w:r>
              <w:rPr>
                <w:sz w:val="22"/>
                <w:szCs w:val="22"/>
                <w:lang w:eastAsia="en-US"/>
              </w:rPr>
              <w:t xml:space="preserve">области, </w:t>
            </w:r>
            <w:r>
              <w:rPr>
                <w:sz w:val="22"/>
                <w:szCs w:val="22"/>
              </w:rPr>
              <w:t>д. Канищево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- 4, рекомендуемая плотность населения - 60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52,85</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Общеобразовательная школа проектной вместимостью 2000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3.58</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w:t>
            </w:r>
          </w:p>
          <w:p>
            <w:pPr>
              <w:pStyle w:val="Normal"/>
              <w:widowControl w:val="false"/>
              <w:jc w:val="center"/>
              <w:rPr>
                <w:sz w:val="22"/>
                <w:szCs w:val="22"/>
              </w:rPr>
            </w:pPr>
            <w:r>
              <w:rPr>
                <w:sz w:val="22"/>
                <w:szCs w:val="22"/>
                <w:lang w:eastAsia="en-US"/>
              </w:rPr>
              <w:t xml:space="preserve">области, </w:t>
            </w:r>
            <w:r>
              <w:rPr>
                <w:sz w:val="22"/>
                <w:szCs w:val="22"/>
              </w:rPr>
              <w:t>д. Матюнино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- 6, рекомендуемая плотность населения - 60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166,44</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Общеобразовательная школа проектной вместимостью 1400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3.59</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w:t>
            </w:r>
          </w:p>
          <w:p>
            <w:pPr>
              <w:pStyle w:val="Normal"/>
              <w:widowControl w:val="false"/>
              <w:jc w:val="center"/>
              <w:rPr>
                <w:sz w:val="22"/>
                <w:szCs w:val="22"/>
              </w:rPr>
            </w:pPr>
            <w:r>
              <w:rPr>
                <w:sz w:val="22"/>
                <w:szCs w:val="22"/>
                <w:lang w:eastAsia="en-US"/>
              </w:rPr>
              <w:t xml:space="preserve">области, </w:t>
            </w:r>
            <w:r>
              <w:rPr>
                <w:sz w:val="22"/>
                <w:szCs w:val="22"/>
              </w:rPr>
              <w:t>д. Тинино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Зона смешанной и общественно-деловой</w:t>
            </w:r>
          </w:p>
          <w:p>
            <w:pPr>
              <w:pStyle w:val="Normal"/>
              <w:widowControl w:val="false"/>
              <w:jc w:val="center"/>
              <w:rPr>
                <w:sz w:val="22"/>
                <w:szCs w:val="22"/>
              </w:rPr>
            </w:pPr>
            <w:r>
              <w:rPr>
                <w:sz w:val="22"/>
                <w:szCs w:val="22"/>
              </w:rPr>
              <w:t>застройки.</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не регламентируется,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27,31</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Общеобразовательная школа проектной вместимостью 160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3.60</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ул. Новая</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Производственные зоны, зоны инженерной и транспортной инфраструктур. Максимальный процент застройки - 50%. Предельное количество этажей - 4,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12,4</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Общеобразовательная школа проектной вместимостью 1100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3.61</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мкр. Анненки</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Общественно-деловые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- 5,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39,26</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Кадетский корпус проектной вместимостью до 1000 человек</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3.62</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в районе ул. Фомушина</w:t>
            </w:r>
          </w:p>
          <w:p>
            <w:pPr>
              <w:pStyle w:val="Normal"/>
              <w:widowControl w:val="false"/>
              <w:jc w:val="center"/>
              <w:rPr>
                <w:sz w:val="22"/>
                <w:szCs w:val="22"/>
              </w:rPr>
            </w:pPr>
            <w:r>
              <w:rPr>
                <w:sz w:val="22"/>
                <w:szCs w:val="22"/>
              </w:rPr>
              <w:t>(мкр. Правобережье)</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- 60%.</w:t>
            </w:r>
          </w:p>
          <w:p>
            <w:pPr>
              <w:pStyle w:val="Normal"/>
              <w:widowControl w:val="false"/>
              <w:jc w:val="center"/>
              <w:rPr>
                <w:sz w:val="22"/>
                <w:szCs w:val="22"/>
              </w:rPr>
            </w:pPr>
            <w:r>
              <w:rPr>
                <w:sz w:val="22"/>
                <w:szCs w:val="22"/>
              </w:rPr>
              <w:t>Предельное количество этажей - 2, рекомендуемая плотность населения - 435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52,53</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Здание дома</w:t>
              <w:br/>
              <w:t>творчества для занятий с детьми, трафик до</w:t>
            </w:r>
          </w:p>
          <w:p>
            <w:pPr>
              <w:pStyle w:val="Normal"/>
              <w:widowControl w:val="false"/>
              <w:jc w:val="center"/>
              <w:rPr>
                <w:sz w:val="22"/>
                <w:szCs w:val="22"/>
              </w:rPr>
            </w:pPr>
            <w:r>
              <w:rPr>
                <w:sz w:val="22"/>
                <w:szCs w:val="22"/>
              </w:rPr>
              <w:t>40000 детей /месяц, проектная вместимость - 1300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3.63</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б-р Сиреневый</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Общественно-деловые зоны. Максимальный процент застройки - 50%. Предельное количество этажей - 5,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3,18</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Школа искусств проектной вместимостью 500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3.64</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Центр повышения</w:t>
            </w:r>
          </w:p>
          <w:p>
            <w:pPr>
              <w:pStyle w:val="Normal"/>
              <w:widowControl w:val="false"/>
              <w:jc w:val="center"/>
              <w:rPr>
                <w:sz w:val="22"/>
                <w:szCs w:val="22"/>
              </w:rPr>
            </w:pPr>
            <w:r>
              <w:rPr>
                <w:sz w:val="22"/>
                <w:szCs w:val="22"/>
              </w:rPr>
              <w:t>квалификации кадров среднего профессионального образования</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Производственные зоны, зоны инженерной и транспортной инфраструктур.</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- 4,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106,16</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Центр повышения квалификации кадров среднего профессионального образования проектной мощностью</w:t>
            </w:r>
          </w:p>
          <w:p>
            <w:pPr>
              <w:pStyle w:val="Default1"/>
              <w:widowControl w:val="false"/>
              <w:jc w:val="center"/>
              <w:rPr>
                <w:sz w:val="22"/>
                <w:szCs w:val="22"/>
              </w:rPr>
            </w:pPr>
            <w:r>
              <w:rPr>
                <w:color w:val="auto"/>
                <w:sz w:val="22"/>
                <w:szCs w:val="22"/>
              </w:rPr>
              <w:t>960 обучающихся в смену/чел.;</w:t>
            </w:r>
          </w:p>
          <w:p>
            <w:pPr>
              <w:pStyle w:val="Default1"/>
              <w:widowControl w:val="false"/>
              <w:jc w:val="center"/>
              <w:rPr>
                <w:sz w:val="22"/>
                <w:szCs w:val="22"/>
              </w:rPr>
            </w:pPr>
            <w:r>
              <w:rPr>
                <w:color w:val="auto"/>
                <w:sz w:val="22"/>
                <w:szCs w:val="22"/>
              </w:rPr>
              <w:t>140 чел. - преподавательского состава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p>
            <w:pPr>
              <w:pStyle w:val="Normal"/>
              <w:widowControl w:val="false"/>
              <w:jc w:val="center"/>
              <w:rPr/>
            </w:pPr>
            <w:r>
              <w:rPr>
                <w:sz w:val="22"/>
                <w:szCs w:val="22"/>
                <w:lang w:eastAsia="en-US"/>
              </w:rPr>
              <w:t>(Реализо-ван)</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3.65</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мкр. Кубяка</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- 45%.</w:t>
            </w:r>
          </w:p>
          <w:p>
            <w:pPr>
              <w:pStyle w:val="Normal"/>
              <w:widowControl w:val="false"/>
              <w:jc w:val="center"/>
              <w:rPr>
                <w:sz w:val="22"/>
                <w:szCs w:val="22"/>
              </w:rPr>
            </w:pPr>
            <w:r>
              <w:rPr>
                <w:sz w:val="22"/>
                <w:szCs w:val="22"/>
              </w:rPr>
              <w:t>Предельное количество этажей - 4, рекомендуемая плотность населения - 345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11,08</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Физкультурно-оздоровительный комплекс пропускной способностью до 200 человек</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3.66</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3-й Академический проезд</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Максимальный процент застройки - 25%.</w:t>
            </w:r>
          </w:p>
          <w:p>
            <w:pPr>
              <w:pStyle w:val="Normal"/>
              <w:widowControl w:val="false"/>
              <w:jc w:val="center"/>
              <w:rPr>
                <w:sz w:val="22"/>
                <w:szCs w:val="22"/>
              </w:rPr>
            </w:pPr>
            <w:r>
              <w:rPr>
                <w:sz w:val="22"/>
                <w:szCs w:val="22"/>
              </w:rPr>
              <w:t>Предельное количество этажей - 4, рекомендуемая плотность населения - 435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37,11</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Физкультурно-оздоровительный комплекс пропускной способностью до 100 человек</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3.67</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мкр. Северный, г. Калуга,  район улиц Тепличная, Дорожная, Новая</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- 45%.</w:t>
            </w:r>
          </w:p>
          <w:p>
            <w:pPr>
              <w:pStyle w:val="Normal"/>
              <w:widowControl w:val="false"/>
              <w:jc w:val="center"/>
              <w:rPr>
                <w:sz w:val="22"/>
                <w:szCs w:val="22"/>
              </w:rPr>
            </w:pPr>
            <w:r>
              <w:rPr>
                <w:sz w:val="22"/>
                <w:szCs w:val="22"/>
              </w:rPr>
              <w:t>Предельное количество этажей - 4, рекомендуемая плотность населения - 435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51,36</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Спортивный комплекс пропускной способностью до 100 человек</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3.68</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мкр. Северный, г. Калуга,  район улиц Тепличная, Дорожная, Новая</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- 45%.</w:t>
            </w:r>
          </w:p>
          <w:p>
            <w:pPr>
              <w:pStyle w:val="Normal"/>
              <w:widowControl w:val="false"/>
              <w:jc w:val="center"/>
              <w:rPr>
                <w:sz w:val="22"/>
                <w:szCs w:val="22"/>
              </w:rPr>
            </w:pPr>
            <w:r>
              <w:rPr>
                <w:sz w:val="22"/>
                <w:szCs w:val="22"/>
              </w:rPr>
              <w:t>Предельное количество этажей - 4, рекомендуемая плотность населения - 435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51,36</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Плоскостное спортивное сооружение (в том числе спортивные (игровые) площадки; спортивные поля, включая футбольные поля), пропускной способностью до 200 человек</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3.69</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Грабцевское шоссе, д.93</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Общественно-деловые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- 3,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8,37</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Спортивное сооружение пропускной способностью до 10 человек</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3.70</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в мкр. Турынино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- 45%.</w:t>
            </w:r>
          </w:p>
          <w:p>
            <w:pPr>
              <w:pStyle w:val="Normal"/>
              <w:widowControl w:val="false"/>
              <w:jc w:val="center"/>
              <w:rPr>
                <w:sz w:val="22"/>
                <w:szCs w:val="22"/>
              </w:rPr>
            </w:pPr>
            <w:r>
              <w:rPr>
                <w:sz w:val="22"/>
                <w:szCs w:val="22"/>
              </w:rPr>
              <w:t>Предельное количество этажей - 2, рекомендуемая плотность населения - 345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47,9</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Комплексная спортивная площадка с искусственным покрытием пропускной способностью до 50 человек</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3.71</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 лицея № 36</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- 45%.</w:t>
            </w:r>
          </w:p>
          <w:p>
            <w:pPr>
              <w:pStyle w:val="Normal"/>
              <w:widowControl w:val="false"/>
              <w:jc w:val="center"/>
              <w:rPr>
                <w:sz w:val="22"/>
                <w:szCs w:val="22"/>
              </w:rPr>
            </w:pPr>
            <w:r>
              <w:rPr>
                <w:sz w:val="22"/>
                <w:szCs w:val="22"/>
              </w:rPr>
              <w:t>Предельное количество этажей - 2, рекомендуемая плотность населения - 280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47,97</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Комплексная спортивная площадка с искусственным покрытием пропускной способностью до 100 человек</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3.72</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ул. Подгорная</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- 45%.</w:t>
            </w:r>
          </w:p>
          <w:p>
            <w:pPr>
              <w:pStyle w:val="Normal"/>
              <w:widowControl w:val="false"/>
              <w:jc w:val="center"/>
              <w:rPr>
                <w:sz w:val="22"/>
                <w:szCs w:val="22"/>
              </w:rPr>
            </w:pPr>
            <w:r>
              <w:rPr>
                <w:sz w:val="22"/>
                <w:szCs w:val="22"/>
              </w:rPr>
              <w:t>Предельное количество этажей - 2, рекомендуемая плотность населения - 280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4,6</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Комплексная спортивная площадка с искусственным покрытием пропускной способностью до 100 человек</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3.73</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мкр. Куровской, пр. Мира</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- 45%.</w:t>
            </w:r>
          </w:p>
          <w:p>
            <w:pPr>
              <w:pStyle w:val="Normal"/>
              <w:widowControl w:val="false"/>
              <w:jc w:val="center"/>
              <w:rPr>
                <w:sz w:val="22"/>
                <w:szCs w:val="22"/>
              </w:rPr>
            </w:pPr>
            <w:r>
              <w:rPr>
                <w:sz w:val="22"/>
                <w:szCs w:val="22"/>
              </w:rPr>
              <w:t>Предельное количество этажей - 2, рекомендуемая плотность населения - 280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77,29</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color w:val="auto"/>
              </w:rPr>
            </w:pPr>
            <w:r>
              <w:rPr>
                <w:color w:val="auto"/>
                <w:sz w:val="22"/>
                <w:szCs w:val="22"/>
              </w:rPr>
              <w:t>Комплексная спортивная площадка с искусственным покрытием пропускной способностью до 100 человек</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3.74</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мкр. Куровской, на участке нового</w:t>
            </w:r>
          </w:p>
          <w:p>
            <w:pPr>
              <w:pStyle w:val="Normal"/>
              <w:widowControl w:val="false"/>
              <w:jc w:val="center"/>
              <w:rPr>
                <w:sz w:val="22"/>
                <w:szCs w:val="22"/>
              </w:rPr>
            </w:pPr>
            <w:r>
              <w:rPr>
                <w:sz w:val="22"/>
                <w:szCs w:val="22"/>
              </w:rPr>
              <w:t>строительства</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- 45%.</w:t>
            </w:r>
          </w:p>
          <w:p>
            <w:pPr>
              <w:pStyle w:val="Normal"/>
              <w:widowControl w:val="false"/>
              <w:jc w:val="center"/>
              <w:rPr>
                <w:sz w:val="22"/>
                <w:szCs w:val="22"/>
              </w:rPr>
            </w:pPr>
            <w:r>
              <w:rPr>
                <w:sz w:val="22"/>
                <w:szCs w:val="22"/>
              </w:rPr>
              <w:t>Предельное количество этажей - 2, рекомендуемая плотность населения - 280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77,29</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color w:val="auto"/>
              </w:rPr>
            </w:pPr>
            <w:r>
              <w:rPr>
                <w:color w:val="auto"/>
                <w:sz w:val="22"/>
                <w:szCs w:val="22"/>
              </w:rPr>
              <w:t>Комплексная спортивная площадка с искусственным покрытием пропускной способностью до 100 человек</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3.75</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городской округ</w:t>
            </w:r>
          </w:p>
          <w:p>
            <w:pPr>
              <w:pStyle w:val="Normal"/>
              <w:widowControl w:val="false"/>
              <w:jc w:val="center"/>
              <w:rPr>
                <w:sz w:val="22"/>
                <w:szCs w:val="22"/>
              </w:rPr>
            </w:pPr>
            <w:r>
              <w:rPr>
                <w:sz w:val="22"/>
                <w:szCs w:val="22"/>
              </w:rPr>
              <w:t>город Калуга</w:t>
            </w:r>
          </w:p>
          <w:p>
            <w:pPr>
              <w:pStyle w:val="Normal"/>
              <w:widowControl w:val="false"/>
              <w:jc w:val="center"/>
              <w:rPr>
                <w:sz w:val="22"/>
                <w:szCs w:val="22"/>
              </w:rPr>
            </w:pPr>
            <w:r>
              <w:rPr>
                <w:sz w:val="22"/>
                <w:szCs w:val="22"/>
              </w:rPr>
              <w:t>Калужской области,</w:t>
            </w:r>
          </w:p>
          <w:p>
            <w:pPr>
              <w:pStyle w:val="Normal"/>
              <w:widowControl w:val="false"/>
              <w:jc w:val="center"/>
              <w:rPr>
                <w:sz w:val="22"/>
                <w:szCs w:val="22"/>
              </w:rPr>
            </w:pPr>
            <w:r>
              <w:rPr>
                <w:sz w:val="22"/>
                <w:szCs w:val="22"/>
              </w:rPr>
              <w:t>д. Яглово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- 45%.</w:t>
            </w:r>
          </w:p>
          <w:p>
            <w:pPr>
              <w:pStyle w:val="Normal"/>
              <w:widowControl w:val="false"/>
              <w:jc w:val="center"/>
              <w:rPr>
                <w:sz w:val="22"/>
                <w:szCs w:val="22"/>
              </w:rPr>
            </w:pPr>
            <w:r>
              <w:rPr>
                <w:sz w:val="22"/>
                <w:szCs w:val="22"/>
              </w:rPr>
              <w:t>Предельное количество этажей - 2, рекомендуемая плотность населения - 60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84,06</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Комплексная спортивная площадка с искусственным покрытием пропускной способностью до 100 человек</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3.76</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w:t>
            </w:r>
          </w:p>
          <w:p>
            <w:pPr>
              <w:pStyle w:val="Normal"/>
              <w:widowControl w:val="false"/>
              <w:jc w:val="center"/>
              <w:rPr>
                <w:sz w:val="22"/>
                <w:szCs w:val="22"/>
              </w:rPr>
            </w:pPr>
            <w:r>
              <w:rPr>
                <w:sz w:val="22"/>
                <w:szCs w:val="22"/>
                <w:lang w:eastAsia="en-US"/>
              </w:rPr>
              <w:t>город Калуга</w:t>
            </w:r>
          </w:p>
          <w:p>
            <w:pPr>
              <w:pStyle w:val="Normal"/>
              <w:widowControl w:val="false"/>
              <w:jc w:val="center"/>
              <w:rPr>
                <w:sz w:val="22"/>
                <w:szCs w:val="22"/>
              </w:rPr>
            </w:pPr>
            <w:r>
              <w:rPr>
                <w:sz w:val="22"/>
                <w:szCs w:val="22"/>
                <w:lang w:eastAsia="en-US"/>
              </w:rPr>
              <w:t xml:space="preserve">Калужской области, </w:t>
            </w:r>
            <w:r>
              <w:rPr>
                <w:sz w:val="22"/>
                <w:szCs w:val="22"/>
              </w:rPr>
              <w:t>д. Марьино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- 45%.</w:t>
            </w:r>
          </w:p>
          <w:p>
            <w:pPr>
              <w:pStyle w:val="Normal"/>
              <w:widowControl w:val="false"/>
              <w:jc w:val="center"/>
              <w:rPr>
                <w:sz w:val="22"/>
                <w:szCs w:val="22"/>
              </w:rPr>
            </w:pPr>
            <w:r>
              <w:rPr>
                <w:sz w:val="22"/>
                <w:szCs w:val="22"/>
              </w:rPr>
              <w:t>Предельное количество этажей - 2, рекомендуемая плотность населения - 60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87,05</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color w:val="auto"/>
              </w:rPr>
            </w:pPr>
            <w:r>
              <w:rPr>
                <w:color w:val="auto"/>
                <w:sz w:val="22"/>
                <w:szCs w:val="22"/>
              </w:rPr>
              <w:t>Комплексная спортивная площадка с искусственным покрытием пропускной способностью до 100 человек</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3.77</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left="-108"/>
              <w:jc w:val="center"/>
              <w:rPr>
                <w:sz w:val="22"/>
                <w:szCs w:val="22"/>
              </w:rPr>
            </w:pPr>
            <w:r>
              <w:rPr>
                <w:sz w:val="22"/>
                <w:szCs w:val="22"/>
              </w:rPr>
              <w:t>г. Калуга,</w:t>
            </w:r>
          </w:p>
          <w:p>
            <w:pPr>
              <w:pStyle w:val="Normal"/>
              <w:widowControl w:val="false"/>
              <w:ind w:hanging="0" w:left="-108"/>
              <w:jc w:val="center"/>
              <w:rPr>
                <w:sz w:val="22"/>
                <w:szCs w:val="22"/>
              </w:rPr>
            </w:pPr>
            <w:r>
              <w:rPr>
                <w:sz w:val="22"/>
                <w:szCs w:val="22"/>
              </w:rPr>
              <w:t>район ул. Университетская</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18"/>
              <w:jc w:val="center"/>
              <w:rPr>
                <w:sz w:val="22"/>
                <w:szCs w:val="22"/>
              </w:rPr>
            </w:pPr>
            <w:r>
              <w:rPr>
                <w:sz w:val="22"/>
                <w:szCs w:val="22"/>
              </w:rPr>
              <w:t>Зоны рекреационного назначения.</w:t>
            </w:r>
          </w:p>
          <w:p>
            <w:pPr>
              <w:pStyle w:val="Normal"/>
              <w:widowControl w:val="false"/>
              <w:jc w:val="center"/>
              <w:rPr>
                <w:sz w:val="22"/>
                <w:szCs w:val="22"/>
              </w:rPr>
            </w:pPr>
            <w:r>
              <w:rPr>
                <w:sz w:val="22"/>
                <w:szCs w:val="22"/>
              </w:rPr>
              <w:t>Максимальный процент застройки – не регламентируется.</w:t>
            </w:r>
          </w:p>
          <w:p>
            <w:pPr>
              <w:pStyle w:val="Normal"/>
              <w:widowControl w:val="false"/>
              <w:jc w:val="center"/>
              <w:rPr>
                <w:sz w:val="22"/>
                <w:szCs w:val="22"/>
              </w:rPr>
            </w:pPr>
            <w:r>
              <w:rPr>
                <w:sz w:val="22"/>
                <w:szCs w:val="22"/>
              </w:rPr>
              <w:t>Предельное количество этажей – не регламентируется,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2,24</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Многофункциональ-ный спортивный комплекс пропускной способностью до 200 человек</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3.78</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Верховая</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18"/>
              <w:jc w:val="center"/>
              <w:rPr>
                <w:sz w:val="22"/>
                <w:szCs w:val="22"/>
              </w:rPr>
            </w:pPr>
            <w:r>
              <w:rPr>
                <w:sz w:val="22"/>
                <w:szCs w:val="22"/>
              </w:rPr>
              <w:t>Жилые зоны. Максимальный процент застройки - 45%. Предельное количество этажей - 2, рекомендуемая плотность населения - 60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3,98</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«Фиджитл Центр»</w:t>
            </w:r>
          </w:p>
          <w:p>
            <w:pPr>
              <w:pStyle w:val="Default1"/>
              <w:widowControl w:val="false"/>
              <w:jc w:val="center"/>
              <w:rPr>
                <w:sz w:val="22"/>
                <w:szCs w:val="22"/>
              </w:rPr>
            </w:pPr>
            <w:r>
              <w:rPr>
                <w:color w:val="auto"/>
                <w:sz w:val="22"/>
                <w:szCs w:val="22"/>
              </w:rPr>
              <w:t>пропускной способностью до 200 чел./час</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3.79</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в квартале, ограниченном улицами: Московская, Инженерная, Бутомы, Переходная</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18"/>
              <w:jc w:val="center"/>
              <w:rPr>
                <w:sz w:val="22"/>
                <w:szCs w:val="22"/>
              </w:rPr>
            </w:pPr>
            <w:r>
              <w:rPr>
                <w:sz w:val="22"/>
                <w:szCs w:val="22"/>
              </w:rPr>
              <w:t>Общественно-деловые зоны. Максимальный процент застройки - 50%. Предельное количество этажей - 6,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5,84</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Центр единоборств пропускной способностью до 100 чел./час</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3.80</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rPr>
              <w:t>г. Калуга, мкр. Анненки</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Общественно-деловые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- 6,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38,19</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Медицинский центр проектной мощностью от 200 посещений в смену, с мощностью дневного стационара 50 мест</w:t>
            </w:r>
          </w:p>
          <w:p>
            <w:pPr>
              <w:pStyle w:val="Default1"/>
              <w:widowControl w:val="false"/>
              <w:jc w:val="center"/>
              <w:rPr>
                <w:sz w:val="22"/>
                <w:szCs w:val="22"/>
              </w:rPr>
            </w:pPr>
            <w:r>
              <w:rPr>
                <w:color w:val="auto"/>
                <w:sz w:val="22"/>
                <w:szCs w:val="22"/>
              </w:rPr>
              <w:t>(3 объекта)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3.81</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мкр. Северный, г. Калуга,  район улиц Тепличная, Дорожная, Новая</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- 8, рекомендуемая плотность населения - 435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51,36</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Многопрофильный медицинский центр проектной мощностью 200 посещений в смену, мощностью дневного стационара 20 коек</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3.82</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в районе д. 24 по ул. Фомушина</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Общественно-деловые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- 5,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1,24</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Многопрофильный медицинский центр проектной мощности 400 посещений в смену с поликлиническим отделением</w:t>
            </w:r>
          </w:p>
          <w:p>
            <w:pPr>
              <w:pStyle w:val="Default1"/>
              <w:widowControl w:val="false"/>
              <w:jc w:val="center"/>
              <w:rPr>
                <w:sz w:val="22"/>
                <w:szCs w:val="22"/>
              </w:rPr>
            </w:pPr>
            <w:r>
              <w:rPr>
                <w:color w:val="auto"/>
                <w:sz w:val="22"/>
                <w:szCs w:val="22"/>
              </w:rPr>
              <w:t>на 20 коек</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3.83</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мкр. Северный, г. Калуга,  район улиц Тепличная, Дорожная, Новая</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- 8, рекомендуемая плотность населения - 435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22,96</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Поликлиника проектной мощностью</w:t>
            </w:r>
          </w:p>
          <w:p>
            <w:pPr>
              <w:pStyle w:val="Default1"/>
              <w:widowControl w:val="false"/>
              <w:jc w:val="center"/>
              <w:rPr>
                <w:sz w:val="22"/>
                <w:szCs w:val="22"/>
              </w:rPr>
            </w:pPr>
            <w:r>
              <w:rPr>
                <w:color w:val="auto"/>
                <w:sz w:val="22"/>
                <w:szCs w:val="22"/>
              </w:rPr>
              <w:t>770 посещений в смену, мощностью дневного</w:t>
            </w:r>
          </w:p>
          <w:p>
            <w:pPr>
              <w:pStyle w:val="Default1"/>
              <w:widowControl w:val="false"/>
              <w:jc w:val="center"/>
              <w:rPr>
                <w:sz w:val="22"/>
                <w:szCs w:val="22"/>
              </w:rPr>
            </w:pPr>
            <w:r>
              <w:rPr>
                <w:color w:val="auto"/>
                <w:sz w:val="22"/>
                <w:szCs w:val="22"/>
              </w:rPr>
              <w:t>стационара 50 коек</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3.84</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район ул. Полесская</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Зона смешанной и общественно-деловой</w:t>
            </w:r>
          </w:p>
          <w:p>
            <w:pPr>
              <w:pStyle w:val="Normal"/>
              <w:widowControl w:val="false"/>
              <w:jc w:val="center"/>
              <w:rPr>
                <w:sz w:val="22"/>
                <w:szCs w:val="22"/>
              </w:rPr>
            </w:pPr>
            <w:r>
              <w:rPr>
                <w:sz w:val="22"/>
                <w:szCs w:val="22"/>
              </w:rPr>
              <w:t>застройки.</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- 7/6,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25,96</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Поликлиника проектной мощностью</w:t>
            </w:r>
          </w:p>
          <w:p>
            <w:pPr>
              <w:pStyle w:val="Default1"/>
              <w:widowControl w:val="false"/>
              <w:jc w:val="center"/>
              <w:rPr>
                <w:sz w:val="22"/>
                <w:szCs w:val="22"/>
              </w:rPr>
            </w:pPr>
            <w:r>
              <w:rPr>
                <w:color w:val="auto"/>
                <w:sz w:val="22"/>
                <w:szCs w:val="22"/>
              </w:rPr>
              <w:t>600 посещений в смену,</w:t>
            </w:r>
          </w:p>
          <w:p>
            <w:pPr>
              <w:pStyle w:val="Default1"/>
              <w:widowControl w:val="false"/>
              <w:jc w:val="center"/>
              <w:rPr>
                <w:sz w:val="22"/>
                <w:szCs w:val="22"/>
              </w:rPr>
            </w:pPr>
            <w:r>
              <w:rPr>
                <w:color w:val="auto"/>
                <w:sz w:val="22"/>
                <w:szCs w:val="22"/>
              </w:rPr>
              <w:t>мощностью дневного стационара 50 коек</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3.85</w:t>
            </w:r>
          </w:p>
          <w:p>
            <w:pPr>
              <w:pStyle w:val="Normal"/>
              <w:widowControl w:val="false"/>
              <w:jc w:val="center"/>
              <w:rPr>
                <w:sz w:val="20"/>
                <w:szCs w:val="20"/>
                <w:lang w:eastAsia="en-US"/>
              </w:rPr>
            </w:pPr>
            <w:r>
              <w:rPr>
                <w:sz w:val="20"/>
                <w:szCs w:val="20"/>
                <w:lang w:eastAsia="en-US"/>
              </w:rPr>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ул. Московская</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- 8, рекомендуемая плотность населения - 435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24,02</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Медицинский центр</w:t>
            </w:r>
          </w:p>
          <w:p>
            <w:pPr>
              <w:pStyle w:val="Default1"/>
              <w:widowControl w:val="false"/>
              <w:jc w:val="center"/>
              <w:rPr>
                <w:sz w:val="22"/>
                <w:szCs w:val="22"/>
              </w:rPr>
            </w:pPr>
            <w:r>
              <w:rPr>
                <w:color w:val="auto"/>
                <w:sz w:val="22"/>
                <w:szCs w:val="22"/>
              </w:rPr>
              <w:t>проектной мощностью 160 посещений в смену, мощностью дневного стационара 10 коек</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3.86</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в районе</w:t>
            </w:r>
          </w:p>
          <w:p>
            <w:pPr>
              <w:pStyle w:val="Normal"/>
              <w:widowControl w:val="false"/>
              <w:jc w:val="center"/>
              <w:rPr>
                <w:sz w:val="22"/>
                <w:szCs w:val="22"/>
              </w:rPr>
            </w:pPr>
            <w:r>
              <w:rPr>
                <w:sz w:val="22"/>
                <w:szCs w:val="22"/>
              </w:rPr>
              <w:t>Городского бора (вне границ ООПТ Памятник природы «Городской бор»)</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Общественно-деловые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- 4,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0,83</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Хоспис проектной вместимостью и мощностью круглосуточного стационара от 100 мест, мощностью дневного стационара 20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3.87</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мкр. Анненки</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Общественно-деловые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- 6,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38,19</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Центр позитронно-эмиссионной и компьютерной томографии мощностью</w:t>
            </w:r>
          </w:p>
          <w:p>
            <w:pPr>
              <w:pStyle w:val="Default1"/>
              <w:widowControl w:val="false"/>
              <w:jc w:val="center"/>
              <w:rPr>
                <w:sz w:val="22"/>
                <w:szCs w:val="22"/>
              </w:rPr>
            </w:pPr>
            <w:r>
              <w:rPr>
                <w:color w:val="auto"/>
                <w:sz w:val="22"/>
                <w:szCs w:val="22"/>
              </w:rPr>
              <w:t>до 100 посещений в смену, мощностью дневного стационара 50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3.88</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ул. Карла Маркса, д. 6</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Общественно-деловые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- 6,</w:t>
            </w:r>
          </w:p>
          <w:p>
            <w:pPr>
              <w:pStyle w:val="Normal"/>
              <w:widowControl w:val="false"/>
              <w:jc w:val="center"/>
              <w:rPr>
                <w:sz w:val="22"/>
                <w:szCs w:val="22"/>
              </w:rPr>
            </w:pPr>
            <w:r>
              <w:rPr>
                <w:sz w:val="22"/>
                <w:szCs w:val="22"/>
              </w:rPr>
              <w:t>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3,24</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Государственное бюджетное учреждение культуры Калужской области «Калужский музей изобразительных искусств» (культурно-выставочный центр «Эрмитаж», планируемая ежедневная посещаемость –</w:t>
            </w:r>
          </w:p>
          <w:p>
            <w:pPr>
              <w:pStyle w:val="Default1"/>
              <w:widowControl w:val="false"/>
              <w:jc w:val="center"/>
              <w:rPr>
                <w:sz w:val="22"/>
                <w:szCs w:val="22"/>
              </w:rPr>
            </w:pPr>
            <w:r>
              <w:rPr>
                <w:color w:val="auto"/>
                <w:sz w:val="22"/>
                <w:szCs w:val="22"/>
              </w:rPr>
              <w:t>400 человек. Лекционный зал на</w:t>
            </w:r>
            <w:r>
              <w:rPr>
                <w:color w:val="auto"/>
                <w:sz w:val="22"/>
                <w:szCs w:val="22"/>
                <w:lang w:val="en-US"/>
              </w:rPr>
              <w:t> </w:t>
            </w:r>
            <w:r>
              <w:rPr>
                <w:color w:val="auto"/>
                <w:sz w:val="22"/>
                <w:szCs w:val="22"/>
              </w:rPr>
              <w:t>40</w:t>
            </w:r>
            <w:r>
              <w:rPr>
                <w:color w:val="auto"/>
                <w:sz w:val="22"/>
                <w:szCs w:val="22"/>
                <w:lang w:val="en-US"/>
              </w:rPr>
              <w:t> </w:t>
            </w:r>
            <w:r>
              <w:rPr>
                <w:color w:val="auto"/>
                <w:sz w:val="22"/>
                <w:szCs w:val="22"/>
              </w:rPr>
              <w:t>человек</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570"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3.89</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w:t>
            </w:r>
          </w:p>
          <w:p>
            <w:pPr>
              <w:pStyle w:val="Normal"/>
              <w:widowControl w:val="false"/>
              <w:jc w:val="center"/>
              <w:rPr>
                <w:sz w:val="22"/>
                <w:szCs w:val="22"/>
              </w:rPr>
            </w:pPr>
            <w:r>
              <w:rPr>
                <w:sz w:val="22"/>
                <w:szCs w:val="22"/>
                <w:lang w:eastAsia="en-US"/>
              </w:rPr>
              <w:t xml:space="preserve">области, </w:t>
            </w:r>
            <w:r>
              <w:rPr>
                <w:sz w:val="22"/>
                <w:szCs w:val="22"/>
              </w:rPr>
              <w:t>в районе</w:t>
            </w:r>
          </w:p>
          <w:p>
            <w:pPr>
              <w:pStyle w:val="Normal"/>
              <w:widowControl w:val="false"/>
              <w:jc w:val="center"/>
              <w:rPr>
                <w:sz w:val="22"/>
                <w:szCs w:val="22"/>
              </w:rPr>
            </w:pPr>
            <w:r>
              <w:rPr>
                <w:sz w:val="22"/>
                <w:szCs w:val="22"/>
              </w:rPr>
              <w:t>д. Марьино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Зона кладбищ.</w:t>
            </w:r>
          </w:p>
          <w:p>
            <w:pPr>
              <w:pStyle w:val="Normal"/>
              <w:widowControl w:val="false"/>
              <w:jc w:val="center"/>
              <w:rPr>
                <w:sz w:val="22"/>
                <w:szCs w:val="22"/>
              </w:rPr>
            </w:pPr>
            <w:r>
              <w:rPr>
                <w:sz w:val="22"/>
                <w:szCs w:val="22"/>
              </w:rPr>
              <w:t>Иные параметры зоны не регламентируются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18,0</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Кладбище</w:t>
            </w:r>
          </w:p>
          <w:p>
            <w:pPr>
              <w:pStyle w:val="Default1"/>
              <w:widowControl w:val="false"/>
              <w:jc w:val="center"/>
              <w:rPr>
                <w:sz w:val="22"/>
                <w:szCs w:val="22"/>
              </w:rPr>
            </w:pPr>
            <w:r>
              <w:rPr>
                <w:color w:val="auto"/>
                <w:sz w:val="22"/>
                <w:szCs w:val="22"/>
              </w:rPr>
              <w:t>площадью 18 га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3.90</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w:t>
            </w:r>
          </w:p>
          <w:p>
            <w:pPr>
              <w:pStyle w:val="Normal"/>
              <w:widowControl w:val="false"/>
              <w:jc w:val="center"/>
              <w:rPr>
                <w:sz w:val="22"/>
                <w:szCs w:val="22"/>
              </w:rPr>
            </w:pPr>
            <w:r>
              <w:rPr>
                <w:sz w:val="22"/>
                <w:szCs w:val="22"/>
                <w:lang w:eastAsia="en-US"/>
              </w:rPr>
              <w:t>город Калуга Калужской области,</w:t>
            </w:r>
          </w:p>
          <w:p>
            <w:pPr>
              <w:pStyle w:val="Normal"/>
              <w:widowControl w:val="false"/>
              <w:jc w:val="center"/>
              <w:rPr>
                <w:sz w:val="22"/>
                <w:szCs w:val="22"/>
              </w:rPr>
            </w:pPr>
            <w:r>
              <w:rPr>
                <w:sz w:val="22"/>
                <w:szCs w:val="22"/>
              </w:rPr>
              <w:t>з/у с</w:t>
            </w:r>
            <w:r>
              <w:rPr>
                <w:sz w:val="22"/>
                <w:szCs w:val="22"/>
                <w:lang w:val="en-US"/>
              </w:rPr>
              <w:t xml:space="preserve"> </w:t>
            </w:r>
            <w:r>
              <w:rPr>
                <w:sz w:val="22"/>
                <w:szCs w:val="22"/>
              </w:rPr>
              <w:t>К№</w:t>
            </w:r>
            <w:r>
              <w:rPr>
                <w:sz w:val="22"/>
                <w:szCs w:val="22"/>
                <w:lang w:val="en-US"/>
              </w:rPr>
              <w:t xml:space="preserve"> </w:t>
            </w:r>
            <w:r>
              <w:rPr>
                <w:sz w:val="22"/>
                <w:szCs w:val="22"/>
              </w:rPr>
              <w:t>40:26:000099:679</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Зона кладбищ.</w:t>
            </w:r>
          </w:p>
          <w:p>
            <w:pPr>
              <w:pStyle w:val="Normal"/>
              <w:widowControl w:val="false"/>
              <w:jc w:val="center"/>
              <w:rPr>
                <w:sz w:val="22"/>
                <w:szCs w:val="22"/>
              </w:rPr>
            </w:pPr>
            <w:r>
              <w:rPr>
                <w:sz w:val="22"/>
                <w:szCs w:val="22"/>
              </w:rPr>
              <w:t>Иные параметры зоны не регламентируются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13,51</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Крематории с одной однокамерной печью</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3.91</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в районе</w:t>
            </w:r>
          </w:p>
          <w:p>
            <w:pPr>
              <w:pStyle w:val="Normal"/>
              <w:widowControl w:val="false"/>
              <w:jc w:val="center"/>
              <w:rPr>
                <w:sz w:val="22"/>
                <w:szCs w:val="22"/>
              </w:rPr>
            </w:pPr>
            <w:r>
              <w:rPr>
                <w:sz w:val="22"/>
                <w:szCs w:val="22"/>
              </w:rPr>
              <w:t>мкр. Кукареки</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Производственные зоны, зоны инженерной и транспортной инфраструктур.</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- 5,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43,34</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Автозаправочная станция до 3 топливных колонок</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3.92</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в районе мкр. Куровской</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Производственные зоны, зоны инженерной и транспортной инфраструктур.</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- 5,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100,3</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Автозаправочная станция до 3 топливных колонок</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3.93</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w:t>
            </w:r>
          </w:p>
          <w:p>
            <w:pPr>
              <w:pStyle w:val="Normal"/>
              <w:widowControl w:val="false"/>
              <w:jc w:val="center"/>
              <w:rPr>
                <w:sz w:val="22"/>
                <w:szCs w:val="22"/>
              </w:rPr>
            </w:pPr>
            <w:r>
              <w:rPr>
                <w:sz w:val="22"/>
                <w:szCs w:val="22"/>
                <w:lang w:eastAsia="en-US"/>
              </w:rPr>
              <w:t xml:space="preserve">области, </w:t>
            </w:r>
            <w:r>
              <w:rPr>
                <w:sz w:val="22"/>
                <w:szCs w:val="22"/>
              </w:rPr>
              <w:t>в районе</w:t>
            </w:r>
          </w:p>
          <w:p>
            <w:pPr>
              <w:pStyle w:val="Normal"/>
              <w:widowControl w:val="false"/>
              <w:jc w:val="center"/>
              <w:rPr>
                <w:sz w:val="22"/>
                <w:szCs w:val="22"/>
              </w:rPr>
            </w:pPr>
            <w:r>
              <w:rPr>
                <w:sz w:val="22"/>
                <w:szCs w:val="22"/>
              </w:rPr>
              <w:t>c. Подстанция</w:t>
            </w:r>
          </w:p>
          <w:p>
            <w:pPr>
              <w:pStyle w:val="Normal"/>
              <w:widowControl w:val="false"/>
              <w:jc w:val="center"/>
              <w:rPr>
                <w:sz w:val="22"/>
                <w:szCs w:val="22"/>
              </w:rPr>
            </w:pPr>
            <w:r>
              <w:rPr>
                <w:sz w:val="22"/>
                <w:szCs w:val="22"/>
              </w:rPr>
              <w:t>Колюпановская</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Производственные зоны, зоны инженерной и транспортной инфраструктур.</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- 5,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307,37</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Автозаправочная станция до 3 топливных колонок</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3.94</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w:t>
            </w:r>
          </w:p>
          <w:p>
            <w:pPr>
              <w:pStyle w:val="Normal"/>
              <w:widowControl w:val="false"/>
              <w:jc w:val="center"/>
              <w:rPr>
                <w:sz w:val="22"/>
                <w:szCs w:val="22"/>
              </w:rPr>
            </w:pPr>
            <w:r>
              <w:rPr>
                <w:sz w:val="22"/>
                <w:szCs w:val="22"/>
                <w:lang w:eastAsia="en-US"/>
              </w:rPr>
              <w:t xml:space="preserve">области, </w:t>
            </w:r>
            <w:r>
              <w:rPr>
                <w:sz w:val="22"/>
                <w:szCs w:val="22"/>
              </w:rPr>
              <w:t>в районе</w:t>
            </w:r>
          </w:p>
          <w:p>
            <w:pPr>
              <w:pStyle w:val="Normal"/>
              <w:widowControl w:val="false"/>
              <w:jc w:val="center"/>
              <w:rPr>
                <w:sz w:val="22"/>
                <w:szCs w:val="22"/>
              </w:rPr>
            </w:pPr>
            <w:r>
              <w:rPr>
                <w:sz w:val="22"/>
                <w:szCs w:val="22"/>
              </w:rPr>
              <w:t>д. Чижовка</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Производственные зоны, зоны инженерной и транспортной инфраструктур.</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- 5,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298,85</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Автозаправочная станция до 3 топливных колонок</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3.95</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в районе</w:t>
            </w:r>
          </w:p>
          <w:p>
            <w:pPr>
              <w:pStyle w:val="Normal"/>
              <w:widowControl w:val="false"/>
              <w:jc w:val="center"/>
              <w:rPr>
                <w:sz w:val="22"/>
                <w:szCs w:val="22"/>
              </w:rPr>
            </w:pPr>
            <w:r>
              <w:rPr>
                <w:sz w:val="22"/>
                <w:szCs w:val="22"/>
              </w:rPr>
              <w:t>мкр. Анненки</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Производственные зоны, зоны инженерной и транспортной инфраструктур.</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- 5,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163,1</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Автозаправочная станция до 3 топливных колонок</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3.96</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район Правобережья</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Производственные зоны, зоны инженерной и транспортной инфраструктур.</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- 5,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76,08</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Строительство транспортного депо на 1000 ед. транспорта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3.97</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w:t>
            </w:r>
          </w:p>
          <w:p>
            <w:pPr>
              <w:pStyle w:val="Normal"/>
              <w:widowControl w:val="false"/>
              <w:jc w:val="center"/>
              <w:rPr>
                <w:sz w:val="22"/>
                <w:szCs w:val="22"/>
              </w:rPr>
            </w:pPr>
            <w:r>
              <w:rPr>
                <w:sz w:val="22"/>
                <w:szCs w:val="22"/>
                <w:lang w:eastAsia="en-US"/>
              </w:rPr>
              <w:t xml:space="preserve">области, </w:t>
            </w:r>
            <w:r>
              <w:rPr>
                <w:sz w:val="22"/>
                <w:szCs w:val="22"/>
              </w:rPr>
              <w:t>д. Нижняя Вырка</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сельскохозяйственного использования. Максимальный процент застройки – не регламентируется.</w:t>
            </w:r>
          </w:p>
          <w:p>
            <w:pPr>
              <w:pStyle w:val="Normal"/>
              <w:widowControl w:val="false"/>
              <w:jc w:val="center"/>
              <w:rPr>
                <w:sz w:val="22"/>
                <w:szCs w:val="22"/>
              </w:rPr>
            </w:pPr>
            <w:r>
              <w:rPr>
                <w:sz w:val="22"/>
                <w:szCs w:val="22"/>
              </w:rPr>
              <w:t>Предельное количество этажей – не регламентируется,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13,29</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Строительство комплекса сооружений водозабора (артезианской скважины, водонапорной башни, станции водоподготовки) производительностью до 4,8 тыс. куб. м/сут.</w:t>
            </w:r>
          </w:p>
          <w:p>
            <w:pPr>
              <w:pStyle w:val="Default1"/>
              <w:widowControl w:val="false"/>
              <w:jc w:val="center"/>
              <w:rPr>
                <w:sz w:val="22"/>
                <w:szCs w:val="22"/>
              </w:rPr>
            </w:pPr>
            <w:r>
              <w:rPr>
                <w:color w:val="auto"/>
                <w:sz w:val="22"/>
                <w:szCs w:val="22"/>
              </w:rPr>
              <w:t>объемом 50 куб. м</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3.98</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w:t>
            </w:r>
          </w:p>
          <w:p>
            <w:pPr>
              <w:pStyle w:val="Normal"/>
              <w:widowControl w:val="false"/>
              <w:jc w:val="center"/>
              <w:rPr>
                <w:sz w:val="22"/>
                <w:szCs w:val="22"/>
              </w:rPr>
            </w:pPr>
            <w:r>
              <w:rPr>
                <w:sz w:val="22"/>
                <w:szCs w:val="22"/>
                <w:lang w:eastAsia="en-US"/>
              </w:rPr>
              <w:t>области,</w:t>
            </w:r>
          </w:p>
          <w:p>
            <w:pPr>
              <w:pStyle w:val="Normal"/>
              <w:widowControl w:val="false"/>
              <w:jc w:val="center"/>
              <w:rPr>
                <w:sz w:val="22"/>
                <w:szCs w:val="22"/>
              </w:rPr>
            </w:pPr>
            <w:r>
              <w:rPr>
                <w:sz w:val="22"/>
                <w:szCs w:val="22"/>
              </w:rPr>
              <w:t>д. Большая Каменка</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w:t>
            </w:r>
          </w:p>
          <w:p>
            <w:pPr>
              <w:pStyle w:val="Normal"/>
              <w:widowControl w:val="false"/>
              <w:jc w:val="center"/>
              <w:rPr>
                <w:sz w:val="22"/>
                <w:szCs w:val="22"/>
              </w:rPr>
            </w:pPr>
            <w:r>
              <w:rPr>
                <w:sz w:val="22"/>
                <w:szCs w:val="22"/>
              </w:rPr>
              <w:t>Максимальный процент застройки – не регламентируется.</w:t>
            </w:r>
          </w:p>
          <w:p>
            <w:pPr>
              <w:pStyle w:val="Normal"/>
              <w:widowControl w:val="false"/>
              <w:jc w:val="center"/>
              <w:rPr>
                <w:sz w:val="22"/>
                <w:szCs w:val="22"/>
              </w:rPr>
            </w:pPr>
            <w:r>
              <w:rPr>
                <w:sz w:val="22"/>
                <w:szCs w:val="22"/>
              </w:rPr>
              <w:t>Предельное количество этажей – не регламентируется,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36,85</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Строительство комплекса сооружений водозабора (артезианской скважины, водонапорной башни, станции водоподготовки) производительностью до 4,8 тыс. куб. м/сут.</w:t>
            </w:r>
          </w:p>
          <w:p>
            <w:pPr>
              <w:pStyle w:val="Default1"/>
              <w:widowControl w:val="false"/>
              <w:jc w:val="center"/>
              <w:rPr>
                <w:sz w:val="22"/>
                <w:szCs w:val="22"/>
              </w:rPr>
            </w:pPr>
            <w:r>
              <w:rPr>
                <w:color w:val="auto"/>
                <w:sz w:val="22"/>
                <w:szCs w:val="22"/>
              </w:rPr>
              <w:t>объемом 50 куб. м</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3.99</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w:t>
            </w:r>
          </w:p>
          <w:p>
            <w:pPr>
              <w:pStyle w:val="Normal"/>
              <w:widowControl w:val="false"/>
              <w:jc w:val="center"/>
              <w:rPr>
                <w:sz w:val="22"/>
                <w:szCs w:val="22"/>
              </w:rPr>
            </w:pPr>
            <w:r>
              <w:rPr>
                <w:sz w:val="22"/>
                <w:szCs w:val="22"/>
                <w:lang w:eastAsia="en-US"/>
              </w:rPr>
              <w:t xml:space="preserve">области, </w:t>
            </w:r>
            <w:r>
              <w:rPr>
                <w:sz w:val="22"/>
                <w:szCs w:val="22"/>
              </w:rPr>
              <w:t>д. Лихун</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w:t>
            </w:r>
          </w:p>
          <w:p>
            <w:pPr>
              <w:pStyle w:val="Normal"/>
              <w:widowControl w:val="false"/>
              <w:jc w:val="center"/>
              <w:rPr>
                <w:sz w:val="22"/>
                <w:szCs w:val="22"/>
              </w:rPr>
            </w:pPr>
            <w:r>
              <w:rPr>
                <w:sz w:val="22"/>
                <w:szCs w:val="22"/>
              </w:rPr>
              <w:t>Максимальный процент застройки – не регламентируется.</w:t>
            </w:r>
          </w:p>
          <w:p>
            <w:pPr>
              <w:pStyle w:val="Normal"/>
              <w:widowControl w:val="false"/>
              <w:jc w:val="center"/>
              <w:rPr>
                <w:sz w:val="22"/>
                <w:szCs w:val="22"/>
              </w:rPr>
            </w:pPr>
            <w:r>
              <w:rPr>
                <w:sz w:val="22"/>
                <w:szCs w:val="22"/>
              </w:rPr>
              <w:t>Предельное количество этажей – не регламентируется,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125,43</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Строительство комплекса сооружений водозабора (артезианской скважины, водонапорной башни, станции водоподготовки) производительностью до 4,8 тыс. куб. м/сут.</w:t>
            </w:r>
          </w:p>
          <w:p>
            <w:pPr>
              <w:pStyle w:val="Default1"/>
              <w:widowControl w:val="false"/>
              <w:jc w:val="center"/>
              <w:rPr>
                <w:sz w:val="22"/>
                <w:szCs w:val="22"/>
              </w:rPr>
            </w:pPr>
            <w:r>
              <w:rPr>
                <w:color w:val="auto"/>
                <w:sz w:val="22"/>
                <w:szCs w:val="22"/>
              </w:rPr>
              <w:t>объемом 50 куб. м</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3.100</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w:t>
            </w:r>
          </w:p>
          <w:p>
            <w:pPr>
              <w:pStyle w:val="Normal"/>
              <w:widowControl w:val="false"/>
              <w:jc w:val="center"/>
              <w:rPr>
                <w:sz w:val="22"/>
                <w:szCs w:val="22"/>
              </w:rPr>
            </w:pPr>
            <w:r>
              <w:rPr>
                <w:sz w:val="22"/>
                <w:szCs w:val="22"/>
                <w:lang w:eastAsia="en-US"/>
              </w:rPr>
              <w:t xml:space="preserve">области, </w:t>
            </w:r>
            <w:r>
              <w:rPr>
                <w:sz w:val="22"/>
                <w:szCs w:val="22"/>
              </w:rPr>
              <w:t>д. Аргуново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w:t>
            </w:r>
          </w:p>
          <w:p>
            <w:pPr>
              <w:pStyle w:val="Normal"/>
              <w:widowControl w:val="false"/>
              <w:jc w:val="center"/>
              <w:rPr>
                <w:sz w:val="22"/>
                <w:szCs w:val="22"/>
              </w:rPr>
            </w:pPr>
            <w:r>
              <w:rPr>
                <w:sz w:val="22"/>
                <w:szCs w:val="22"/>
              </w:rPr>
              <w:t>Максимальный процент застройки – не регламентируется.</w:t>
            </w:r>
          </w:p>
          <w:p>
            <w:pPr>
              <w:pStyle w:val="Normal"/>
              <w:widowControl w:val="false"/>
              <w:jc w:val="center"/>
              <w:rPr>
                <w:sz w:val="22"/>
                <w:szCs w:val="22"/>
              </w:rPr>
            </w:pPr>
            <w:r>
              <w:rPr>
                <w:sz w:val="22"/>
                <w:szCs w:val="22"/>
              </w:rPr>
              <w:t>Предельное количество этажей – не регламентируется,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464,19</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Строительство комплекса сооружений водозабора (артезианской скважины, водонапорной башни, станции водоподготовки) производительностью до 4,8 тыс. куб. м/сут.</w:t>
            </w:r>
          </w:p>
          <w:p>
            <w:pPr>
              <w:pStyle w:val="Default1"/>
              <w:widowControl w:val="false"/>
              <w:jc w:val="center"/>
              <w:rPr>
                <w:sz w:val="22"/>
                <w:szCs w:val="22"/>
              </w:rPr>
            </w:pPr>
            <w:r>
              <w:rPr>
                <w:color w:val="auto"/>
                <w:sz w:val="22"/>
                <w:szCs w:val="22"/>
              </w:rPr>
              <w:t>объемом 50 куб. м</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3.101</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w:t>
            </w:r>
          </w:p>
          <w:p>
            <w:pPr>
              <w:pStyle w:val="Normal"/>
              <w:widowControl w:val="false"/>
              <w:jc w:val="center"/>
              <w:rPr>
                <w:sz w:val="22"/>
                <w:szCs w:val="22"/>
              </w:rPr>
            </w:pPr>
            <w:r>
              <w:rPr>
                <w:sz w:val="22"/>
                <w:szCs w:val="22"/>
                <w:lang w:eastAsia="en-US"/>
              </w:rPr>
              <w:t xml:space="preserve">области, </w:t>
            </w:r>
            <w:r>
              <w:rPr>
                <w:sz w:val="22"/>
                <w:szCs w:val="22"/>
              </w:rPr>
              <w:t>д. Петрово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w:t>
            </w:r>
          </w:p>
          <w:p>
            <w:pPr>
              <w:pStyle w:val="Normal"/>
              <w:widowControl w:val="false"/>
              <w:jc w:val="center"/>
              <w:rPr>
                <w:sz w:val="22"/>
                <w:szCs w:val="22"/>
              </w:rPr>
            </w:pPr>
            <w:r>
              <w:rPr>
                <w:sz w:val="22"/>
                <w:szCs w:val="22"/>
              </w:rPr>
              <w:t>Максимальный процент застройки – не регламентируется.</w:t>
            </w:r>
          </w:p>
          <w:p>
            <w:pPr>
              <w:pStyle w:val="Normal"/>
              <w:widowControl w:val="false"/>
              <w:jc w:val="center"/>
              <w:rPr>
                <w:sz w:val="22"/>
                <w:szCs w:val="22"/>
              </w:rPr>
            </w:pPr>
            <w:r>
              <w:rPr>
                <w:sz w:val="22"/>
                <w:szCs w:val="22"/>
              </w:rPr>
              <w:t>Предельное количество этажей – не регламентируется,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12,3</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Строительство комплекса сооружений водозабора (артезианской скважины, водонапорной башни, станции водоподготовки) производительностью до 4,8 тыс. куб. м/сут.</w:t>
            </w:r>
          </w:p>
          <w:p>
            <w:pPr>
              <w:pStyle w:val="Default1"/>
              <w:widowControl w:val="false"/>
              <w:jc w:val="center"/>
              <w:rPr>
                <w:sz w:val="22"/>
                <w:szCs w:val="22"/>
              </w:rPr>
            </w:pPr>
            <w:r>
              <w:rPr>
                <w:color w:val="auto"/>
                <w:sz w:val="22"/>
                <w:szCs w:val="22"/>
              </w:rPr>
              <w:t>объемом 50 куб. м</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3.102</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w:t>
            </w:r>
          </w:p>
          <w:p>
            <w:pPr>
              <w:pStyle w:val="Normal"/>
              <w:widowControl w:val="false"/>
              <w:jc w:val="center"/>
              <w:rPr>
                <w:sz w:val="22"/>
                <w:szCs w:val="22"/>
              </w:rPr>
            </w:pPr>
            <w:r>
              <w:rPr>
                <w:sz w:val="22"/>
                <w:szCs w:val="22"/>
                <w:lang w:eastAsia="en-US"/>
              </w:rPr>
              <w:t xml:space="preserve">области, </w:t>
            </w:r>
            <w:r>
              <w:rPr>
                <w:sz w:val="22"/>
                <w:szCs w:val="22"/>
              </w:rPr>
              <w:t>д. Косарево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сельскохозяйственного использования. Максимальный процент застройки – не регламентируется.</w:t>
            </w:r>
          </w:p>
          <w:p>
            <w:pPr>
              <w:pStyle w:val="Normal"/>
              <w:widowControl w:val="false"/>
              <w:jc w:val="center"/>
              <w:rPr>
                <w:sz w:val="22"/>
                <w:szCs w:val="22"/>
              </w:rPr>
            </w:pPr>
            <w:r>
              <w:rPr>
                <w:sz w:val="22"/>
                <w:szCs w:val="22"/>
              </w:rPr>
              <w:t>Предельное количество этажей – не регламентируется,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17,74</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Строительство комплекса сооружений водозабора (артезианской скважины, водонапорной башни, станции водоподготовки) производительностью до 4,8 тыс. куб. м/сут.</w:t>
            </w:r>
          </w:p>
          <w:p>
            <w:pPr>
              <w:pStyle w:val="Default1"/>
              <w:widowControl w:val="false"/>
              <w:jc w:val="center"/>
              <w:rPr>
                <w:sz w:val="22"/>
                <w:szCs w:val="22"/>
              </w:rPr>
            </w:pPr>
            <w:r>
              <w:rPr>
                <w:color w:val="auto"/>
                <w:sz w:val="22"/>
                <w:szCs w:val="22"/>
              </w:rPr>
              <w:t>объемом 50 куб. м</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3.103</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w:t>
            </w:r>
          </w:p>
          <w:p>
            <w:pPr>
              <w:pStyle w:val="Normal"/>
              <w:widowControl w:val="false"/>
              <w:jc w:val="center"/>
              <w:rPr>
                <w:sz w:val="22"/>
                <w:szCs w:val="22"/>
              </w:rPr>
            </w:pPr>
            <w:r>
              <w:rPr>
                <w:sz w:val="22"/>
                <w:szCs w:val="22"/>
                <w:lang w:eastAsia="en-US"/>
              </w:rPr>
              <w:t xml:space="preserve">области, </w:t>
            </w:r>
            <w:r>
              <w:rPr>
                <w:sz w:val="22"/>
                <w:szCs w:val="22"/>
              </w:rPr>
              <w:t>д. Заречье</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w:t>
            </w:r>
          </w:p>
          <w:p>
            <w:pPr>
              <w:pStyle w:val="Normal"/>
              <w:widowControl w:val="false"/>
              <w:jc w:val="center"/>
              <w:rPr>
                <w:sz w:val="22"/>
                <w:szCs w:val="22"/>
              </w:rPr>
            </w:pPr>
            <w:r>
              <w:rPr>
                <w:sz w:val="22"/>
                <w:szCs w:val="22"/>
              </w:rPr>
              <w:t>Максимальный процент застройки – не регламентируется.</w:t>
            </w:r>
          </w:p>
          <w:p>
            <w:pPr>
              <w:pStyle w:val="Normal"/>
              <w:widowControl w:val="false"/>
              <w:jc w:val="center"/>
              <w:rPr>
                <w:sz w:val="22"/>
                <w:szCs w:val="22"/>
              </w:rPr>
            </w:pPr>
            <w:r>
              <w:rPr>
                <w:sz w:val="22"/>
                <w:szCs w:val="22"/>
              </w:rPr>
              <w:t>Предельное количество этажей – не регламентируется,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87,89</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Строительство комплекса сооружений водозабора (артезианской скважины, водонапорной башни, станции водоподготовки) производительностью до 4,8 тыс. куб. м/сут.</w:t>
            </w:r>
          </w:p>
          <w:p>
            <w:pPr>
              <w:pStyle w:val="Default1"/>
              <w:widowControl w:val="false"/>
              <w:jc w:val="center"/>
              <w:rPr>
                <w:sz w:val="22"/>
                <w:szCs w:val="22"/>
              </w:rPr>
            </w:pPr>
            <w:r>
              <w:rPr>
                <w:color w:val="auto"/>
                <w:sz w:val="22"/>
                <w:szCs w:val="22"/>
              </w:rPr>
              <w:t>объемом 50 куб. м</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3.104</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Нижняя Вырка</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w:t>
            </w:r>
          </w:p>
          <w:p>
            <w:pPr>
              <w:pStyle w:val="Normal"/>
              <w:widowControl w:val="false"/>
              <w:jc w:val="center"/>
              <w:rPr>
                <w:sz w:val="22"/>
                <w:szCs w:val="22"/>
              </w:rPr>
            </w:pPr>
            <w:r>
              <w:rPr>
                <w:sz w:val="22"/>
                <w:szCs w:val="22"/>
              </w:rPr>
              <w:t>Максимальный процент застройки – не регламентируется.</w:t>
            </w:r>
          </w:p>
          <w:p>
            <w:pPr>
              <w:pStyle w:val="Normal"/>
              <w:widowControl w:val="false"/>
              <w:jc w:val="center"/>
              <w:rPr>
                <w:sz w:val="22"/>
                <w:szCs w:val="22"/>
              </w:rPr>
            </w:pPr>
            <w:r>
              <w:rPr>
                <w:sz w:val="22"/>
                <w:szCs w:val="22"/>
              </w:rPr>
              <w:t>Предельное количество этажей – не регламентируется,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52,49</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Строительство сооружений очистки сточных вод (КОС)</w:t>
            </w:r>
          </w:p>
          <w:p>
            <w:pPr>
              <w:pStyle w:val="Default1"/>
              <w:widowControl w:val="false"/>
              <w:jc w:val="center"/>
              <w:rPr>
                <w:sz w:val="22"/>
                <w:szCs w:val="22"/>
              </w:rPr>
            </w:pPr>
            <w:r>
              <w:rPr>
                <w:color w:val="auto"/>
                <w:sz w:val="22"/>
                <w:szCs w:val="22"/>
              </w:rPr>
              <w:t>мощностью до</w:t>
            </w:r>
          </w:p>
          <w:p>
            <w:pPr>
              <w:pStyle w:val="Default1"/>
              <w:widowControl w:val="false"/>
              <w:jc w:val="center"/>
              <w:rPr>
                <w:sz w:val="22"/>
                <w:szCs w:val="22"/>
              </w:rPr>
            </w:pPr>
            <w:r>
              <w:rPr>
                <w:color w:val="auto"/>
                <w:sz w:val="22"/>
                <w:szCs w:val="22"/>
              </w:rPr>
              <w:t>5 тыс. куб. м/сут.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3.105</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Большая Каменка</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w:t>
            </w:r>
          </w:p>
          <w:p>
            <w:pPr>
              <w:pStyle w:val="Normal"/>
              <w:widowControl w:val="false"/>
              <w:jc w:val="center"/>
              <w:rPr>
                <w:sz w:val="22"/>
                <w:szCs w:val="22"/>
              </w:rPr>
            </w:pPr>
            <w:r>
              <w:rPr>
                <w:sz w:val="22"/>
                <w:szCs w:val="22"/>
              </w:rPr>
              <w:t>Максимальный процент застройки – не регламентируется.</w:t>
            </w:r>
          </w:p>
          <w:p>
            <w:pPr>
              <w:pStyle w:val="Normal"/>
              <w:widowControl w:val="false"/>
              <w:jc w:val="center"/>
              <w:rPr>
                <w:sz w:val="22"/>
                <w:szCs w:val="22"/>
              </w:rPr>
            </w:pPr>
            <w:r>
              <w:rPr>
                <w:sz w:val="22"/>
                <w:szCs w:val="22"/>
              </w:rPr>
              <w:t>Предельное количество этажей – не регламентируется,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36,85</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Строительство сооружений очистки сточных вод (КОС)</w:t>
            </w:r>
          </w:p>
          <w:p>
            <w:pPr>
              <w:pStyle w:val="Default1"/>
              <w:widowControl w:val="false"/>
              <w:jc w:val="center"/>
              <w:rPr>
                <w:sz w:val="22"/>
                <w:szCs w:val="22"/>
              </w:rPr>
            </w:pPr>
            <w:r>
              <w:rPr>
                <w:color w:val="auto"/>
                <w:sz w:val="22"/>
                <w:szCs w:val="22"/>
              </w:rPr>
              <w:t>мощностью до</w:t>
            </w:r>
          </w:p>
          <w:p>
            <w:pPr>
              <w:pStyle w:val="Default1"/>
              <w:widowControl w:val="false"/>
              <w:jc w:val="center"/>
              <w:rPr>
                <w:sz w:val="22"/>
                <w:szCs w:val="22"/>
              </w:rPr>
            </w:pPr>
            <w:r>
              <w:rPr>
                <w:color w:val="auto"/>
                <w:sz w:val="22"/>
                <w:szCs w:val="22"/>
              </w:rPr>
              <w:t>5 тыс. куб. м/сут.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3.106</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w:t>
            </w:r>
          </w:p>
          <w:p>
            <w:pPr>
              <w:pStyle w:val="Normal"/>
              <w:widowControl w:val="false"/>
              <w:jc w:val="center"/>
              <w:rPr>
                <w:sz w:val="22"/>
                <w:szCs w:val="22"/>
              </w:rPr>
            </w:pPr>
            <w:r>
              <w:rPr>
                <w:sz w:val="22"/>
                <w:szCs w:val="22"/>
                <w:lang w:eastAsia="en-US"/>
              </w:rPr>
              <w:t xml:space="preserve">области, </w:t>
            </w:r>
            <w:r>
              <w:rPr>
                <w:sz w:val="22"/>
                <w:szCs w:val="22"/>
              </w:rPr>
              <w:t>д. Лихун</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- 4, рекомендуемая плотность населения - 60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19,87</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Строительство сооружений очистки сточных вод (КОС)</w:t>
            </w:r>
          </w:p>
          <w:p>
            <w:pPr>
              <w:pStyle w:val="Default1"/>
              <w:widowControl w:val="false"/>
              <w:jc w:val="center"/>
              <w:rPr>
                <w:sz w:val="22"/>
                <w:szCs w:val="22"/>
              </w:rPr>
            </w:pPr>
            <w:r>
              <w:rPr>
                <w:color w:val="auto"/>
                <w:sz w:val="22"/>
                <w:szCs w:val="22"/>
              </w:rPr>
              <w:t>мощностью до</w:t>
            </w:r>
          </w:p>
          <w:p>
            <w:pPr>
              <w:pStyle w:val="Default1"/>
              <w:widowControl w:val="false"/>
              <w:jc w:val="center"/>
              <w:rPr>
                <w:sz w:val="22"/>
                <w:szCs w:val="22"/>
              </w:rPr>
            </w:pPr>
            <w:r>
              <w:rPr>
                <w:color w:val="auto"/>
                <w:sz w:val="22"/>
                <w:szCs w:val="22"/>
              </w:rPr>
              <w:t>5 тыс. куб. м/сут.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3.107</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w:t>
            </w:r>
          </w:p>
          <w:p>
            <w:pPr>
              <w:pStyle w:val="Normal"/>
              <w:widowControl w:val="false"/>
              <w:jc w:val="center"/>
              <w:rPr>
                <w:sz w:val="22"/>
                <w:szCs w:val="22"/>
              </w:rPr>
            </w:pPr>
            <w:r>
              <w:rPr>
                <w:sz w:val="22"/>
                <w:szCs w:val="22"/>
                <w:lang w:eastAsia="en-US"/>
              </w:rPr>
              <w:t xml:space="preserve">области, </w:t>
            </w:r>
            <w:r>
              <w:rPr>
                <w:sz w:val="22"/>
                <w:szCs w:val="22"/>
              </w:rPr>
              <w:t>д. Аргуново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сельскохозяйственного использования. Максимальный процент застройки – не регламентируется.</w:t>
            </w:r>
          </w:p>
          <w:p>
            <w:pPr>
              <w:pStyle w:val="Normal"/>
              <w:widowControl w:val="false"/>
              <w:jc w:val="center"/>
              <w:rPr>
                <w:sz w:val="22"/>
                <w:szCs w:val="22"/>
              </w:rPr>
            </w:pPr>
            <w:r>
              <w:rPr>
                <w:sz w:val="22"/>
                <w:szCs w:val="22"/>
              </w:rPr>
              <w:t>Предельное количество этажей – не регламентируется,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5,49</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Строительство сооружений очистки сточных вод (КОС)</w:t>
            </w:r>
          </w:p>
          <w:p>
            <w:pPr>
              <w:pStyle w:val="Default1"/>
              <w:widowControl w:val="false"/>
              <w:jc w:val="center"/>
              <w:rPr>
                <w:sz w:val="22"/>
                <w:szCs w:val="22"/>
              </w:rPr>
            </w:pPr>
            <w:r>
              <w:rPr>
                <w:color w:val="auto"/>
                <w:sz w:val="22"/>
                <w:szCs w:val="22"/>
              </w:rPr>
              <w:t>мощностью до</w:t>
            </w:r>
          </w:p>
          <w:p>
            <w:pPr>
              <w:pStyle w:val="Default1"/>
              <w:widowControl w:val="false"/>
              <w:jc w:val="center"/>
              <w:rPr>
                <w:sz w:val="22"/>
                <w:szCs w:val="22"/>
              </w:rPr>
            </w:pPr>
            <w:r>
              <w:rPr>
                <w:color w:val="auto"/>
                <w:sz w:val="22"/>
                <w:szCs w:val="22"/>
              </w:rPr>
              <w:t>5 тыс. куб. м/сут.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3.108</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Петрово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w:t>
            </w:r>
          </w:p>
          <w:p>
            <w:pPr>
              <w:pStyle w:val="Normal"/>
              <w:widowControl w:val="false"/>
              <w:jc w:val="center"/>
              <w:rPr>
                <w:sz w:val="22"/>
                <w:szCs w:val="22"/>
              </w:rPr>
            </w:pPr>
            <w:r>
              <w:rPr>
                <w:sz w:val="22"/>
                <w:szCs w:val="22"/>
              </w:rPr>
              <w:t>Максимальный процент застройки – не регламентируется.</w:t>
            </w:r>
          </w:p>
          <w:p>
            <w:pPr>
              <w:pStyle w:val="Normal"/>
              <w:widowControl w:val="false"/>
              <w:jc w:val="center"/>
              <w:rPr>
                <w:sz w:val="22"/>
                <w:szCs w:val="22"/>
              </w:rPr>
            </w:pPr>
            <w:r>
              <w:rPr>
                <w:sz w:val="22"/>
                <w:szCs w:val="22"/>
              </w:rPr>
              <w:t>Предельное количество этажей – не регламентируется,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87,57</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Строительство сооружений очистки сточных вод (КОС)</w:t>
            </w:r>
          </w:p>
          <w:p>
            <w:pPr>
              <w:pStyle w:val="Default1"/>
              <w:widowControl w:val="false"/>
              <w:jc w:val="center"/>
              <w:rPr>
                <w:sz w:val="22"/>
                <w:szCs w:val="22"/>
              </w:rPr>
            </w:pPr>
            <w:r>
              <w:rPr>
                <w:color w:val="auto"/>
                <w:sz w:val="22"/>
                <w:szCs w:val="22"/>
              </w:rPr>
              <w:t>мощностью до</w:t>
            </w:r>
          </w:p>
          <w:p>
            <w:pPr>
              <w:pStyle w:val="Default1"/>
              <w:widowControl w:val="false"/>
              <w:jc w:val="center"/>
              <w:rPr>
                <w:sz w:val="22"/>
                <w:szCs w:val="22"/>
              </w:rPr>
            </w:pPr>
            <w:r>
              <w:rPr>
                <w:color w:val="auto"/>
                <w:sz w:val="22"/>
                <w:szCs w:val="22"/>
              </w:rPr>
              <w:t>5 тыс. куб. м/сут.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3.109</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w:t>
            </w:r>
          </w:p>
          <w:p>
            <w:pPr>
              <w:pStyle w:val="Normal"/>
              <w:widowControl w:val="false"/>
              <w:jc w:val="center"/>
              <w:rPr>
                <w:sz w:val="22"/>
                <w:szCs w:val="22"/>
              </w:rPr>
            </w:pPr>
            <w:r>
              <w:rPr>
                <w:sz w:val="22"/>
                <w:szCs w:val="22"/>
                <w:lang w:eastAsia="en-US"/>
              </w:rPr>
              <w:t xml:space="preserve">области, </w:t>
            </w:r>
            <w:r>
              <w:rPr>
                <w:sz w:val="22"/>
                <w:szCs w:val="22"/>
              </w:rPr>
              <w:t>д. Косарево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- 4, рекомендуемая плотность населения - 60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98,21</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Строительство сооружений очистки сточных вод (КОС)</w:t>
            </w:r>
          </w:p>
          <w:p>
            <w:pPr>
              <w:pStyle w:val="Default1"/>
              <w:widowControl w:val="false"/>
              <w:jc w:val="center"/>
              <w:rPr>
                <w:sz w:val="22"/>
                <w:szCs w:val="22"/>
              </w:rPr>
            </w:pPr>
            <w:r>
              <w:rPr>
                <w:color w:val="auto"/>
                <w:sz w:val="22"/>
                <w:szCs w:val="22"/>
              </w:rPr>
              <w:t>мощностью до</w:t>
            </w:r>
          </w:p>
          <w:p>
            <w:pPr>
              <w:pStyle w:val="Default1"/>
              <w:widowControl w:val="false"/>
              <w:jc w:val="center"/>
              <w:rPr>
                <w:sz w:val="22"/>
                <w:szCs w:val="22"/>
              </w:rPr>
            </w:pPr>
            <w:r>
              <w:rPr>
                <w:color w:val="auto"/>
                <w:sz w:val="22"/>
                <w:szCs w:val="22"/>
              </w:rPr>
              <w:t>5 тыс. куб. м/сут.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3.110</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Заречье</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w:t>
            </w:r>
          </w:p>
          <w:p>
            <w:pPr>
              <w:pStyle w:val="Normal"/>
              <w:widowControl w:val="false"/>
              <w:jc w:val="center"/>
              <w:rPr>
                <w:sz w:val="22"/>
                <w:szCs w:val="22"/>
              </w:rPr>
            </w:pPr>
            <w:r>
              <w:rPr>
                <w:sz w:val="22"/>
                <w:szCs w:val="22"/>
              </w:rPr>
              <w:t>Максимальный процент застройки – не регламентируется.</w:t>
            </w:r>
          </w:p>
          <w:p>
            <w:pPr>
              <w:pStyle w:val="Normal"/>
              <w:widowControl w:val="false"/>
              <w:jc w:val="center"/>
              <w:rPr>
                <w:sz w:val="22"/>
                <w:szCs w:val="22"/>
              </w:rPr>
            </w:pPr>
            <w:r>
              <w:rPr>
                <w:sz w:val="22"/>
                <w:szCs w:val="22"/>
              </w:rPr>
              <w:t>Предельное количество этажей – не регламентируется,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89,42</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Строительство сооружений очистки сточных вод (КОС)</w:t>
            </w:r>
          </w:p>
          <w:p>
            <w:pPr>
              <w:pStyle w:val="Default1"/>
              <w:widowControl w:val="false"/>
              <w:jc w:val="center"/>
              <w:rPr>
                <w:sz w:val="22"/>
                <w:szCs w:val="22"/>
              </w:rPr>
            </w:pPr>
            <w:r>
              <w:rPr>
                <w:color w:val="auto"/>
                <w:sz w:val="22"/>
                <w:szCs w:val="22"/>
              </w:rPr>
              <w:t>мощностью до</w:t>
            </w:r>
          </w:p>
          <w:p>
            <w:pPr>
              <w:pStyle w:val="Default1"/>
              <w:widowControl w:val="false"/>
              <w:jc w:val="center"/>
              <w:rPr>
                <w:sz w:val="22"/>
                <w:szCs w:val="22"/>
              </w:rPr>
            </w:pPr>
            <w:r>
              <w:rPr>
                <w:color w:val="auto"/>
                <w:sz w:val="22"/>
                <w:szCs w:val="22"/>
              </w:rPr>
              <w:t>5 тыс. куб. м/сут.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3.111</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в районе</w:t>
            </w:r>
          </w:p>
          <w:p>
            <w:pPr>
              <w:pStyle w:val="Normal"/>
              <w:widowControl w:val="false"/>
              <w:jc w:val="center"/>
              <w:rPr>
                <w:sz w:val="22"/>
                <w:szCs w:val="22"/>
              </w:rPr>
            </w:pPr>
            <w:r>
              <w:rPr>
                <w:sz w:val="22"/>
                <w:szCs w:val="22"/>
              </w:rPr>
              <w:t>ТЦ «Торговый квартал»</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Общественно-деловые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- 3,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34,66</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Строительство сооружений очистки сточных вод (КОС)</w:t>
            </w:r>
          </w:p>
          <w:p>
            <w:pPr>
              <w:pStyle w:val="Default1"/>
              <w:widowControl w:val="false"/>
              <w:jc w:val="center"/>
              <w:rPr>
                <w:sz w:val="22"/>
                <w:szCs w:val="22"/>
              </w:rPr>
            </w:pPr>
            <w:r>
              <w:rPr>
                <w:color w:val="auto"/>
                <w:sz w:val="22"/>
                <w:szCs w:val="22"/>
              </w:rPr>
              <w:t>мощностью до</w:t>
            </w:r>
          </w:p>
          <w:p>
            <w:pPr>
              <w:pStyle w:val="Default1"/>
              <w:widowControl w:val="false"/>
              <w:jc w:val="center"/>
              <w:rPr>
                <w:sz w:val="22"/>
                <w:szCs w:val="22"/>
              </w:rPr>
            </w:pPr>
            <w:r>
              <w:rPr>
                <w:color w:val="auto"/>
                <w:sz w:val="22"/>
                <w:szCs w:val="22"/>
              </w:rPr>
              <w:t>50 тысю куб. м/сут.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3.112</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в мкр. «Кошелев»</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w:t>
            </w:r>
          </w:p>
          <w:p>
            <w:pPr>
              <w:pStyle w:val="Normal"/>
              <w:widowControl w:val="false"/>
              <w:jc w:val="center"/>
              <w:rPr>
                <w:sz w:val="22"/>
                <w:szCs w:val="22"/>
              </w:rPr>
            </w:pPr>
            <w:r>
              <w:rPr>
                <w:sz w:val="22"/>
                <w:szCs w:val="22"/>
              </w:rPr>
              <w:t>Максимальный процент застройки – не регламентируется.</w:t>
            </w:r>
          </w:p>
          <w:p>
            <w:pPr>
              <w:pStyle w:val="Normal"/>
              <w:widowControl w:val="false"/>
              <w:jc w:val="center"/>
              <w:rPr>
                <w:sz w:val="22"/>
                <w:szCs w:val="22"/>
              </w:rPr>
            </w:pPr>
            <w:r>
              <w:rPr>
                <w:sz w:val="22"/>
                <w:szCs w:val="22"/>
              </w:rPr>
              <w:t>Предельное количество этажей – не регламентируется,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17,48</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Строительство сооружений очистки сточных вод (КОС)</w:t>
            </w:r>
          </w:p>
          <w:p>
            <w:pPr>
              <w:pStyle w:val="Default1"/>
              <w:widowControl w:val="false"/>
              <w:jc w:val="center"/>
              <w:rPr>
                <w:sz w:val="22"/>
                <w:szCs w:val="22"/>
              </w:rPr>
            </w:pPr>
            <w:r>
              <w:rPr>
                <w:color w:val="auto"/>
                <w:sz w:val="22"/>
                <w:szCs w:val="22"/>
              </w:rPr>
              <w:t>мощностью до</w:t>
            </w:r>
          </w:p>
          <w:p>
            <w:pPr>
              <w:pStyle w:val="Default1"/>
              <w:widowControl w:val="false"/>
              <w:jc w:val="center"/>
              <w:rPr>
                <w:sz w:val="22"/>
                <w:szCs w:val="22"/>
              </w:rPr>
            </w:pPr>
            <w:r>
              <w:rPr>
                <w:color w:val="auto"/>
                <w:sz w:val="22"/>
                <w:szCs w:val="22"/>
              </w:rPr>
              <w:t xml:space="preserve">  </w:t>
            </w:r>
            <w:r>
              <w:rPr>
                <w:color w:val="auto"/>
                <w:sz w:val="22"/>
                <w:szCs w:val="22"/>
              </w:rPr>
              <w:t>50 тыс. куб. м/сут.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3.113</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в мкр. «Секиотово»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w:t>
            </w:r>
          </w:p>
          <w:p>
            <w:pPr>
              <w:pStyle w:val="Normal"/>
              <w:widowControl w:val="false"/>
              <w:jc w:val="center"/>
              <w:rPr>
                <w:sz w:val="22"/>
                <w:szCs w:val="22"/>
              </w:rPr>
            </w:pPr>
            <w:r>
              <w:rPr>
                <w:sz w:val="22"/>
                <w:szCs w:val="22"/>
              </w:rPr>
              <w:t>Максимальный процент застройки – не регламентируется.</w:t>
            </w:r>
          </w:p>
          <w:p>
            <w:pPr>
              <w:pStyle w:val="Normal"/>
              <w:widowControl w:val="false"/>
              <w:jc w:val="center"/>
              <w:rPr>
                <w:sz w:val="22"/>
                <w:szCs w:val="22"/>
              </w:rPr>
            </w:pPr>
            <w:r>
              <w:rPr>
                <w:sz w:val="22"/>
                <w:szCs w:val="22"/>
              </w:rPr>
              <w:t>Предельное количество этажей – не регламентируется,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2,12</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Строительство сооружений очистки сточных вод (КОС)</w:t>
            </w:r>
          </w:p>
          <w:p>
            <w:pPr>
              <w:pStyle w:val="Default1"/>
              <w:widowControl w:val="false"/>
              <w:jc w:val="center"/>
              <w:rPr>
                <w:sz w:val="22"/>
                <w:szCs w:val="22"/>
              </w:rPr>
            </w:pPr>
            <w:r>
              <w:rPr>
                <w:color w:val="auto"/>
                <w:sz w:val="22"/>
                <w:szCs w:val="22"/>
              </w:rPr>
              <w:t>мощностью до</w:t>
            </w:r>
          </w:p>
          <w:p>
            <w:pPr>
              <w:pStyle w:val="Default1"/>
              <w:widowControl w:val="false"/>
              <w:jc w:val="center"/>
              <w:rPr>
                <w:sz w:val="22"/>
                <w:szCs w:val="22"/>
              </w:rPr>
            </w:pPr>
            <w:r>
              <w:rPr>
                <w:color w:val="auto"/>
                <w:sz w:val="22"/>
                <w:szCs w:val="22"/>
              </w:rPr>
              <w:t>50 тыс. куб. м/сут.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3.114</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в районе индустриального парка «Калуга Юг»</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Производственные зоны, зоны инженерной и транспортной инфраструктур.</w:t>
            </w:r>
          </w:p>
          <w:p>
            <w:pPr>
              <w:pStyle w:val="Normal"/>
              <w:widowControl w:val="false"/>
              <w:jc w:val="center"/>
              <w:rPr>
                <w:sz w:val="22"/>
                <w:szCs w:val="22"/>
              </w:rPr>
            </w:pPr>
            <w:r>
              <w:rPr>
                <w:sz w:val="22"/>
                <w:szCs w:val="22"/>
              </w:rPr>
              <w:t xml:space="preserve"> </w:t>
            </w: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- 5,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20,25</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Строительство сооружений очистки сточных вод (КОС) мощностью до</w:t>
            </w:r>
          </w:p>
          <w:p>
            <w:pPr>
              <w:pStyle w:val="Default1"/>
              <w:widowControl w:val="false"/>
              <w:jc w:val="center"/>
              <w:rPr>
                <w:sz w:val="22"/>
                <w:szCs w:val="22"/>
              </w:rPr>
            </w:pPr>
            <w:r>
              <w:rPr>
                <w:color w:val="auto"/>
                <w:sz w:val="22"/>
                <w:szCs w:val="22"/>
              </w:rPr>
              <w:t>50 тыс. куб. м/сут.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3.115</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по Тульскому шоссе (район СНТ</w:t>
            </w:r>
          </w:p>
          <w:p>
            <w:pPr>
              <w:pStyle w:val="Normal"/>
              <w:widowControl w:val="false"/>
              <w:jc w:val="center"/>
              <w:rPr>
                <w:sz w:val="22"/>
                <w:szCs w:val="22"/>
              </w:rPr>
            </w:pPr>
            <w:r>
              <w:rPr>
                <w:sz w:val="22"/>
                <w:szCs w:val="22"/>
              </w:rPr>
              <w:t>«КЭМЗ-2)</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Общественно-деловые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- 6,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7,68</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Строительство сооружений очистки сточных вод (КОС) мощностью до</w:t>
            </w:r>
          </w:p>
          <w:p>
            <w:pPr>
              <w:pStyle w:val="Default1"/>
              <w:widowControl w:val="false"/>
              <w:jc w:val="center"/>
              <w:rPr>
                <w:sz w:val="22"/>
                <w:szCs w:val="22"/>
              </w:rPr>
            </w:pPr>
            <w:r>
              <w:rPr>
                <w:color w:val="auto"/>
                <w:sz w:val="22"/>
                <w:szCs w:val="22"/>
              </w:rPr>
              <w:t>50 тыс. куб. м/сут.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3.116</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в районе</w:t>
            </w:r>
          </w:p>
          <w:p>
            <w:pPr>
              <w:pStyle w:val="Normal"/>
              <w:widowControl w:val="false"/>
              <w:jc w:val="center"/>
              <w:rPr>
                <w:sz w:val="22"/>
                <w:szCs w:val="22"/>
              </w:rPr>
            </w:pPr>
            <w:r>
              <w:rPr>
                <w:sz w:val="22"/>
                <w:szCs w:val="22"/>
              </w:rPr>
              <w:t>мкр. «Куровской»</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Производственные зоны, зоны инженерной и транспортной инфраструктур.</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- 5,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441,58</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Строительство сооружений очистки сточных вод (КОС) мощностью до</w:t>
            </w:r>
          </w:p>
          <w:p>
            <w:pPr>
              <w:pStyle w:val="Default1"/>
              <w:widowControl w:val="false"/>
              <w:jc w:val="center"/>
              <w:rPr>
                <w:sz w:val="22"/>
                <w:szCs w:val="22"/>
              </w:rPr>
            </w:pPr>
            <w:r>
              <w:rPr>
                <w:color w:val="auto"/>
                <w:sz w:val="22"/>
                <w:szCs w:val="22"/>
              </w:rPr>
              <w:t>50 тыс. куб. м/сут.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3.117</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в районе с. Росва</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w:t>
            </w:r>
          </w:p>
          <w:p>
            <w:pPr>
              <w:pStyle w:val="Normal"/>
              <w:widowControl w:val="false"/>
              <w:jc w:val="center"/>
              <w:rPr>
                <w:sz w:val="22"/>
                <w:szCs w:val="22"/>
              </w:rPr>
            </w:pPr>
            <w:r>
              <w:rPr>
                <w:sz w:val="22"/>
                <w:szCs w:val="22"/>
              </w:rPr>
              <w:t>Максимальный процент застройки – не регламентируется.</w:t>
            </w:r>
          </w:p>
          <w:p>
            <w:pPr>
              <w:pStyle w:val="Normal"/>
              <w:widowControl w:val="false"/>
              <w:jc w:val="center"/>
              <w:rPr>
                <w:sz w:val="22"/>
                <w:szCs w:val="22"/>
              </w:rPr>
            </w:pPr>
            <w:r>
              <w:rPr>
                <w:sz w:val="22"/>
                <w:szCs w:val="22"/>
              </w:rPr>
              <w:t>Предельное количество этажей – не регламентируется,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14,71</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Строительство сооружений очистки сточных вод (КОС) мощностью до</w:t>
            </w:r>
          </w:p>
          <w:p>
            <w:pPr>
              <w:pStyle w:val="Default1"/>
              <w:widowControl w:val="false"/>
              <w:jc w:val="center"/>
              <w:rPr>
                <w:sz w:val="22"/>
                <w:szCs w:val="22"/>
              </w:rPr>
            </w:pPr>
            <w:r>
              <w:rPr>
                <w:color w:val="auto"/>
                <w:sz w:val="22"/>
                <w:szCs w:val="22"/>
              </w:rPr>
              <w:t>100 тыс. куб. м/сут.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3.118</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в районе</w:t>
            </w:r>
          </w:p>
          <w:p>
            <w:pPr>
              <w:pStyle w:val="Normal"/>
              <w:widowControl w:val="false"/>
              <w:jc w:val="center"/>
              <w:rPr>
                <w:sz w:val="22"/>
                <w:szCs w:val="22"/>
              </w:rPr>
            </w:pPr>
            <w:r>
              <w:rPr>
                <w:sz w:val="22"/>
                <w:szCs w:val="22"/>
              </w:rPr>
              <w:t>СНТ «Факел»,</w:t>
            </w:r>
          </w:p>
          <w:p>
            <w:pPr>
              <w:pStyle w:val="Normal"/>
              <w:widowControl w:val="false"/>
              <w:jc w:val="center"/>
              <w:rPr>
                <w:sz w:val="22"/>
                <w:szCs w:val="22"/>
              </w:rPr>
            </w:pPr>
            <w:r>
              <w:rPr>
                <w:sz w:val="22"/>
                <w:szCs w:val="22"/>
              </w:rPr>
              <w:t>мкр. Калуга-2</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Производственные зоны, зоны инженерной и транспортной инфраструктур.</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- 5,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6,69</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Строительство очистных сооружений дождевой канализации производительностью до 1 тыс. куб. м/сут.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3.119</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в районе мкр. Анненки</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Производственные зоны, зоны инженерной и транспортной инфраструктур.</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- 5,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10,01</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Строительство очистных сооружений дождевой канализации производительностью до 1 тыс. куб. м/сут.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3.120</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в районе мкр. Ромоданово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w:t>
            </w:r>
          </w:p>
          <w:p>
            <w:pPr>
              <w:pStyle w:val="Normal"/>
              <w:widowControl w:val="false"/>
              <w:jc w:val="center"/>
              <w:rPr>
                <w:sz w:val="22"/>
                <w:szCs w:val="22"/>
              </w:rPr>
            </w:pPr>
            <w:r>
              <w:rPr>
                <w:sz w:val="22"/>
                <w:szCs w:val="22"/>
              </w:rPr>
              <w:t>Максимальный процент застройки – не регламентируется.</w:t>
            </w:r>
          </w:p>
          <w:p>
            <w:pPr>
              <w:pStyle w:val="Normal"/>
              <w:widowControl w:val="false"/>
              <w:jc w:val="center"/>
              <w:rPr>
                <w:sz w:val="22"/>
                <w:szCs w:val="22"/>
              </w:rPr>
            </w:pPr>
            <w:r>
              <w:rPr>
                <w:sz w:val="22"/>
                <w:szCs w:val="22"/>
              </w:rPr>
              <w:t>Предельное количество этажей – не регламентируется,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17,48</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Строительство очистных сооружений дождевой канализации производительностью до 1 тыс. куб. м/сут.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3.121</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в районе мкр. Ромодановские дворики</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w:t>
            </w:r>
          </w:p>
          <w:p>
            <w:pPr>
              <w:pStyle w:val="Normal"/>
              <w:widowControl w:val="false"/>
              <w:jc w:val="center"/>
              <w:rPr>
                <w:sz w:val="22"/>
                <w:szCs w:val="22"/>
              </w:rPr>
            </w:pPr>
            <w:r>
              <w:rPr>
                <w:sz w:val="22"/>
                <w:szCs w:val="22"/>
              </w:rPr>
              <w:t>Максимальный процент застройки – не регламентируется.</w:t>
            </w:r>
          </w:p>
          <w:p>
            <w:pPr>
              <w:pStyle w:val="Normal"/>
              <w:widowControl w:val="false"/>
              <w:jc w:val="center"/>
              <w:rPr>
                <w:sz w:val="22"/>
                <w:szCs w:val="22"/>
              </w:rPr>
            </w:pPr>
            <w:r>
              <w:rPr>
                <w:sz w:val="22"/>
                <w:szCs w:val="22"/>
              </w:rPr>
              <w:t>Предельное количество этажей – не регламентируется,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79,29</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Строительство очистных сооружений дождевой канализации производительностью до 1 тыс. куб. м/сут.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3.122</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rPr>
              <w:t>г. Калуга,</w:t>
            </w:r>
          </w:p>
          <w:p>
            <w:pPr>
              <w:pStyle w:val="Normal"/>
              <w:widowControl w:val="false"/>
              <w:jc w:val="center"/>
              <w:rPr>
                <w:sz w:val="22"/>
                <w:szCs w:val="22"/>
              </w:rPr>
            </w:pPr>
            <w:r>
              <w:rPr>
                <w:sz w:val="22"/>
                <w:szCs w:val="22"/>
              </w:rPr>
              <w:t>по ул. Подвойского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- 4, рекомендуемая плотность населения - 280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5,39</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Строительство очистных сооружений дождевой канализации производительностью до 1 тыс. куб. м/сут.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3.123</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в районе</w:t>
            </w:r>
          </w:p>
          <w:p>
            <w:pPr>
              <w:pStyle w:val="Normal"/>
              <w:widowControl w:val="false"/>
              <w:jc w:val="center"/>
              <w:rPr>
                <w:sz w:val="22"/>
                <w:szCs w:val="22"/>
              </w:rPr>
            </w:pPr>
            <w:r>
              <w:rPr>
                <w:sz w:val="22"/>
                <w:szCs w:val="22"/>
              </w:rPr>
              <w:t>СНТ «Связист-2»</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w:t>
            </w:r>
          </w:p>
          <w:p>
            <w:pPr>
              <w:pStyle w:val="Normal"/>
              <w:widowControl w:val="false"/>
              <w:jc w:val="center"/>
              <w:rPr>
                <w:sz w:val="22"/>
                <w:szCs w:val="22"/>
              </w:rPr>
            </w:pPr>
            <w:r>
              <w:rPr>
                <w:sz w:val="22"/>
                <w:szCs w:val="22"/>
              </w:rPr>
              <w:t>Максимальный процент застройки – не регламентируется.</w:t>
            </w:r>
          </w:p>
          <w:p>
            <w:pPr>
              <w:pStyle w:val="Normal"/>
              <w:widowControl w:val="false"/>
              <w:jc w:val="center"/>
              <w:rPr>
                <w:sz w:val="22"/>
                <w:szCs w:val="22"/>
              </w:rPr>
            </w:pPr>
            <w:r>
              <w:rPr>
                <w:sz w:val="22"/>
                <w:szCs w:val="22"/>
              </w:rPr>
              <w:t>Предельное количество этажей – не регламентируется,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9,9</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Строительство очистных сооружений дождевой канализации производительностью до 1 тыс. куб. м/сут.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3.124</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по</w:t>
            </w:r>
          </w:p>
          <w:p>
            <w:pPr>
              <w:pStyle w:val="Normal"/>
              <w:widowControl w:val="false"/>
              <w:jc w:val="center"/>
              <w:rPr>
                <w:sz w:val="22"/>
                <w:szCs w:val="22"/>
              </w:rPr>
            </w:pPr>
            <w:r>
              <w:rPr>
                <w:sz w:val="22"/>
                <w:szCs w:val="22"/>
              </w:rPr>
              <w:t>ул. Салтыкова-Щедрина, район гаражного</w:t>
            </w:r>
          </w:p>
          <w:p>
            <w:pPr>
              <w:pStyle w:val="Normal"/>
              <w:widowControl w:val="false"/>
              <w:jc w:val="center"/>
              <w:rPr>
                <w:sz w:val="22"/>
                <w:szCs w:val="22"/>
              </w:rPr>
            </w:pPr>
            <w:r>
              <w:rPr>
                <w:sz w:val="22"/>
                <w:szCs w:val="22"/>
              </w:rPr>
              <w:t>кооператива «Заря»</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Производственные зоны, зоны инженерной и транспортной инфраструктур.</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- 5,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8,39</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Строительство очистных сооружений дождевой канализации производительностью до 1 тыс. куб. м/сут.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3.125</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по ул. 40-летия Октября, район существующих очистных сооружений</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Производственные зоны, зоны инженерной и транспортной инфраструктур.</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- 5,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20,19</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Строительство очистных сооружений дождевой канализации производительностью до 1 тыс. куб. м/сут.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3.126</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 xml:space="preserve"> </w:t>
            </w:r>
            <w:r>
              <w:rPr>
                <w:sz w:val="22"/>
                <w:szCs w:val="22"/>
              </w:rPr>
              <w:t>в районе</w:t>
            </w:r>
          </w:p>
          <w:p>
            <w:pPr>
              <w:pStyle w:val="Normal"/>
              <w:widowControl w:val="false"/>
              <w:jc w:val="center"/>
              <w:rPr>
                <w:sz w:val="22"/>
                <w:szCs w:val="22"/>
              </w:rPr>
            </w:pPr>
            <w:r>
              <w:rPr>
                <w:sz w:val="22"/>
                <w:szCs w:val="22"/>
              </w:rPr>
              <w:t>мкр. Турынинские</w:t>
            </w:r>
          </w:p>
          <w:p>
            <w:pPr>
              <w:pStyle w:val="Normal"/>
              <w:widowControl w:val="false"/>
              <w:jc w:val="center"/>
              <w:rPr>
                <w:sz w:val="22"/>
                <w:szCs w:val="22"/>
              </w:rPr>
            </w:pPr>
            <w:r>
              <w:rPr>
                <w:sz w:val="22"/>
                <w:szCs w:val="22"/>
              </w:rPr>
              <w:t>дворики</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w:t>
            </w:r>
          </w:p>
          <w:p>
            <w:pPr>
              <w:pStyle w:val="Normal"/>
              <w:widowControl w:val="false"/>
              <w:jc w:val="center"/>
              <w:rPr>
                <w:sz w:val="22"/>
                <w:szCs w:val="22"/>
              </w:rPr>
            </w:pPr>
            <w:r>
              <w:rPr>
                <w:sz w:val="22"/>
                <w:szCs w:val="22"/>
              </w:rPr>
              <w:t>Максимальный процент застройки – не регламентируется.</w:t>
            </w:r>
          </w:p>
          <w:p>
            <w:pPr>
              <w:pStyle w:val="Normal"/>
              <w:widowControl w:val="false"/>
              <w:jc w:val="center"/>
              <w:rPr>
                <w:sz w:val="22"/>
                <w:szCs w:val="22"/>
              </w:rPr>
            </w:pPr>
            <w:r>
              <w:rPr>
                <w:sz w:val="22"/>
                <w:szCs w:val="22"/>
              </w:rPr>
              <w:t>Предельное количество этажей – не регламентируется,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55,35</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Строительство очистных сооружения дождевой канализации производительностью до 1 тыс. куб. м/сут.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3.127</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в районе мкр. Турынино, ул. Родниковая</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w:t>
            </w:r>
          </w:p>
          <w:p>
            <w:pPr>
              <w:pStyle w:val="Normal"/>
              <w:widowControl w:val="false"/>
              <w:jc w:val="center"/>
              <w:rPr>
                <w:sz w:val="22"/>
                <w:szCs w:val="22"/>
              </w:rPr>
            </w:pPr>
            <w:r>
              <w:rPr>
                <w:sz w:val="22"/>
                <w:szCs w:val="22"/>
              </w:rPr>
              <w:t>Максимальный процент застройки – не регламентируется.</w:t>
            </w:r>
          </w:p>
          <w:p>
            <w:pPr>
              <w:pStyle w:val="Normal"/>
              <w:widowControl w:val="false"/>
              <w:jc w:val="center"/>
              <w:rPr>
                <w:sz w:val="22"/>
                <w:szCs w:val="22"/>
              </w:rPr>
            </w:pPr>
            <w:r>
              <w:rPr>
                <w:sz w:val="22"/>
                <w:szCs w:val="22"/>
              </w:rPr>
              <w:t>Предельное количество этажей – не регламентируется,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55,35</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Строительство очистных сооружения дождевой канализации производительностью до 1 тыс. куб. м/сут.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3.128</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в районе мкр. Турынино,</w:t>
            </w:r>
          </w:p>
          <w:p>
            <w:pPr>
              <w:pStyle w:val="Normal"/>
              <w:widowControl w:val="false"/>
              <w:jc w:val="center"/>
              <w:rPr>
                <w:sz w:val="22"/>
                <w:szCs w:val="22"/>
              </w:rPr>
            </w:pPr>
            <w:r>
              <w:rPr>
                <w:sz w:val="22"/>
                <w:szCs w:val="22"/>
              </w:rPr>
              <w:t>ул. Льва Толстого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w:t>
            </w:r>
          </w:p>
          <w:p>
            <w:pPr>
              <w:pStyle w:val="Normal"/>
              <w:widowControl w:val="false"/>
              <w:jc w:val="center"/>
              <w:rPr>
                <w:sz w:val="22"/>
                <w:szCs w:val="22"/>
              </w:rPr>
            </w:pPr>
            <w:r>
              <w:rPr>
                <w:sz w:val="22"/>
                <w:szCs w:val="22"/>
              </w:rPr>
              <w:t>Максимальный процент застройки – не регламентируется.</w:t>
            </w:r>
          </w:p>
          <w:p>
            <w:pPr>
              <w:pStyle w:val="Normal"/>
              <w:widowControl w:val="false"/>
              <w:jc w:val="center"/>
              <w:rPr>
                <w:sz w:val="22"/>
                <w:szCs w:val="22"/>
              </w:rPr>
            </w:pPr>
            <w:r>
              <w:rPr>
                <w:sz w:val="22"/>
                <w:szCs w:val="22"/>
              </w:rPr>
              <w:t>Предельное количество этажей – не регламентируется,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55,35</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Строительство очистных сооружений дождевой канализации, производительностью до 1 тыс. куб. м/сут.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3.129</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в районе мкр. Бушмановка,</w:t>
            </w:r>
          </w:p>
          <w:p>
            <w:pPr>
              <w:pStyle w:val="Normal"/>
              <w:widowControl w:val="false"/>
              <w:jc w:val="center"/>
              <w:rPr>
                <w:sz w:val="22"/>
                <w:szCs w:val="22"/>
              </w:rPr>
            </w:pPr>
            <w:r>
              <w:rPr>
                <w:sz w:val="22"/>
                <w:szCs w:val="22"/>
              </w:rPr>
              <w:t>ул. Работниц</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w:t>
            </w:r>
          </w:p>
          <w:p>
            <w:pPr>
              <w:pStyle w:val="Normal"/>
              <w:widowControl w:val="false"/>
              <w:jc w:val="center"/>
              <w:rPr>
                <w:sz w:val="22"/>
                <w:szCs w:val="22"/>
              </w:rPr>
            </w:pPr>
            <w:r>
              <w:rPr>
                <w:sz w:val="22"/>
                <w:szCs w:val="22"/>
              </w:rPr>
              <w:t>Максимальный процент застройки – не регламентируется.</w:t>
            </w:r>
          </w:p>
          <w:p>
            <w:pPr>
              <w:pStyle w:val="Normal"/>
              <w:widowControl w:val="false"/>
              <w:jc w:val="center"/>
              <w:rPr>
                <w:sz w:val="22"/>
                <w:szCs w:val="22"/>
              </w:rPr>
            </w:pPr>
            <w:r>
              <w:rPr>
                <w:sz w:val="22"/>
                <w:szCs w:val="22"/>
              </w:rPr>
              <w:t>Предельное количество этажей – не регламентируется,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24,28</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Строительство очистных сооружений дождевой канализации производительностью до 1 тыс. куб. м/сут.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3.130</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в</w:t>
            </w:r>
          </w:p>
          <w:p>
            <w:pPr>
              <w:pStyle w:val="Normal"/>
              <w:widowControl w:val="false"/>
              <w:jc w:val="center"/>
              <w:rPr>
                <w:sz w:val="22"/>
                <w:szCs w:val="22"/>
              </w:rPr>
            </w:pPr>
            <w:r>
              <w:rPr>
                <w:sz w:val="22"/>
                <w:szCs w:val="22"/>
              </w:rPr>
              <w:t>мкр. Бушмановка,</w:t>
            </w:r>
          </w:p>
          <w:p>
            <w:pPr>
              <w:pStyle w:val="Normal"/>
              <w:widowControl w:val="false"/>
              <w:jc w:val="center"/>
              <w:rPr>
                <w:sz w:val="22"/>
                <w:szCs w:val="22"/>
              </w:rPr>
            </w:pPr>
            <w:r>
              <w:rPr>
                <w:sz w:val="22"/>
                <w:szCs w:val="22"/>
              </w:rPr>
              <w:t>в районе гаражного</w:t>
            </w:r>
          </w:p>
          <w:p>
            <w:pPr>
              <w:pStyle w:val="Normal"/>
              <w:widowControl w:val="false"/>
              <w:jc w:val="center"/>
              <w:rPr>
                <w:sz w:val="22"/>
                <w:szCs w:val="22"/>
              </w:rPr>
            </w:pPr>
            <w:r>
              <w:rPr>
                <w:sz w:val="22"/>
                <w:szCs w:val="22"/>
              </w:rPr>
              <w:t>кооператива «Тайфун»</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w:t>
            </w:r>
          </w:p>
          <w:p>
            <w:pPr>
              <w:pStyle w:val="Normal"/>
              <w:widowControl w:val="false"/>
              <w:jc w:val="center"/>
              <w:rPr>
                <w:sz w:val="22"/>
                <w:szCs w:val="22"/>
              </w:rPr>
            </w:pPr>
            <w:r>
              <w:rPr>
                <w:sz w:val="22"/>
                <w:szCs w:val="22"/>
              </w:rPr>
              <w:t>Максимальный процент застройки – не регламентируется.</w:t>
            </w:r>
          </w:p>
          <w:p>
            <w:pPr>
              <w:pStyle w:val="Normal"/>
              <w:widowControl w:val="false"/>
              <w:jc w:val="center"/>
              <w:rPr>
                <w:sz w:val="22"/>
                <w:szCs w:val="22"/>
              </w:rPr>
            </w:pPr>
            <w:r>
              <w:rPr>
                <w:sz w:val="22"/>
                <w:szCs w:val="22"/>
              </w:rPr>
              <w:t>Предельное количество этажей – не регламентируется,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24,28</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Строительство очистных сооружений дождевой канализации производительностью до 1 тыс. куб. м/сут.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3.131</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в</w:t>
            </w:r>
          </w:p>
          <w:p>
            <w:pPr>
              <w:pStyle w:val="Normal"/>
              <w:widowControl w:val="false"/>
              <w:jc w:val="center"/>
              <w:rPr>
                <w:sz w:val="22"/>
                <w:szCs w:val="22"/>
              </w:rPr>
            </w:pPr>
            <w:r>
              <w:rPr>
                <w:sz w:val="22"/>
                <w:szCs w:val="22"/>
              </w:rPr>
              <w:t>мкр. Дубрава</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w:t>
            </w:r>
          </w:p>
          <w:p>
            <w:pPr>
              <w:pStyle w:val="Normal"/>
              <w:widowControl w:val="false"/>
              <w:jc w:val="center"/>
              <w:rPr>
                <w:sz w:val="22"/>
                <w:szCs w:val="22"/>
              </w:rPr>
            </w:pPr>
            <w:r>
              <w:rPr>
                <w:sz w:val="22"/>
                <w:szCs w:val="22"/>
              </w:rPr>
              <w:t>Максимальный процент застройки – не регламентируется.</w:t>
            </w:r>
          </w:p>
          <w:p>
            <w:pPr>
              <w:pStyle w:val="Normal"/>
              <w:widowControl w:val="false"/>
              <w:jc w:val="center"/>
              <w:rPr>
                <w:sz w:val="22"/>
                <w:szCs w:val="22"/>
              </w:rPr>
            </w:pPr>
            <w:r>
              <w:rPr>
                <w:sz w:val="22"/>
                <w:szCs w:val="22"/>
              </w:rPr>
              <w:t>Предельное количество этажей – не регламентируется,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10,1</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Строительство очистных сооружений дождевой канализации производительностью до 1 тыс. куб. м/сут.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3.132</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по</w:t>
            </w:r>
          </w:p>
          <w:p>
            <w:pPr>
              <w:pStyle w:val="Normal"/>
              <w:widowControl w:val="false"/>
              <w:jc w:val="center"/>
              <w:rPr>
                <w:sz w:val="22"/>
                <w:szCs w:val="22"/>
              </w:rPr>
            </w:pPr>
            <w:r>
              <w:rPr>
                <w:sz w:val="22"/>
                <w:szCs w:val="22"/>
              </w:rPr>
              <w:t>пер. Лаврентьевскому,</w:t>
            </w:r>
          </w:p>
          <w:p>
            <w:pPr>
              <w:pStyle w:val="Normal"/>
              <w:widowControl w:val="false"/>
              <w:jc w:val="center"/>
              <w:rPr>
                <w:sz w:val="22"/>
                <w:szCs w:val="22"/>
              </w:rPr>
            </w:pPr>
            <w:r>
              <w:rPr>
                <w:sz w:val="22"/>
                <w:szCs w:val="22"/>
              </w:rPr>
              <w:t>набережная Яченского</w:t>
            </w:r>
          </w:p>
          <w:p>
            <w:pPr>
              <w:pStyle w:val="Normal"/>
              <w:widowControl w:val="false"/>
              <w:jc w:val="center"/>
              <w:rPr>
                <w:sz w:val="22"/>
                <w:szCs w:val="22"/>
              </w:rPr>
            </w:pPr>
            <w:r>
              <w:rPr>
                <w:sz w:val="22"/>
                <w:szCs w:val="22"/>
              </w:rPr>
              <w:t>водохранилища</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w:t>
            </w:r>
          </w:p>
          <w:p>
            <w:pPr>
              <w:pStyle w:val="Normal"/>
              <w:widowControl w:val="false"/>
              <w:jc w:val="center"/>
              <w:rPr>
                <w:sz w:val="22"/>
                <w:szCs w:val="22"/>
              </w:rPr>
            </w:pPr>
            <w:r>
              <w:rPr>
                <w:sz w:val="22"/>
                <w:szCs w:val="22"/>
              </w:rPr>
              <w:t>Максимальный процент застройки – не регламентируется.</w:t>
            </w:r>
          </w:p>
          <w:p>
            <w:pPr>
              <w:pStyle w:val="Normal"/>
              <w:widowControl w:val="false"/>
              <w:jc w:val="center"/>
              <w:rPr>
                <w:sz w:val="22"/>
                <w:szCs w:val="22"/>
              </w:rPr>
            </w:pPr>
            <w:r>
              <w:rPr>
                <w:sz w:val="22"/>
                <w:szCs w:val="22"/>
              </w:rPr>
              <w:t>Предельное количество этажей – не регламентируется,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123,25</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Строительство очистных сооружений дождевой канализации производительностью до 1 тыс. куб. м/сут.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3.133</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в мкр. Черносвитино, район ул. Речной</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Зона садоводческих, огороднических или дачных некоммерческих объединений граждан.</w:t>
            </w:r>
          </w:p>
          <w:p>
            <w:pPr>
              <w:pStyle w:val="Normal"/>
              <w:widowControl w:val="false"/>
              <w:jc w:val="center"/>
              <w:rPr>
                <w:sz w:val="22"/>
                <w:szCs w:val="22"/>
              </w:rPr>
            </w:pPr>
            <w:r>
              <w:rPr>
                <w:sz w:val="22"/>
                <w:szCs w:val="22"/>
              </w:rPr>
              <w:t xml:space="preserve"> </w:t>
            </w: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- 2, рекомендуемая плотность населения - 60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11,04</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pPr>
            <w:r>
              <w:rPr>
                <w:color w:val="auto"/>
                <w:sz w:val="22"/>
                <w:szCs w:val="22"/>
              </w:rPr>
              <w:t>Строительство очистных сооружений дождевой канализации производительностью до 1 тысяч куб. м/сут.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3.134</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в мкр. Черносвитино,</w:t>
            </w:r>
          </w:p>
          <w:p>
            <w:pPr>
              <w:pStyle w:val="Normal"/>
              <w:widowControl w:val="false"/>
              <w:jc w:val="center"/>
              <w:rPr>
                <w:sz w:val="22"/>
                <w:szCs w:val="22"/>
              </w:rPr>
            </w:pPr>
            <w:r>
              <w:rPr>
                <w:sz w:val="22"/>
                <w:szCs w:val="22"/>
              </w:rPr>
              <w:t>район пер. Удачный</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- 4, рекомендуемая плотность населения - 60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112,47</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Строительство очистных сооружений дождевой канализации производительностью до 1 тыс. куб. м/сут.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3.135</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севернее мкр. Силикатный</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w:t>
            </w:r>
          </w:p>
          <w:p>
            <w:pPr>
              <w:pStyle w:val="Normal"/>
              <w:widowControl w:val="false"/>
              <w:jc w:val="center"/>
              <w:rPr>
                <w:sz w:val="22"/>
                <w:szCs w:val="22"/>
              </w:rPr>
            </w:pPr>
            <w:r>
              <w:rPr>
                <w:sz w:val="22"/>
                <w:szCs w:val="22"/>
              </w:rPr>
              <w:t>Максимальный процент застройки – не регламентируется.</w:t>
            </w:r>
          </w:p>
          <w:p>
            <w:pPr>
              <w:pStyle w:val="Normal"/>
              <w:widowControl w:val="false"/>
              <w:jc w:val="center"/>
              <w:rPr>
                <w:sz w:val="22"/>
                <w:szCs w:val="22"/>
              </w:rPr>
            </w:pPr>
            <w:r>
              <w:rPr>
                <w:sz w:val="22"/>
                <w:szCs w:val="22"/>
              </w:rPr>
              <w:t>Предельное количество этажей – не регламентируется,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6,92</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Строительство очистных сооружений дождевой канализации производительностью до 1 тыс. куб. м/сут.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3.136</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мкр. Малиновка</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Производственные зоны, зоны инженерной и транспортной инфраструктур.</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- 5,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0,2</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Строительство очистных сооружений дождевой канализации</w:t>
            </w:r>
          </w:p>
          <w:p>
            <w:pPr>
              <w:pStyle w:val="Default1"/>
              <w:widowControl w:val="false"/>
              <w:jc w:val="center"/>
              <w:rPr>
                <w:sz w:val="22"/>
                <w:szCs w:val="22"/>
              </w:rPr>
            </w:pPr>
            <w:r>
              <w:rPr>
                <w:color w:val="auto"/>
                <w:sz w:val="22"/>
                <w:szCs w:val="22"/>
              </w:rPr>
              <w:t>производительностью до 1 тыс. куб. м/сут.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3.137</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 Канищево,</w:t>
            </w:r>
          </w:p>
          <w:p>
            <w:pPr>
              <w:pStyle w:val="Normal"/>
              <w:widowControl w:val="false"/>
              <w:jc w:val="center"/>
              <w:rPr>
                <w:sz w:val="22"/>
                <w:szCs w:val="22"/>
              </w:rPr>
            </w:pPr>
            <w:r>
              <w:rPr>
                <w:sz w:val="22"/>
                <w:szCs w:val="22"/>
              </w:rPr>
              <w:t>ул. Усадебная</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- 4, рекомендуемая плотность населения - 60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29,65</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Строительство очистных сооружения дождевой канализации производительностью до 1 тыс. куб. м/сут.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3.138</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район д. Пучково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- 8, рекомендуемая плотность населения - 435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95,97</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Строительство котельной,</w:t>
            </w:r>
          </w:p>
          <w:p>
            <w:pPr>
              <w:pStyle w:val="Default1"/>
              <w:widowControl w:val="false"/>
              <w:jc w:val="center"/>
              <w:rPr>
                <w:sz w:val="22"/>
                <w:szCs w:val="22"/>
              </w:rPr>
            </w:pPr>
            <w:r>
              <w:rPr>
                <w:color w:val="auto"/>
                <w:sz w:val="22"/>
                <w:szCs w:val="22"/>
              </w:rPr>
              <w:t>УТМ 30 Гкал/ч</w:t>
            </w:r>
          </w:p>
          <w:p>
            <w:pPr>
              <w:pStyle w:val="Default1"/>
              <w:widowControl w:val="false"/>
              <w:jc w:val="center"/>
              <w:rPr>
                <w:sz w:val="22"/>
                <w:szCs w:val="22"/>
              </w:rPr>
            </w:pPr>
            <w:r>
              <w:rPr>
                <w:color w:val="auto"/>
                <w:sz w:val="22"/>
                <w:szCs w:val="22"/>
              </w:rPr>
              <w:t>с увеличением до</w:t>
            </w:r>
          </w:p>
          <w:p>
            <w:pPr>
              <w:pStyle w:val="Default1"/>
              <w:widowControl w:val="false"/>
              <w:jc w:val="center"/>
              <w:rPr>
                <w:sz w:val="22"/>
                <w:szCs w:val="22"/>
              </w:rPr>
            </w:pPr>
            <w:r>
              <w:rPr>
                <w:color w:val="auto"/>
                <w:sz w:val="22"/>
                <w:szCs w:val="22"/>
              </w:rPr>
              <w:t>75 Гкал/ч. Установка ГПА (УЭМ 15 МВт)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3.139</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мкр. Ольговский</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Общественно-деловые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pPr>
            <w:r>
              <w:rPr>
                <w:sz w:val="22"/>
                <w:szCs w:val="22"/>
              </w:rPr>
              <w:t>Предельное количество этажей - 6,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30,49</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Строительство котельной,</w:t>
            </w:r>
          </w:p>
          <w:p>
            <w:pPr>
              <w:pStyle w:val="Default1"/>
              <w:widowControl w:val="false"/>
              <w:jc w:val="center"/>
              <w:rPr>
                <w:sz w:val="22"/>
                <w:szCs w:val="22"/>
              </w:rPr>
            </w:pPr>
            <w:r>
              <w:rPr>
                <w:color w:val="auto"/>
                <w:sz w:val="22"/>
                <w:szCs w:val="22"/>
              </w:rPr>
              <w:t>УТМ 30 Гкал/ч</w:t>
            </w:r>
          </w:p>
          <w:p>
            <w:pPr>
              <w:pStyle w:val="Default1"/>
              <w:widowControl w:val="false"/>
              <w:jc w:val="center"/>
              <w:rPr>
                <w:sz w:val="22"/>
                <w:szCs w:val="22"/>
              </w:rPr>
            </w:pPr>
            <w:r>
              <w:rPr>
                <w:color w:val="auto"/>
                <w:sz w:val="22"/>
                <w:szCs w:val="22"/>
              </w:rPr>
              <w:t>с увеличением до</w:t>
            </w:r>
          </w:p>
          <w:p>
            <w:pPr>
              <w:pStyle w:val="Default1"/>
              <w:widowControl w:val="false"/>
              <w:jc w:val="center"/>
              <w:rPr>
                <w:sz w:val="22"/>
                <w:szCs w:val="22"/>
              </w:rPr>
            </w:pPr>
            <w:r>
              <w:rPr>
                <w:color w:val="auto"/>
                <w:sz w:val="22"/>
                <w:szCs w:val="22"/>
              </w:rPr>
              <w:t>70 Гкал/ч. Установка ГПА (УЭМ 15 МВт).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3.140</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мкр. Северный</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- 8, рекомендуемая плотность населения - 435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51,36</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Строительство котельной, УТМ</w:t>
            </w:r>
          </w:p>
          <w:p>
            <w:pPr>
              <w:pStyle w:val="Normal"/>
              <w:widowControl w:val="false"/>
              <w:jc w:val="center"/>
              <w:rPr>
                <w:sz w:val="22"/>
                <w:szCs w:val="22"/>
              </w:rPr>
            </w:pPr>
            <w:r>
              <w:rPr>
                <w:sz w:val="22"/>
                <w:szCs w:val="22"/>
              </w:rPr>
              <w:t>15 Гкал/ч. Установка ГПА (УЭМ 3 МВт). Переключение потребителей котельных «Дорожная, 6а», «Тепличная, 22», «Новая, 41», «Нижняя</w:t>
            </w:r>
          </w:p>
          <w:p>
            <w:pPr>
              <w:pStyle w:val="Default1"/>
              <w:widowControl w:val="false"/>
              <w:jc w:val="center"/>
              <w:rPr>
                <w:sz w:val="22"/>
                <w:szCs w:val="22"/>
              </w:rPr>
            </w:pPr>
            <w:r>
              <w:rPr>
                <w:color w:val="auto"/>
                <w:sz w:val="22"/>
                <w:szCs w:val="22"/>
              </w:rPr>
              <w:t>Усадебная, 2»</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3.141</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w:t>
            </w:r>
          </w:p>
          <w:p>
            <w:pPr>
              <w:pStyle w:val="Normal"/>
              <w:widowControl w:val="false"/>
              <w:jc w:val="center"/>
              <w:rPr>
                <w:sz w:val="22"/>
                <w:szCs w:val="22"/>
              </w:rPr>
            </w:pPr>
            <w:r>
              <w:rPr>
                <w:sz w:val="22"/>
                <w:szCs w:val="22"/>
                <w:lang w:eastAsia="en-US"/>
              </w:rPr>
              <w:t xml:space="preserve">области, </w:t>
            </w:r>
            <w:r>
              <w:rPr>
                <w:sz w:val="22"/>
                <w:szCs w:val="22"/>
              </w:rPr>
              <w:t>д. Макаровка</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 Предельное количество этажей - 4, рекомендуемая плотность населения - 60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5,18</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Строительство газорегуляторного пункта</w:t>
            </w:r>
          </w:p>
          <w:p>
            <w:pPr>
              <w:pStyle w:val="Default1"/>
              <w:widowControl w:val="false"/>
              <w:jc w:val="center"/>
              <w:rPr>
                <w:sz w:val="22"/>
                <w:szCs w:val="22"/>
              </w:rPr>
            </w:pPr>
            <w:r>
              <w:rPr>
                <w:color w:val="auto"/>
                <w:sz w:val="22"/>
                <w:szCs w:val="22"/>
              </w:rPr>
              <w:t>наземного типа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3.142</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w:t>
            </w:r>
          </w:p>
          <w:p>
            <w:pPr>
              <w:pStyle w:val="Normal"/>
              <w:widowControl w:val="false"/>
              <w:jc w:val="center"/>
              <w:rPr>
                <w:sz w:val="22"/>
                <w:szCs w:val="22"/>
              </w:rPr>
            </w:pPr>
            <w:r>
              <w:rPr>
                <w:sz w:val="22"/>
                <w:szCs w:val="22"/>
                <w:lang w:eastAsia="en-US"/>
              </w:rPr>
              <w:t xml:space="preserve">области, </w:t>
            </w:r>
            <w:r>
              <w:rPr>
                <w:sz w:val="22"/>
                <w:szCs w:val="22"/>
              </w:rPr>
              <w:t>д. Переселенец</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- 4, рекомендуемая плотность населения - 60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6,15</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Строительство газорегуляторного пункта</w:t>
            </w:r>
          </w:p>
          <w:p>
            <w:pPr>
              <w:pStyle w:val="Default1"/>
              <w:widowControl w:val="false"/>
              <w:jc w:val="center"/>
              <w:rPr>
                <w:sz w:val="22"/>
                <w:szCs w:val="22"/>
              </w:rPr>
            </w:pPr>
            <w:r>
              <w:rPr>
                <w:color w:val="auto"/>
                <w:sz w:val="22"/>
                <w:szCs w:val="22"/>
              </w:rPr>
              <w:t>наземного типа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3.143</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w:t>
            </w:r>
          </w:p>
          <w:p>
            <w:pPr>
              <w:pStyle w:val="Normal"/>
              <w:widowControl w:val="false"/>
              <w:jc w:val="center"/>
              <w:rPr>
                <w:sz w:val="22"/>
                <w:szCs w:val="22"/>
              </w:rPr>
            </w:pPr>
            <w:r>
              <w:rPr>
                <w:sz w:val="22"/>
                <w:szCs w:val="22"/>
                <w:lang w:eastAsia="en-US"/>
              </w:rPr>
              <w:t>области, д. Горенское</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- 4, рекомендуемая плотность населения - 60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20,98</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Установка ГРПШ (строительство газорегуляторного пункта наземного типа)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3.144</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район</w:t>
            </w:r>
          </w:p>
          <w:p>
            <w:pPr>
              <w:pStyle w:val="Normal"/>
              <w:widowControl w:val="false"/>
              <w:jc w:val="center"/>
              <w:rPr>
                <w:sz w:val="22"/>
                <w:szCs w:val="22"/>
              </w:rPr>
            </w:pPr>
            <w:r>
              <w:rPr>
                <w:sz w:val="22"/>
                <w:szCs w:val="22"/>
              </w:rPr>
              <w:t>д. Некрасово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- 8, рекомендуемая плотность населения - 435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30,81</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Строительство автоматической телефонной станции (АТС) мощностью</w:t>
            </w:r>
          </w:p>
          <w:p>
            <w:pPr>
              <w:pStyle w:val="Default1"/>
              <w:widowControl w:val="false"/>
              <w:jc w:val="center"/>
              <w:rPr>
                <w:sz w:val="22"/>
                <w:szCs w:val="22"/>
              </w:rPr>
            </w:pPr>
            <w:r>
              <w:rPr>
                <w:color w:val="auto"/>
                <w:sz w:val="22"/>
                <w:szCs w:val="22"/>
              </w:rPr>
              <w:t>11 тыс. номеров</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3.145</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мкр. Байконур</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Общественно-деловые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pPr>
            <w:r>
              <w:rPr>
                <w:sz w:val="22"/>
                <w:szCs w:val="22"/>
              </w:rPr>
              <w:t>Предельное количество этажей - 8,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33,19</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Строительство автоматической телефонной станции (АТС) мощностью</w:t>
            </w:r>
          </w:p>
          <w:p>
            <w:pPr>
              <w:pStyle w:val="Default1"/>
              <w:widowControl w:val="false"/>
              <w:jc w:val="center"/>
              <w:rPr>
                <w:sz w:val="22"/>
                <w:szCs w:val="22"/>
              </w:rPr>
            </w:pPr>
            <w:r>
              <w:rPr>
                <w:color w:val="auto"/>
                <w:sz w:val="22"/>
                <w:szCs w:val="22"/>
              </w:rPr>
              <w:t>12 тыс. номеров</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3.146</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мкр. Кошелев</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Многофункционального назначения.</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- 6, рекомендуемая плотность населения - 280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16,88</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Строительство автоматической телефонной станции (АТС) мощностью</w:t>
            </w:r>
          </w:p>
          <w:p>
            <w:pPr>
              <w:pStyle w:val="Default1"/>
              <w:widowControl w:val="false"/>
              <w:jc w:val="center"/>
              <w:rPr>
                <w:sz w:val="22"/>
                <w:szCs w:val="22"/>
              </w:rPr>
            </w:pPr>
            <w:r>
              <w:rPr>
                <w:color w:val="auto"/>
                <w:sz w:val="22"/>
                <w:szCs w:val="22"/>
              </w:rPr>
              <w:t>16 тыс. номеров</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3.147</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мкр. Секиотово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Производственные зоны, зоны инженерной и транспортной инфраструктур.</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- 5,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1,95</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Вышка сотовой связи</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3.148</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мкр. Силикатный</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Производственные зоны, зоны инженерной и транспортной инфраструктур.</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- 5,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7,2</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Вышка сотовой связи</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3.149</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в районе</w:t>
            </w:r>
          </w:p>
          <w:p>
            <w:pPr>
              <w:pStyle w:val="Normal"/>
              <w:widowControl w:val="false"/>
              <w:jc w:val="center"/>
              <w:rPr>
                <w:sz w:val="22"/>
                <w:szCs w:val="22"/>
              </w:rPr>
            </w:pPr>
            <w:r>
              <w:rPr>
                <w:sz w:val="22"/>
                <w:szCs w:val="22"/>
              </w:rPr>
              <w:t>СНТ «Водник»</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Производственные зоны, зоны инженерной и транспортной инфраструктур.</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- 5,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1,6</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Вышка сотовой связи</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3.150</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по</w:t>
            </w:r>
          </w:p>
          <w:p>
            <w:pPr>
              <w:pStyle w:val="Normal"/>
              <w:widowControl w:val="false"/>
              <w:jc w:val="center"/>
              <w:rPr>
                <w:sz w:val="22"/>
                <w:szCs w:val="22"/>
              </w:rPr>
            </w:pPr>
            <w:r>
              <w:rPr>
                <w:sz w:val="22"/>
                <w:szCs w:val="22"/>
              </w:rPr>
              <w:t>ул. Литвиновская</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Производственные зоны, зоны инженерной и транспортной инфраструктур.</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- 5,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15,51</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Вышка сотовой связи</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3.151</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w:t>
            </w:r>
          </w:p>
          <w:p>
            <w:pPr>
              <w:pStyle w:val="Normal"/>
              <w:widowControl w:val="false"/>
              <w:jc w:val="center"/>
              <w:rPr>
                <w:sz w:val="22"/>
                <w:szCs w:val="22"/>
              </w:rPr>
            </w:pPr>
            <w:r>
              <w:rPr>
                <w:sz w:val="22"/>
                <w:szCs w:val="22"/>
                <w:lang w:eastAsia="en-US"/>
              </w:rPr>
              <w:t>области,</w:t>
            </w:r>
          </w:p>
          <w:p>
            <w:pPr>
              <w:pStyle w:val="Normal"/>
              <w:widowControl w:val="false"/>
              <w:jc w:val="center"/>
              <w:rPr>
                <w:sz w:val="22"/>
                <w:szCs w:val="22"/>
              </w:rPr>
            </w:pPr>
            <w:r>
              <w:rPr>
                <w:sz w:val="22"/>
                <w:szCs w:val="22"/>
              </w:rPr>
              <w:t>с. Муратовского</w:t>
            </w:r>
          </w:p>
          <w:p>
            <w:pPr>
              <w:pStyle w:val="Normal"/>
              <w:widowControl w:val="false"/>
              <w:jc w:val="center"/>
              <w:rPr>
                <w:sz w:val="22"/>
                <w:szCs w:val="22"/>
              </w:rPr>
            </w:pPr>
            <w:r>
              <w:rPr>
                <w:sz w:val="22"/>
                <w:szCs w:val="22"/>
              </w:rPr>
              <w:t>щебзавода</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Общественно-деловые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- 8,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0,82</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Вышка сотовой связи</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3.152</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 области,</w:t>
            </w:r>
          </w:p>
          <w:p>
            <w:pPr>
              <w:pStyle w:val="Normal"/>
              <w:widowControl w:val="false"/>
              <w:jc w:val="center"/>
              <w:rPr>
                <w:sz w:val="22"/>
                <w:szCs w:val="22"/>
              </w:rPr>
            </w:pPr>
            <w:r>
              <w:rPr>
                <w:sz w:val="22"/>
                <w:szCs w:val="22"/>
              </w:rPr>
              <w:t>ж/д. ст. Тихонова</w:t>
            </w:r>
          </w:p>
          <w:p>
            <w:pPr>
              <w:pStyle w:val="Normal"/>
              <w:widowControl w:val="false"/>
              <w:jc w:val="center"/>
              <w:rPr>
                <w:sz w:val="22"/>
                <w:szCs w:val="22"/>
              </w:rPr>
            </w:pPr>
            <w:r>
              <w:rPr>
                <w:sz w:val="22"/>
                <w:szCs w:val="22"/>
              </w:rPr>
              <w:t>Пустынь</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Общественно-деловые зоны.</w:t>
            </w:r>
          </w:p>
          <w:p>
            <w:pPr>
              <w:pStyle w:val="Normal"/>
              <w:widowControl w:val="false"/>
              <w:jc w:val="center"/>
              <w:rPr>
                <w:sz w:val="22"/>
                <w:szCs w:val="22"/>
              </w:rPr>
            </w:pPr>
            <w:r>
              <w:rPr>
                <w:sz w:val="22"/>
                <w:szCs w:val="22"/>
              </w:rPr>
              <w:t>Максимальный процент застройки – 50 %.</w:t>
            </w:r>
          </w:p>
          <w:p>
            <w:pPr>
              <w:pStyle w:val="Normal"/>
              <w:widowControl w:val="false"/>
              <w:jc w:val="center"/>
              <w:rPr>
                <w:sz w:val="22"/>
                <w:szCs w:val="22"/>
              </w:rPr>
            </w:pPr>
            <w:r>
              <w:rPr>
                <w:sz w:val="22"/>
                <w:szCs w:val="22"/>
              </w:rPr>
              <w:t>Предельное количество этажей – 4,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0,99</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Пожарное депо</w:t>
            </w:r>
          </w:p>
          <w:p>
            <w:pPr>
              <w:pStyle w:val="Default1"/>
              <w:widowControl w:val="false"/>
              <w:jc w:val="center"/>
              <w:rPr>
                <w:sz w:val="22"/>
                <w:szCs w:val="22"/>
              </w:rPr>
            </w:pPr>
            <w:r>
              <w:rPr>
                <w:color w:val="auto"/>
                <w:sz w:val="22"/>
                <w:szCs w:val="22"/>
              </w:rPr>
              <w:t>5 класса на</w:t>
            </w:r>
          </w:p>
          <w:p>
            <w:pPr>
              <w:pStyle w:val="Default1"/>
              <w:widowControl w:val="false"/>
              <w:jc w:val="center"/>
              <w:rPr>
                <w:sz w:val="22"/>
                <w:szCs w:val="22"/>
              </w:rPr>
            </w:pPr>
            <w:r>
              <w:rPr>
                <w:color w:val="auto"/>
                <w:sz w:val="22"/>
                <w:szCs w:val="22"/>
              </w:rPr>
              <w:t>2 автомобиля</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3.153</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правый берег, район мкр. Кошелев</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- 4, рекомендуемая плотность населения - 435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16,53</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Пожарное депо на 6 автомобилей с производственными и учебно-тренировочными объектами</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3.154</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городской округ город Калуга Калужской области,</w:t>
            </w:r>
          </w:p>
          <w:p>
            <w:pPr>
              <w:pStyle w:val="Normal"/>
              <w:widowControl w:val="false"/>
              <w:jc w:val="center"/>
              <w:rPr>
                <w:sz w:val="22"/>
                <w:szCs w:val="22"/>
              </w:rPr>
            </w:pPr>
            <w:r>
              <w:rPr>
                <w:sz w:val="22"/>
                <w:szCs w:val="22"/>
              </w:rPr>
              <w:t>д. Андреевское</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- 4, рекомендуемая плотность населения - 60 чел./га</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8,78</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Пожарная дружина с мобильными средствами пожаротушения на базе дома культуры</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3.155</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район кампуса МГТУ им. Н.Э.Баумана</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16"/>
              <w:jc w:val="center"/>
              <w:rPr>
                <w:sz w:val="22"/>
                <w:szCs w:val="22"/>
              </w:rPr>
            </w:pPr>
            <w:r>
              <w:rPr>
                <w:sz w:val="22"/>
                <w:szCs w:val="22"/>
              </w:rPr>
              <w:t>Зоны рекреационного назначения.</w:t>
            </w:r>
          </w:p>
          <w:p>
            <w:pPr>
              <w:pStyle w:val="Normal"/>
              <w:widowControl w:val="false"/>
              <w:jc w:val="center"/>
              <w:rPr>
                <w:sz w:val="22"/>
                <w:szCs w:val="22"/>
              </w:rPr>
            </w:pPr>
            <w:r>
              <w:rPr>
                <w:sz w:val="22"/>
                <w:szCs w:val="22"/>
              </w:rPr>
              <w:t>Максимальный процент застройки – не регламентируется.</w:t>
            </w:r>
          </w:p>
          <w:p>
            <w:pPr>
              <w:pStyle w:val="Normal"/>
              <w:widowControl w:val="false"/>
              <w:jc w:val="center"/>
              <w:rPr>
                <w:sz w:val="22"/>
                <w:szCs w:val="22"/>
              </w:rPr>
            </w:pPr>
            <w:r>
              <w:rPr>
                <w:sz w:val="22"/>
                <w:szCs w:val="22"/>
              </w:rPr>
              <w:t>Предельное количество этажей – не регламентируется,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154,88</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Спортивная зона активного отдыха и экстремальных видов спорта для студентов и жителей с единовременной пропускной способностью</w:t>
            </w:r>
          </w:p>
          <w:p>
            <w:pPr>
              <w:pStyle w:val="Default1"/>
              <w:widowControl w:val="false"/>
              <w:jc w:val="center"/>
              <w:rPr>
                <w:sz w:val="22"/>
                <w:szCs w:val="22"/>
              </w:rPr>
            </w:pPr>
            <w:r>
              <w:rPr>
                <w:color w:val="auto"/>
                <w:sz w:val="22"/>
                <w:szCs w:val="22"/>
              </w:rPr>
              <w:t>150 человек, вместимостью</w:t>
            </w:r>
          </w:p>
          <w:p>
            <w:pPr>
              <w:pStyle w:val="Default1"/>
              <w:widowControl w:val="false"/>
              <w:jc w:val="center"/>
              <w:rPr>
                <w:sz w:val="22"/>
                <w:szCs w:val="22"/>
              </w:rPr>
            </w:pPr>
            <w:r>
              <w:rPr>
                <w:color w:val="auto"/>
                <w:sz w:val="22"/>
                <w:szCs w:val="22"/>
              </w:rPr>
              <w:t>250 человек</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3.156</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район ул. Можайская</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16"/>
              <w:jc w:val="center"/>
              <w:rPr>
                <w:sz w:val="22"/>
                <w:szCs w:val="22"/>
              </w:rPr>
            </w:pPr>
            <w:r>
              <w:rPr>
                <w:sz w:val="22"/>
                <w:szCs w:val="22"/>
              </w:rPr>
              <w:t>Зоны рекреационного назначения.</w:t>
            </w:r>
          </w:p>
          <w:p>
            <w:pPr>
              <w:pStyle w:val="Normal"/>
              <w:widowControl w:val="false"/>
              <w:spacing w:lineRule="auto" w:line="216"/>
              <w:jc w:val="center"/>
              <w:rPr>
                <w:sz w:val="22"/>
                <w:szCs w:val="22"/>
              </w:rPr>
            </w:pPr>
            <w:r>
              <w:rPr>
                <w:sz w:val="22"/>
                <w:szCs w:val="22"/>
              </w:rPr>
              <w:t>Максимальный процент застройки – не регламентируется. Предельное количество этажей – не регламентируется,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0,9</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Туристический комплекс вместимостью до 50 мест, мощность объектов, не предусматривающих пребывания, число обслуживаемых лиц в сутки до 100 человек, единовременная пропускная способность до 60 человек, вместимость объектов зрелищного назначения</w:t>
            </w:r>
          </w:p>
          <w:p>
            <w:pPr>
              <w:pStyle w:val="Default1"/>
              <w:widowControl w:val="false"/>
              <w:jc w:val="center"/>
              <w:rPr>
                <w:sz w:val="22"/>
                <w:szCs w:val="22"/>
              </w:rPr>
            </w:pPr>
            <w:r>
              <w:rPr>
                <w:color w:val="auto"/>
                <w:sz w:val="22"/>
                <w:szCs w:val="22"/>
              </w:rPr>
              <w:t>50 зрительских мест</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3.157</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ул. Фомушина</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Общественно-деловые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- 5, 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1,37</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Дворец бракосочетания</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3.158</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 Калуга,</w:t>
            </w:r>
          </w:p>
          <w:p>
            <w:pPr>
              <w:pStyle w:val="Normal"/>
              <w:widowControl w:val="false"/>
              <w:jc w:val="center"/>
              <w:rPr>
                <w:sz w:val="22"/>
                <w:szCs w:val="22"/>
              </w:rPr>
            </w:pPr>
            <w:r>
              <w:rPr>
                <w:sz w:val="22"/>
                <w:szCs w:val="22"/>
                <w:lang w:eastAsia="en-US"/>
              </w:rPr>
              <w:t>ул. Городенская, д.27</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Зона складирования и захоронения отходов.</w:t>
            </w:r>
          </w:p>
          <w:p>
            <w:pPr>
              <w:pStyle w:val="Normal"/>
              <w:widowControl w:val="false"/>
              <w:jc w:val="center"/>
              <w:rPr>
                <w:sz w:val="22"/>
                <w:szCs w:val="22"/>
              </w:rPr>
            </w:pPr>
            <w:r>
              <w:rPr>
                <w:sz w:val="22"/>
                <w:szCs w:val="22"/>
              </w:rPr>
              <w:t>Максимальный процент застройки - не регламентируется.</w:t>
            </w:r>
          </w:p>
          <w:p>
            <w:pPr>
              <w:pStyle w:val="Normal"/>
              <w:widowControl w:val="false"/>
              <w:jc w:val="center"/>
              <w:rPr>
                <w:sz w:val="22"/>
                <w:szCs w:val="22"/>
              </w:rPr>
            </w:pPr>
            <w:r>
              <w:rPr>
                <w:sz w:val="22"/>
                <w:szCs w:val="22"/>
              </w:rPr>
              <w:t>Предельное количество этажей - не регламентируется.</w:t>
            </w:r>
          </w:p>
          <w:p>
            <w:pPr>
              <w:pStyle w:val="Normal"/>
              <w:widowControl w:val="false"/>
              <w:jc w:val="center"/>
              <w:rPr>
                <w:sz w:val="22"/>
                <w:szCs w:val="22"/>
              </w:rPr>
            </w:pPr>
            <w:r>
              <w:rPr>
                <w:sz w:val="22"/>
                <w:szCs w:val="22"/>
              </w:rPr>
              <w:t>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7,8</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Рекультивация полигона ТКО в г. Калуге (рекультивация несанкционированной свалки), площадью – 7,8 га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3.159</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 Калуга,</w:t>
            </w:r>
          </w:p>
          <w:p>
            <w:pPr>
              <w:pStyle w:val="Normal"/>
              <w:widowControl w:val="false"/>
              <w:jc w:val="center"/>
              <w:rPr>
                <w:sz w:val="22"/>
                <w:szCs w:val="22"/>
              </w:rPr>
            </w:pPr>
            <w:r>
              <w:rPr>
                <w:sz w:val="22"/>
                <w:szCs w:val="22"/>
                <w:lang w:eastAsia="en-US"/>
              </w:rPr>
              <w:t>ул. Городенская, д.27;</w:t>
            </w:r>
          </w:p>
          <w:p>
            <w:pPr>
              <w:pStyle w:val="Normal"/>
              <w:widowControl w:val="false"/>
              <w:jc w:val="center"/>
              <w:rPr>
                <w:sz w:val="22"/>
                <w:szCs w:val="22"/>
              </w:rPr>
            </w:pPr>
            <w:r>
              <w:rPr>
                <w:sz w:val="22"/>
                <w:szCs w:val="22"/>
                <w:lang w:eastAsia="en-US"/>
              </w:rPr>
              <w:t>з.у.с</w:t>
            </w:r>
            <w:r>
              <w:rPr>
                <w:sz w:val="22"/>
                <w:szCs w:val="22"/>
                <w:lang w:val="en-US" w:eastAsia="en-US"/>
              </w:rPr>
              <w:t xml:space="preserve"> </w:t>
            </w:r>
            <w:r>
              <w:rPr>
                <w:sz w:val="22"/>
                <w:szCs w:val="22"/>
                <w:lang w:eastAsia="en-US"/>
              </w:rPr>
              <w:t>КН</w:t>
            </w:r>
            <w:r>
              <w:rPr>
                <w:sz w:val="22"/>
                <w:szCs w:val="22"/>
                <w:lang w:val="en-US" w:eastAsia="en-US"/>
              </w:rPr>
              <w:t xml:space="preserve"> </w:t>
            </w:r>
            <w:r>
              <w:rPr>
                <w:sz w:val="22"/>
                <w:szCs w:val="22"/>
                <w:lang w:eastAsia="en-US"/>
              </w:rPr>
              <w:t>40:26:000106:4</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Зона складирования и захоронения отходов.</w:t>
            </w:r>
          </w:p>
          <w:p>
            <w:pPr>
              <w:pStyle w:val="Normal"/>
              <w:widowControl w:val="false"/>
              <w:jc w:val="center"/>
              <w:rPr>
                <w:sz w:val="22"/>
                <w:szCs w:val="22"/>
              </w:rPr>
            </w:pPr>
            <w:r>
              <w:rPr>
                <w:sz w:val="22"/>
                <w:szCs w:val="22"/>
              </w:rPr>
              <w:t>Максимальный процент застройки - не регламентируется. Предельное количество этажей - не регламентируется.</w:t>
            </w:r>
          </w:p>
          <w:p>
            <w:pPr>
              <w:pStyle w:val="Normal"/>
              <w:widowControl w:val="false"/>
              <w:jc w:val="center"/>
              <w:rPr>
                <w:sz w:val="22"/>
                <w:szCs w:val="22"/>
              </w:rPr>
            </w:pPr>
            <w:r>
              <w:rPr>
                <w:sz w:val="22"/>
                <w:szCs w:val="22"/>
              </w:rPr>
              <w:t>Рекомендуемая плотность населения - 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17,23</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Default1"/>
              <w:widowControl w:val="false"/>
              <w:jc w:val="center"/>
              <w:rPr>
                <w:sz w:val="22"/>
                <w:szCs w:val="22"/>
              </w:rPr>
            </w:pPr>
            <w:r>
              <w:rPr>
                <w:color w:val="auto"/>
                <w:sz w:val="22"/>
                <w:szCs w:val="22"/>
              </w:rPr>
              <w:t>Рекультивация полигона,</w:t>
            </w:r>
          </w:p>
          <w:p>
            <w:pPr>
              <w:pStyle w:val="Default1"/>
              <w:widowControl w:val="false"/>
              <w:jc w:val="center"/>
              <w:rPr>
                <w:sz w:val="22"/>
                <w:szCs w:val="22"/>
              </w:rPr>
            </w:pPr>
            <w:r>
              <w:rPr>
                <w:color w:val="auto"/>
                <w:sz w:val="22"/>
                <w:szCs w:val="22"/>
              </w:rPr>
              <w:t>площадью – 7 га</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r>
        <w:trPr>
          <w:trHeight w:val="93" w:hRule="atLeast"/>
          <w:cantSplit w:val="true"/>
        </w:trPr>
        <w:tc>
          <w:tcPr>
            <w:tcW w:w="7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eastAsia="en-US"/>
              </w:rPr>
              <w:t>3.160</w:t>
            </w:r>
          </w:p>
        </w:tc>
        <w:tc>
          <w:tcPr>
            <w:tcW w:w="27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 Калуга,</w:t>
            </w:r>
          </w:p>
          <w:p>
            <w:pPr>
              <w:pStyle w:val="Normal"/>
              <w:widowControl w:val="false"/>
              <w:jc w:val="center"/>
              <w:rPr>
                <w:sz w:val="22"/>
                <w:szCs w:val="22"/>
              </w:rPr>
            </w:pPr>
            <w:r>
              <w:rPr>
                <w:sz w:val="22"/>
                <w:szCs w:val="22"/>
                <w:lang w:eastAsia="en-US"/>
              </w:rPr>
              <w:t>ул. Городенская,</w:t>
            </w:r>
          </w:p>
          <w:p>
            <w:pPr>
              <w:pStyle w:val="Normal"/>
              <w:widowControl w:val="false"/>
              <w:jc w:val="center"/>
              <w:rPr>
                <w:sz w:val="22"/>
                <w:szCs w:val="22"/>
              </w:rPr>
            </w:pPr>
            <w:r>
              <w:rPr>
                <w:sz w:val="22"/>
                <w:szCs w:val="22"/>
                <w:lang w:eastAsia="en-US"/>
              </w:rPr>
              <w:t>р-н закрытого</w:t>
            </w:r>
          </w:p>
          <w:p>
            <w:pPr>
              <w:pStyle w:val="Normal"/>
              <w:widowControl w:val="false"/>
              <w:jc w:val="center"/>
              <w:rPr>
                <w:sz w:val="22"/>
                <w:szCs w:val="22"/>
              </w:rPr>
            </w:pPr>
            <w:r>
              <w:rPr>
                <w:sz w:val="22"/>
                <w:szCs w:val="22"/>
                <w:lang w:eastAsia="en-US"/>
              </w:rPr>
              <w:t>полигона ТКО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Зона складирования и захоронения отходов.</w:t>
            </w:r>
          </w:p>
          <w:p>
            <w:pPr>
              <w:pStyle w:val="Normal"/>
              <w:widowControl w:val="false"/>
              <w:jc w:val="center"/>
              <w:rPr>
                <w:sz w:val="22"/>
                <w:szCs w:val="22"/>
              </w:rPr>
            </w:pPr>
            <w:r>
              <w:rPr>
                <w:sz w:val="22"/>
                <w:szCs w:val="22"/>
              </w:rPr>
              <w:t>Максимальный процент застройки - не регламентируется. Предельное количество этажей - не регламентируется.</w:t>
            </w:r>
          </w:p>
          <w:p>
            <w:pPr>
              <w:pStyle w:val="Normal"/>
              <w:widowControl w:val="false"/>
              <w:jc w:val="center"/>
              <w:rPr>
                <w:sz w:val="22"/>
                <w:szCs w:val="22"/>
              </w:rPr>
            </w:pPr>
            <w:r>
              <w:rPr>
                <w:sz w:val="22"/>
                <w:szCs w:val="22"/>
              </w:rPr>
              <w:t>Рекомендуемая плотность населения -</w:t>
            </w:r>
          </w:p>
          <w:p>
            <w:pPr>
              <w:pStyle w:val="Normal"/>
              <w:widowControl w:val="false"/>
              <w:jc w:val="center"/>
              <w:rPr>
                <w:sz w:val="22"/>
                <w:szCs w:val="22"/>
              </w:rPr>
            </w:pPr>
            <w:r>
              <w:rPr>
                <w:sz w:val="22"/>
                <w:szCs w:val="22"/>
              </w:rPr>
              <w:t>не регламентируется</w:t>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17,23</w:t>
            </w:r>
          </w:p>
        </w:tc>
        <w:tc>
          <w:tcPr>
            <w:tcW w:w="23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Ликвидируемый скотомогильник</w:t>
            </w:r>
          </w:p>
        </w:tc>
        <w:tc>
          <w:tcPr>
            <w:tcW w:w="14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Местный</w:t>
            </w:r>
          </w:p>
        </w:tc>
      </w:tr>
    </w:tbl>
    <w:p>
      <w:pPr>
        <w:sectPr>
          <w:headerReference w:type="default" r:id="rId8"/>
          <w:headerReference w:type="first" r:id="rId9"/>
          <w:footerReference w:type="default" r:id="rId10"/>
          <w:footerReference w:type="first" r:id="rId11"/>
          <w:type w:val="nextPage"/>
          <w:pgSz w:w="11906" w:h="16838"/>
          <w:pgMar w:left="1418" w:right="1134" w:gutter="0" w:header="624" w:top="1140" w:footer="0" w:bottom="476"/>
          <w:pgNumType w:fmt="decimal"/>
          <w:formProt w:val="false"/>
          <w:textDirection w:val="lrTb"/>
          <w:docGrid w:type="default" w:linePitch="360" w:charSpace="40960"/>
        </w:sectPr>
      </w:pPr>
    </w:p>
    <w:p>
      <w:pPr>
        <w:pStyle w:val="Heading1"/>
        <w:numPr>
          <w:ilvl w:val="0"/>
          <w:numId w:val="1"/>
        </w:numPr>
        <w:tabs>
          <w:tab w:val="left" w:pos="0" w:leader="none"/>
          <w:tab w:val="left" w:pos="851" w:leader="none"/>
        </w:tabs>
        <w:ind w:hanging="360" w:left="142"/>
        <w:rPr>
          <w:sz w:val="24"/>
          <w:szCs w:val="24"/>
        </w:rPr>
      </w:pPr>
      <w:bookmarkStart w:id="6" w:name="_Toc219457060"/>
      <w:r>
        <w:rPr>
          <w:sz w:val="24"/>
          <w:szCs w:val="24"/>
        </w:rPr>
        <w:t>Сведения о видах, назначении и наименованиях планируемых для размещения объектов местного значения городского округа, их основные характеристики,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6"/>
    </w:p>
    <w:p>
      <w:pPr>
        <w:pStyle w:val="ListParagraph"/>
        <w:jc w:val="right"/>
        <w:rPr>
          <w:b/>
          <w:sz w:val="24"/>
          <w:szCs w:val="24"/>
        </w:rPr>
      </w:pPr>
      <w:r>
        <w:rPr>
          <w:sz w:val="24"/>
          <w:szCs w:val="24"/>
        </w:rPr>
        <w:t xml:space="preserve">                                                 </w:t>
      </w:r>
      <w:r>
        <w:rPr>
          <w:rFonts w:cs="Symbol"/>
          <w:sz w:val="24"/>
          <w:szCs w:val="24"/>
        </w:rPr>
        <w:t>Таблица 2.1.</w:t>
      </w:r>
      <w:r>
        <w:rPr>
          <w:b/>
          <w:sz w:val="24"/>
          <w:szCs w:val="24"/>
        </w:rPr>
        <w:t xml:space="preserve"> </w:t>
      </w:r>
    </w:p>
    <w:tbl>
      <w:tblPr>
        <w:tblW w:w="15793" w:type="dxa"/>
        <w:jc w:val="left"/>
        <w:tblInd w:w="-490" w:type="dxa"/>
        <w:tblLayout w:type="fixed"/>
        <w:tblCellMar>
          <w:top w:w="0" w:type="dxa"/>
          <w:left w:w="108" w:type="dxa"/>
          <w:bottom w:w="0" w:type="dxa"/>
          <w:right w:w="108" w:type="dxa"/>
        </w:tblCellMar>
        <w:tblLook w:firstRow="0" w:noVBand="0" w:lastRow="0" w:firstColumn="0" w:lastColumn="0" w:noHBand="0" w:val="0000"/>
      </w:tblPr>
      <w:tblGrid>
        <w:gridCol w:w="710"/>
        <w:gridCol w:w="2571"/>
        <w:gridCol w:w="2611"/>
        <w:gridCol w:w="3061"/>
        <w:gridCol w:w="3292"/>
        <w:gridCol w:w="1417"/>
        <w:gridCol w:w="3"/>
        <w:gridCol w:w="2127"/>
      </w:tblGrid>
      <w:tr>
        <w:trPr>
          <w:tblHeader w:val="true"/>
          <w:trHeight w:val="994"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jc w:val="center"/>
              <w:rPr>
                <w:b/>
                <w:sz w:val="22"/>
                <w:szCs w:val="22"/>
              </w:rPr>
            </w:pPr>
            <w:r>
              <w:rPr>
                <w:b/>
                <w:sz w:val="22"/>
                <w:szCs w:val="22"/>
              </w:rPr>
              <w:t>№</w:t>
            </w:r>
          </w:p>
          <w:p>
            <w:pPr>
              <w:pStyle w:val="Normal"/>
              <w:widowControl w:val="false"/>
              <w:jc w:val="center"/>
              <w:rPr>
                <w:b/>
                <w:sz w:val="22"/>
                <w:szCs w:val="22"/>
              </w:rPr>
            </w:pPr>
            <w:r>
              <w:rPr>
                <w:b/>
                <w:sz w:val="22"/>
                <w:szCs w:val="22"/>
              </w:rPr>
              <w:t>п/п</w:t>
            </w:r>
          </w:p>
        </w:tc>
        <w:tc>
          <w:tcPr>
            <w:tcW w:w="2571"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jc w:val="center"/>
              <w:rPr>
                <w:b/>
                <w:sz w:val="22"/>
                <w:szCs w:val="22"/>
              </w:rPr>
            </w:pPr>
            <w:r>
              <w:rPr>
                <w:b/>
                <w:sz w:val="22"/>
                <w:szCs w:val="22"/>
              </w:rPr>
              <w:t>Наименование объекта</w:t>
            </w:r>
          </w:p>
        </w:tc>
        <w:tc>
          <w:tcPr>
            <w:tcW w:w="2611"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jc w:val="center"/>
              <w:rPr>
                <w:b/>
                <w:sz w:val="22"/>
                <w:szCs w:val="22"/>
              </w:rPr>
            </w:pPr>
            <w:r>
              <w:rPr>
                <w:b/>
                <w:sz w:val="22"/>
                <w:szCs w:val="22"/>
              </w:rPr>
              <w:t>Местоположение</w:t>
            </w:r>
          </w:p>
        </w:tc>
        <w:tc>
          <w:tcPr>
            <w:tcW w:w="3061"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jc w:val="center"/>
              <w:rPr>
                <w:b/>
                <w:sz w:val="22"/>
                <w:szCs w:val="22"/>
              </w:rPr>
            </w:pPr>
            <w:r>
              <w:rPr>
                <w:b/>
                <w:sz w:val="22"/>
                <w:szCs w:val="22"/>
              </w:rPr>
              <w:t>Параметры</w:t>
            </w:r>
          </w:p>
        </w:tc>
        <w:tc>
          <w:tcPr>
            <w:tcW w:w="3292"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jc w:val="center"/>
              <w:rPr>
                <w:b/>
                <w:sz w:val="22"/>
                <w:szCs w:val="22"/>
              </w:rPr>
            </w:pPr>
            <w:r>
              <w:rPr>
                <w:b/>
                <w:sz w:val="22"/>
                <w:szCs w:val="22"/>
              </w:rPr>
              <w:t>Характеристика</w:t>
            </w:r>
          </w:p>
          <w:p>
            <w:pPr>
              <w:pStyle w:val="Normal"/>
              <w:widowControl w:val="false"/>
              <w:jc w:val="center"/>
              <w:rPr>
                <w:b/>
                <w:sz w:val="22"/>
                <w:szCs w:val="22"/>
              </w:rPr>
            </w:pPr>
            <w:r>
              <w:rPr>
                <w:b/>
                <w:sz w:val="22"/>
                <w:szCs w:val="22"/>
              </w:rPr>
              <w:t>функциональных зон</w:t>
            </w:r>
          </w:p>
        </w:tc>
        <w:tc>
          <w:tcPr>
            <w:tcW w:w="1417"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jc w:val="center"/>
              <w:rPr>
                <w:b/>
                <w:sz w:val="22"/>
                <w:szCs w:val="22"/>
              </w:rPr>
            </w:pPr>
            <w:r>
              <w:rPr>
                <w:b/>
                <w:sz w:val="22"/>
                <w:szCs w:val="22"/>
              </w:rPr>
              <w:t>Период реализации</w:t>
            </w:r>
          </w:p>
        </w:tc>
        <w:tc>
          <w:tcPr>
            <w:tcW w:w="2130" w:type="dxa"/>
            <w:gridSpan w:val="2"/>
            <w:tcBorders>
              <w:top w:val="single" w:sz="4" w:space="0" w:color="000000"/>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jc w:val="center"/>
              <w:rPr>
                <w:b/>
                <w:sz w:val="22"/>
                <w:szCs w:val="22"/>
              </w:rPr>
            </w:pPr>
            <w:r>
              <w:rPr>
                <w:b/>
                <w:sz w:val="22"/>
                <w:szCs w:val="22"/>
              </w:rPr>
              <w:t>Зона с особыми условиями использования территории</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b/>
                <w:sz w:val="22"/>
                <w:szCs w:val="22"/>
              </w:rPr>
              <w:t>1</w:t>
            </w:r>
          </w:p>
        </w:tc>
        <w:tc>
          <w:tcPr>
            <w:tcW w:w="15082"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
                <w:sz w:val="22"/>
                <w:szCs w:val="22"/>
              </w:rPr>
            </w:pPr>
            <w:r>
              <w:rPr>
                <w:b/>
                <w:sz w:val="22"/>
                <w:szCs w:val="22"/>
              </w:rPr>
              <w:t>Объекты образования (детские дошкольные учреждения)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Детское дошкольное учреждение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мкр. Северный, район улиц Тепличная, Дорожная, Новая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Проектная вместимость</w:t>
            </w:r>
          </w:p>
          <w:p>
            <w:pPr>
              <w:pStyle w:val="Normal"/>
              <w:widowControl w:val="false"/>
              <w:jc w:val="center"/>
              <w:rPr>
                <w:sz w:val="22"/>
                <w:szCs w:val="22"/>
              </w:rPr>
            </w:pPr>
            <w:r>
              <w:rPr>
                <w:sz w:val="22"/>
                <w:szCs w:val="22"/>
              </w:rPr>
              <w:t>209 мест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- 435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1.2</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Детское дошкольное учреждение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мкр. Северный, район улиц Тепличная, Дорожная, Новая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Проектная вместимость</w:t>
            </w:r>
          </w:p>
          <w:p>
            <w:pPr>
              <w:pStyle w:val="Normal"/>
              <w:widowControl w:val="false"/>
              <w:jc w:val="center"/>
              <w:rPr>
                <w:sz w:val="22"/>
                <w:szCs w:val="22"/>
              </w:rPr>
            </w:pPr>
            <w:r>
              <w:rPr>
                <w:sz w:val="22"/>
                <w:szCs w:val="22"/>
              </w:rPr>
              <w:t>223 мест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- 435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1.3</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Детское дошкольное учреждение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Изумрудная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Проектная вместимость</w:t>
            </w:r>
          </w:p>
          <w:p>
            <w:pPr>
              <w:pStyle w:val="Normal"/>
              <w:widowControl w:val="false"/>
              <w:jc w:val="center"/>
              <w:rPr>
                <w:sz w:val="22"/>
                <w:szCs w:val="22"/>
              </w:rPr>
            </w:pPr>
            <w:r>
              <w:rPr>
                <w:sz w:val="22"/>
                <w:szCs w:val="22"/>
              </w:rPr>
              <w:t>48 мест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- 280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1.4</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Детское дошкольное учреждение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Небесная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Проектная вместимость</w:t>
            </w:r>
          </w:p>
          <w:p>
            <w:pPr>
              <w:pStyle w:val="Normal"/>
              <w:widowControl w:val="false"/>
              <w:jc w:val="center"/>
              <w:rPr>
                <w:sz w:val="22"/>
                <w:szCs w:val="22"/>
              </w:rPr>
            </w:pPr>
            <w:r>
              <w:rPr>
                <w:sz w:val="22"/>
                <w:szCs w:val="22"/>
              </w:rPr>
              <w:t>350 мест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Общественно-деловые зоны. Максимальный процент застройки - 50%. Предельное количество этажей - 3,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val="en-US"/>
              </w:rPr>
            </w:pPr>
            <w:r>
              <w:rPr>
                <w:sz w:val="20"/>
                <w:szCs w:val="20"/>
                <w:lang w:val="en-US"/>
              </w:rPr>
              <w:t>1.5</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Детское дошкольное учреждение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Университетский Городок</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Проектная вместимость</w:t>
            </w:r>
          </w:p>
          <w:p>
            <w:pPr>
              <w:pStyle w:val="Normal"/>
              <w:widowControl w:val="false"/>
              <w:jc w:val="center"/>
              <w:rPr>
                <w:sz w:val="22"/>
                <w:szCs w:val="22"/>
              </w:rPr>
            </w:pPr>
            <w:r>
              <w:rPr>
                <w:sz w:val="22"/>
                <w:szCs w:val="22"/>
              </w:rPr>
              <w:t>300 мест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- 435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1.6</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Детское дошкольное учреждение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Московская, д. 311</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Проектная вместимость</w:t>
            </w:r>
          </w:p>
          <w:p>
            <w:pPr>
              <w:pStyle w:val="Normal"/>
              <w:widowControl w:val="false"/>
              <w:jc w:val="center"/>
              <w:rPr>
                <w:sz w:val="22"/>
                <w:szCs w:val="22"/>
              </w:rPr>
            </w:pPr>
            <w:r>
              <w:rPr>
                <w:sz w:val="22"/>
                <w:szCs w:val="22"/>
              </w:rPr>
              <w:t>78 мест, во встроенно-</w:t>
              <w:br/>
              <w:t>пристроенных помещениях планируемого многоквартирного дома № 3</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- 1/2, рекомендуемая плотность населения - 280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1.7</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Детское дошкольное учреждение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район Правобережный, в районе ул. Хорошая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Проектная вместимость</w:t>
            </w:r>
          </w:p>
          <w:p>
            <w:pPr>
              <w:pStyle w:val="Normal"/>
              <w:widowControl w:val="false"/>
              <w:jc w:val="center"/>
              <w:rPr>
                <w:sz w:val="22"/>
                <w:szCs w:val="22"/>
              </w:rPr>
            </w:pPr>
            <w:r>
              <w:rPr>
                <w:sz w:val="22"/>
                <w:szCs w:val="22"/>
              </w:rPr>
              <w:t>140 мест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- 435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1.8</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Детское дошкольное учреждение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район Правобережный, в районе ул. Минская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Проектная вместимость</w:t>
            </w:r>
          </w:p>
          <w:p>
            <w:pPr>
              <w:pStyle w:val="Normal"/>
              <w:widowControl w:val="false"/>
              <w:jc w:val="center"/>
              <w:rPr>
                <w:sz w:val="22"/>
                <w:szCs w:val="22"/>
              </w:rPr>
            </w:pPr>
            <w:r>
              <w:rPr>
                <w:sz w:val="22"/>
                <w:szCs w:val="22"/>
              </w:rPr>
              <w:t>220 мест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- 435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331"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1.9</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Детское дошкольное учреждение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Хрустальная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Проектная вместимость</w:t>
            </w:r>
          </w:p>
          <w:p>
            <w:pPr>
              <w:pStyle w:val="Normal"/>
              <w:widowControl w:val="false"/>
              <w:jc w:val="center"/>
              <w:rPr>
                <w:sz w:val="22"/>
                <w:szCs w:val="22"/>
              </w:rPr>
            </w:pPr>
            <w:r>
              <w:rPr>
                <w:sz w:val="22"/>
                <w:szCs w:val="22"/>
              </w:rPr>
              <w:t>100 мест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- 280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2381"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1.10</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Детское дошкольное учреждение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ул. Болдина, д. 22</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Проектная вместимость</w:t>
            </w:r>
          </w:p>
          <w:p>
            <w:pPr>
              <w:pStyle w:val="Normal"/>
              <w:widowControl w:val="false"/>
              <w:jc w:val="center"/>
              <w:rPr>
                <w:sz w:val="22"/>
                <w:szCs w:val="22"/>
              </w:rPr>
            </w:pPr>
            <w:r>
              <w:rPr>
                <w:sz w:val="22"/>
                <w:szCs w:val="22"/>
              </w:rPr>
              <w:t>300 мест, во встроенно-</w:t>
              <w:br/>
              <w:t>пристроенных помещениях планируемого многоквартирного дома</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Зона смешанной и общественно-деловой застройки. Максимальный процент застройки - 50%. Предельное количество этажей - не регламентируется,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51"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1.11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Детское дошкольное учреждение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rPr>
              <w:t>г. Калуга, ул. Московская, район</w:t>
            </w:r>
          </w:p>
          <w:p>
            <w:pPr>
              <w:pStyle w:val="Normal"/>
              <w:widowControl w:val="false"/>
              <w:jc w:val="center"/>
              <w:rPr>
                <w:sz w:val="22"/>
                <w:szCs w:val="22"/>
              </w:rPr>
            </w:pPr>
            <w:r>
              <w:rPr>
                <w:sz w:val="22"/>
                <w:szCs w:val="22"/>
              </w:rPr>
              <w:t>д. 139</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Проектная вместимость</w:t>
            </w:r>
          </w:p>
          <w:p>
            <w:pPr>
              <w:pStyle w:val="Normal"/>
              <w:widowControl w:val="false"/>
              <w:jc w:val="center"/>
              <w:rPr>
                <w:sz w:val="22"/>
                <w:szCs w:val="22"/>
              </w:rPr>
            </w:pPr>
            <w:r>
              <w:rPr>
                <w:sz w:val="22"/>
                <w:szCs w:val="22"/>
              </w:rPr>
              <w:t>130 мест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- 435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val="en-US"/>
              </w:rPr>
              <w:t>1.1</w:t>
            </w:r>
            <w:r>
              <w:rPr>
                <w:sz w:val="20"/>
                <w:szCs w:val="20"/>
              </w:rPr>
              <w:t>2</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Детское дошкольное учреждение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Белые Росы</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Проектная вместимость</w:t>
            </w:r>
          </w:p>
          <w:p>
            <w:pPr>
              <w:pStyle w:val="Normal"/>
              <w:widowControl w:val="false"/>
              <w:jc w:val="center"/>
              <w:rPr>
                <w:sz w:val="22"/>
                <w:szCs w:val="22"/>
              </w:rPr>
            </w:pPr>
            <w:r>
              <w:rPr>
                <w:sz w:val="22"/>
                <w:szCs w:val="22"/>
              </w:rPr>
              <w:t>130 мест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- 280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79"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1.13</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Детское дошкольное учреждение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Байконурская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Проектная вместимость</w:t>
            </w:r>
          </w:p>
          <w:p>
            <w:pPr>
              <w:pStyle w:val="Normal"/>
              <w:widowControl w:val="false"/>
              <w:jc w:val="center"/>
              <w:rPr>
                <w:sz w:val="22"/>
                <w:szCs w:val="22"/>
              </w:rPr>
            </w:pPr>
            <w:r>
              <w:rPr>
                <w:sz w:val="22"/>
                <w:szCs w:val="22"/>
              </w:rPr>
              <w:t>185 мест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- 345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22"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1.14</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Детское дошкольное учреждение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Новосельская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Проектная вместимость</w:t>
            </w:r>
          </w:p>
          <w:p>
            <w:pPr>
              <w:pStyle w:val="Normal"/>
              <w:widowControl w:val="false"/>
              <w:jc w:val="center"/>
              <w:rPr>
                <w:sz w:val="22"/>
                <w:szCs w:val="22"/>
              </w:rPr>
            </w:pPr>
            <w:r>
              <w:rPr>
                <w:sz w:val="22"/>
                <w:szCs w:val="22"/>
              </w:rPr>
              <w:t>200 мест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- 280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1.15</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Детское дошкольное учреждение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3-й Академический проезд</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Проектная вместимость</w:t>
            </w:r>
          </w:p>
          <w:p>
            <w:pPr>
              <w:pStyle w:val="Normal"/>
              <w:widowControl w:val="false"/>
              <w:jc w:val="center"/>
              <w:rPr>
                <w:sz w:val="22"/>
                <w:szCs w:val="22"/>
              </w:rPr>
            </w:pPr>
            <w:r>
              <w:rPr>
                <w:sz w:val="22"/>
                <w:szCs w:val="22"/>
              </w:rPr>
              <w:t>175 мест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- 435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79"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1.16</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Детское дошкольное учреждение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3-й Академический проезд</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Проектная вместимость</w:t>
            </w:r>
          </w:p>
          <w:p>
            <w:pPr>
              <w:pStyle w:val="Normal"/>
              <w:widowControl w:val="false"/>
              <w:jc w:val="center"/>
              <w:rPr>
                <w:sz w:val="22"/>
                <w:szCs w:val="22"/>
              </w:rPr>
            </w:pPr>
            <w:r>
              <w:rPr>
                <w:sz w:val="22"/>
                <w:szCs w:val="22"/>
              </w:rPr>
              <w:t>150 мест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- 435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79"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1.17</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Детское дошкольное учреждение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3-й Академический проезд</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Проектная вместимость</w:t>
            </w:r>
          </w:p>
          <w:p>
            <w:pPr>
              <w:pStyle w:val="Normal"/>
              <w:widowControl w:val="false"/>
              <w:jc w:val="center"/>
              <w:rPr>
                <w:sz w:val="22"/>
                <w:szCs w:val="22"/>
              </w:rPr>
            </w:pPr>
            <w:r>
              <w:rPr>
                <w:sz w:val="22"/>
                <w:szCs w:val="22"/>
              </w:rPr>
              <w:t>225 мест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- 435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1.18</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Детское дошкольное учреждение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Советская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Проектная вместимость</w:t>
            </w:r>
          </w:p>
          <w:p>
            <w:pPr>
              <w:pStyle w:val="Normal"/>
              <w:widowControl w:val="false"/>
              <w:jc w:val="center"/>
              <w:rPr>
                <w:sz w:val="22"/>
                <w:szCs w:val="22"/>
              </w:rPr>
            </w:pPr>
            <w:r>
              <w:rPr>
                <w:sz w:val="22"/>
                <w:szCs w:val="22"/>
              </w:rPr>
              <w:t>50 мест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- 1, рекомендуемая плотность населения - 345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1.19</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Детское дошкольное учреждение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Советская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Проектная вместимость</w:t>
            </w:r>
          </w:p>
          <w:p>
            <w:pPr>
              <w:pStyle w:val="Normal"/>
              <w:widowControl w:val="false"/>
              <w:jc w:val="center"/>
              <w:rPr>
                <w:sz w:val="22"/>
                <w:szCs w:val="22"/>
              </w:rPr>
            </w:pPr>
            <w:r>
              <w:rPr>
                <w:sz w:val="22"/>
                <w:szCs w:val="22"/>
              </w:rPr>
              <w:t>290 мест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- 345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1.20</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Детское дошкольное учреждение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Новоселки</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Проектная вместимость</w:t>
            </w:r>
          </w:p>
          <w:p>
            <w:pPr>
              <w:pStyle w:val="Normal"/>
              <w:widowControl w:val="false"/>
              <w:jc w:val="center"/>
              <w:rPr>
                <w:sz w:val="22"/>
                <w:szCs w:val="22"/>
              </w:rPr>
            </w:pPr>
            <w:r>
              <w:rPr>
                <w:sz w:val="22"/>
                <w:szCs w:val="22"/>
              </w:rPr>
              <w:t>150 мест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- 60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1.21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Строительство пристройки к МБДОУ № 34 «Зоренька» «Детский сад комбинированного вида»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Социалистическая д. 2а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Увеличение существующей вместимости на 80 мест</w:t>
            </w:r>
          </w:p>
          <w:p>
            <w:pPr>
              <w:pStyle w:val="Normal"/>
              <w:widowControl w:val="false"/>
              <w:jc w:val="center"/>
              <w:rPr>
                <w:sz w:val="22"/>
                <w:szCs w:val="22"/>
              </w:rPr>
            </w:pPr>
            <w:r>
              <w:rPr>
                <w:sz w:val="22"/>
                <w:szCs w:val="22"/>
              </w:rPr>
              <w:t>(до 338 мест)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- 280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1.22</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Детское дошкольное учреждение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К. Либкнехта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Проектная вместимость</w:t>
            </w:r>
          </w:p>
          <w:p>
            <w:pPr>
              <w:pStyle w:val="Normal"/>
              <w:widowControl w:val="false"/>
              <w:jc w:val="center"/>
              <w:rPr>
                <w:sz w:val="22"/>
                <w:szCs w:val="22"/>
              </w:rPr>
            </w:pPr>
            <w:r>
              <w:rPr>
                <w:sz w:val="22"/>
                <w:szCs w:val="22"/>
              </w:rPr>
              <w:t>55 мест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Зона смешанной и общественно-деловой застройки. Максимальный процент застройки - 50%. Предельное количество этажей - не регламентируется,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1.23</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Детское дошкольное учреждение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 xml:space="preserve"> </w:t>
            </w:r>
            <w:r>
              <w:rPr>
                <w:sz w:val="22"/>
                <w:szCs w:val="22"/>
              </w:rPr>
              <w:t>г. Калуга, ул. Маяковского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Проектная вместимость</w:t>
            </w:r>
          </w:p>
          <w:p>
            <w:pPr>
              <w:pStyle w:val="Normal"/>
              <w:widowControl w:val="false"/>
              <w:jc w:val="center"/>
              <w:rPr>
                <w:sz w:val="22"/>
                <w:szCs w:val="22"/>
              </w:rPr>
            </w:pPr>
            <w:r>
              <w:rPr>
                <w:sz w:val="22"/>
                <w:szCs w:val="22"/>
              </w:rPr>
              <w:t>200 мест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- 280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val="en-US"/>
              </w:rPr>
              <w:t>1.2</w:t>
            </w:r>
            <w:r>
              <w:rPr>
                <w:sz w:val="20"/>
                <w:szCs w:val="20"/>
              </w:rPr>
              <w:t>4</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Детское дошкольное учреждение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rPr>
              <w:t xml:space="preserve"> </w:t>
            </w:r>
            <w:r>
              <w:rPr>
                <w:sz w:val="22"/>
                <w:szCs w:val="22"/>
              </w:rPr>
              <w:t>г. Калуга,</w:t>
            </w:r>
          </w:p>
          <w:p>
            <w:pPr>
              <w:pStyle w:val="Normal"/>
              <w:widowControl w:val="false"/>
              <w:jc w:val="center"/>
              <w:rPr/>
            </w:pPr>
            <w:r>
              <w:rPr>
                <w:sz w:val="22"/>
                <w:szCs w:val="22"/>
              </w:rPr>
              <w:t>мкр. Куровской, на участке нового строительства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Проектная вместимость</w:t>
            </w:r>
          </w:p>
          <w:p>
            <w:pPr>
              <w:pStyle w:val="Normal"/>
              <w:widowControl w:val="false"/>
              <w:jc w:val="center"/>
              <w:rPr>
                <w:sz w:val="22"/>
                <w:szCs w:val="22"/>
              </w:rPr>
            </w:pPr>
            <w:r>
              <w:rPr>
                <w:sz w:val="22"/>
                <w:szCs w:val="22"/>
              </w:rPr>
              <w:t>200 мест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Рекреационные зоны. Максимальный процент застройки - 50%.</w:t>
            </w:r>
          </w:p>
          <w:p>
            <w:pPr>
              <w:pStyle w:val="Normal"/>
              <w:widowControl w:val="false"/>
              <w:jc w:val="center"/>
              <w:rPr>
                <w:sz w:val="22"/>
                <w:szCs w:val="22"/>
              </w:rPr>
            </w:pPr>
            <w:r>
              <w:rPr>
                <w:sz w:val="22"/>
                <w:szCs w:val="22"/>
              </w:rPr>
              <w:t>Предельное количество этажей - не регламентируется,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1.25</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Детское дошкольное учреждение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Ромодановские Дворики</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Проектная вместимость</w:t>
            </w:r>
          </w:p>
          <w:p>
            <w:pPr>
              <w:pStyle w:val="Normal"/>
              <w:widowControl w:val="false"/>
              <w:jc w:val="center"/>
              <w:rPr>
                <w:sz w:val="22"/>
                <w:szCs w:val="22"/>
              </w:rPr>
            </w:pPr>
            <w:r>
              <w:rPr>
                <w:sz w:val="22"/>
                <w:szCs w:val="22"/>
              </w:rPr>
              <w:t>150 мест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w:t>
            </w:r>
          </w:p>
          <w:p>
            <w:pPr>
              <w:pStyle w:val="Normal"/>
              <w:widowControl w:val="false"/>
              <w:jc w:val="center"/>
              <w:rPr>
                <w:sz w:val="22"/>
                <w:szCs w:val="22"/>
              </w:rPr>
            </w:pPr>
            <w:r>
              <w:rPr>
                <w:sz w:val="22"/>
                <w:szCs w:val="22"/>
              </w:rPr>
              <w:t>Предельное количество этажей - 6, рекомендуемая плотность населения - 280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1.26</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Детское дошкольное учреждение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в районе с. Некрасово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Проектная вместимость</w:t>
            </w:r>
          </w:p>
          <w:p>
            <w:pPr>
              <w:pStyle w:val="Normal"/>
              <w:widowControl w:val="false"/>
              <w:jc w:val="center"/>
              <w:rPr>
                <w:sz w:val="22"/>
                <w:szCs w:val="22"/>
              </w:rPr>
            </w:pPr>
            <w:r>
              <w:rPr>
                <w:sz w:val="22"/>
                <w:szCs w:val="22"/>
              </w:rPr>
              <w:t>300 мест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- 435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1.27</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Детское дошкольное учреждение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в районе д. Пучково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Проектная вместимость</w:t>
            </w:r>
          </w:p>
          <w:p>
            <w:pPr>
              <w:pStyle w:val="Normal"/>
              <w:widowControl w:val="false"/>
              <w:jc w:val="center"/>
              <w:rPr>
                <w:sz w:val="22"/>
                <w:szCs w:val="22"/>
              </w:rPr>
            </w:pPr>
            <w:r>
              <w:rPr>
                <w:sz w:val="22"/>
                <w:szCs w:val="22"/>
              </w:rPr>
              <w:t>300 мест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- 435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1.28</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Детское дошкольное учреждение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Заречье</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Проектная вместимость</w:t>
            </w:r>
          </w:p>
          <w:p>
            <w:pPr>
              <w:pStyle w:val="Normal"/>
              <w:widowControl w:val="false"/>
              <w:jc w:val="center"/>
              <w:rPr>
                <w:sz w:val="22"/>
                <w:szCs w:val="22"/>
              </w:rPr>
            </w:pPr>
            <w:r>
              <w:rPr>
                <w:sz w:val="22"/>
                <w:szCs w:val="22"/>
              </w:rPr>
              <w:t>100 мест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- 60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1.29</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Детское дошкольное учреждение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Канищево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Проектная вместимость</w:t>
            </w:r>
          </w:p>
          <w:p>
            <w:pPr>
              <w:pStyle w:val="Normal"/>
              <w:widowControl w:val="false"/>
              <w:jc w:val="center"/>
              <w:rPr>
                <w:sz w:val="22"/>
                <w:szCs w:val="22"/>
              </w:rPr>
            </w:pPr>
            <w:r>
              <w:rPr>
                <w:sz w:val="22"/>
                <w:szCs w:val="22"/>
              </w:rPr>
              <w:t>150 мест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- 60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1.30</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Детское дошкольное учреждение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Яглово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Проектная вместимость</w:t>
            </w:r>
          </w:p>
          <w:p>
            <w:pPr>
              <w:pStyle w:val="Normal"/>
              <w:widowControl w:val="false"/>
              <w:jc w:val="center"/>
              <w:rPr>
                <w:sz w:val="22"/>
                <w:szCs w:val="22"/>
              </w:rPr>
            </w:pPr>
            <w:r>
              <w:rPr>
                <w:sz w:val="22"/>
                <w:szCs w:val="22"/>
              </w:rPr>
              <w:t>120 мест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- 6, рекомендуемая плотность населения - 60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val="en-US"/>
              </w:rPr>
              <w:t>1.</w:t>
            </w:r>
            <w:r>
              <w:rPr>
                <w:sz w:val="20"/>
                <w:szCs w:val="20"/>
              </w:rPr>
              <w:t>31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Детское дошкольное учреждение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Матюнино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Проектная вместимость</w:t>
            </w:r>
          </w:p>
          <w:p>
            <w:pPr>
              <w:pStyle w:val="Normal"/>
              <w:widowControl w:val="false"/>
              <w:jc w:val="center"/>
              <w:rPr>
                <w:sz w:val="22"/>
                <w:szCs w:val="22"/>
              </w:rPr>
            </w:pPr>
            <w:r>
              <w:rPr>
                <w:sz w:val="22"/>
                <w:szCs w:val="22"/>
              </w:rPr>
              <w:t>200 мест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- 6, рекомендуемая плотность населения - 60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lang w:val="en-US"/>
              </w:rPr>
              <w:t>1.</w:t>
            </w:r>
            <w:r>
              <w:rPr>
                <w:sz w:val="20"/>
                <w:szCs w:val="20"/>
              </w:rPr>
              <w:t>32</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Детское дошкольное учреждение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Матюнино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Проектная вместимость</w:t>
            </w:r>
          </w:p>
          <w:p>
            <w:pPr>
              <w:pStyle w:val="Normal"/>
              <w:widowControl w:val="false"/>
              <w:jc w:val="center"/>
              <w:rPr>
                <w:sz w:val="22"/>
                <w:szCs w:val="22"/>
              </w:rPr>
            </w:pPr>
            <w:r>
              <w:rPr>
                <w:sz w:val="22"/>
                <w:szCs w:val="22"/>
              </w:rPr>
              <w:t>200 мест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- 6, рекомендуемая плотность населения - 60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1.33</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Детское дошкольное учреждение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Матюнино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Проектная вместимость</w:t>
            </w:r>
          </w:p>
          <w:p>
            <w:pPr>
              <w:pStyle w:val="Normal"/>
              <w:widowControl w:val="false"/>
              <w:jc w:val="center"/>
              <w:rPr>
                <w:sz w:val="22"/>
                <w:szCs w:val="22"/>
              </w:rPr>
            </w:pPr>
            <w:r>
              <w:rPr>
                <w:sz w:val="22"/>
                <w:szCs w:val="22"/>
              </w:rPr>
              <w:t>100 мест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- 6, рекомендуемая плотность населения - 60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1.34</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Детское дошкольное учреждение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Аргуново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Проектная вместимость</w:t>
            </w:r>
          </w:p>
          <w:p>
            <w:pPr>
              <w:pStyle w:val="Normal"/>
              <w:widowControl w:val="false"/>
              <w:jc w:val="center"/>
              <w:rPr>
                <w:sz w:val="22"/>
                <w:szCs w:val="22"/>
              </w:rPr>
            </w:pPr>
            <w:r>
              <w:rPr>
                <w:sz w:val="22"/>
                <w:szCs w:val="22"/>
              </w:rPr>
              <w:t>190 мест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- 6, рекомендуемая плотность населения - 60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1.35</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Детское дошкольное учреждение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Аргуново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Проектная вместимость</w:t>
            </w:r>
          </w:p>
          <w:p>
            <w:pPr>
              <w:pStyle w:val="Normal"/>
              <w:widowControl w:val="false"/>
              <w:jc w:val="center"/>
              <w:rPr>
                <w:sz w:val="22"/>
                <w:szCs w:val="22"/>
              </w:rPr>
            </w:pPr>
            <w:r>
              <w:rPr>
                <w:sz w:val="22"/>
                <w:szCs w:val="22"/>
              </w:rPr>
              <w:t>210 мест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- 6, рекомендуемая плотность населения - 60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191"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1.36</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Детское дошкольное учреждение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Уварово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Проектная вместимость</w:t>
            </w:r>
          </w:p>
          <w:p>
            <w:pPr>
              <w:pStyle w:val="Normal"/>
              <w:widowControl w:val="false"/>
              <w:jc w:val="center"/>
              <w:rPr>
                <w:sz w:val="22"/>
                <w:szCs w:val="22"/>
              </w:rPr>
            </w:pPr>
            <w:r>
              <w:rPr>
                <w:sz w:val="22"/>
                <w:szCs w:val="22"/>
              </w:rPr>
              <w:t>140 мест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- 6, рекомендуемая плотность населения - 60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191"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1.37</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Детское дошкольное учреждение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Груздово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Проектная вместимость</w:t>
            </w:r>
          </w:p>
          <w:p>
            <w:pPr>
              <w:pStyle w:val="Normal"/>
              <w:widowControl w:val="false"/>
              <w:jc w:val="center"/>
              <w:rPr>
                <w:sz w:val="22"/>
                <w:szCs w:val="22"/>
              </w:rPr>
            </w:pPr>
            <w:r>
              <w:rPr>
                <w:sz w:val="22"/>
                <w:szCs w:val="22"/>
              </w:rPr>
              <w:t>200 мест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- 6, рекомендуемая плотность населения - 60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191"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1.38</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Детское дошкольное учреждение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Груздово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Проектная вместимость</w:t>
            </w:r>
          </w:p>
          <w:p>
            <w:pPr>
              <w:pStyle w:val="Normal"/>
              <w:widowControl w:val="false"/>
              <w:jc w:val="center"/>
              <w:rPr>
                <w:sz w:val="22"/>
                <w:szCs w:val="22"/>
              </w:rPr>
            </w:pPr>
            <w:r>
              <w:rPr>
                <w:sz w:val="22"/>
                <w:szCs w:val="22"/>
              </w:rPr>
              <w:t>100 мест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- 6, рекомендуемая плотность населения - 60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191"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1.39</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Детское дошкольное учреждение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Юрьевка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Проектная вместимость</w:t>
            </w:r>
          </w:p>
          <w:p>
            <w:pPr>
              <w:pStyle w:val="Normal"/>
              <w:widowControl w:val="false"/>
              <w:jc w:val="center"/>
              <w:rPr>
                <w:sz w:val="22"/>
                <w:szCs w:val="22"/>
              </w:rPr>
            </w:pPr>
            <w:r>
              <w:rPr>
                <w:sz w:val="22"/>
                <w:szCs w:val="22"/>
              </w:rPr>
              <w:t>140 мест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- 6, рекомендуемая плотность населения - 60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191"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1.40</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Детское дошкольное учреждение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Тинино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rPr>
              <w:t>Проектная вместимость (ДДО) 120 мест. Здание, совмещенное со зданием школы</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Зона смешанной и общественно-деловой застройки. Максимальный процент застройки - 50%. Предельное количество этажей - не регламентируется,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191"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1.41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Детское дошкольное учреждение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Железняки</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Проектная вместимость до 150 мест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- 345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304"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1.42</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Детское дошкольное учреждение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Новая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Проектная вместимость</w:t>
            </w:r>
          </w:p>
          <w:p>
            <w:pPr>
              <w:pStyle w:val="Normal"/>
              <w:widowControl w:val="false"/>
              <w:jc w:val="center"/>
              <w:rPr>
                <w:sz w:val="22"/>
                <w:szCs w:val="22"/>
              </w:rPr>
            </w:pPr>
            <w:r>
              <w:rPr>
                <w:sz w:val="22"/>
                <w:szCs w:val="22"/>
              </w:rPr>
              <w:t>327 мест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- 345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2"/>
                <w:szCs w:val="22"/>
              </w:rPr>
            </w:pPr>
            <w:r>
              <w:rPr>
                <w:b/>
                <w:sz w:val="20"/>
                <w:szCs w:val="20"/>
              </w:rPr>
              <w:t>2</w:t>
            </w:r>
          </w:p>
        </w:tc>
        <w:tc>
          <w:tcPr>
            <w:tcW w:w="15082"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
                <w:sz w:val="22"/>
                <w:szCs w:val="22"/>
              </w:rPr>
            </w:pPr>
            <w:r>
              <w:rPr>
                <w:b/>
                <w:sz w:val="22"/>
                <w:szCs w:val="22"/>
              </w:rPr>
              <w:t>Объекты образования (общеобразовательные организации)</w:t>
            </w:r>
          </w:p>
        </w:tc>
      </w:tr>
      <w:tr>
        <w:trPr>
          <w:trHeight w:val="1425"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2.1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Общеобразовательная школа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rPr>
              <w:t>г. Калуга,</w:t>
            </w:r>
          </w:p>
          <w:p>
            <w:pPr>
              <w:pStyle w:val="Normal"/>
              <w:widowControl w:val="false"/>
              <w:jc w:val="center"/>
              <w:rPr>
                <w:sz w:val="22"/>
                <w:szCs w:val="22"/>
              </w:rPr>
            </w:pPr>
            <w:r>
              <w:rPr>
                <w:sz w:val="22"/>
                <w:szCs w:val="22"/>
              </w:rPr>
              <w:t>мкр. Северный, район улиц Тепличная, Дорожная, Новая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t>Проектная вместимость</w:t>
            </w:r>
          </w:p>
          <w:p>
            <w:pPr>
              <w:pStyle w:val="Normal"/>
              <w:widowControl w:val="false"/>
              <w:jc w:val="center"/>
              <w:rPr>
                <w:sz w:val="22"/>
                <w:szCs w:val="22"/>
              </w:rPr>
            </w:pPr>
            <w:r>
              <w:rPr>
                <w:sz w:val="22"/>
                <w:szCs w:val="22"/>
              </w:rPr>
              <w:t>1505 мест.</w:t>
            </w:r>
          </w:p>
          <w:p>
            <w:pPr>
              <w:pStyle w:val="Normal"/>
              <w:widowControl w:val="false"/>
              <w:jc w:val="center"/>
              <w:rPr>
                <w:sz w:val="22"/>
                <w:szCs w:val="22"/>
              </w:rPr>
            </w:pPr>
            <w:r>
              <w:rPr>
                <w:sz w:val="22"/>
                <w:szCs w:val="22"/>
              </w:rPr>
              <w:t>Тип образовательных программ, дополняющих основную деятельность: реализующая  программы дошкольного образования и программы профессионального обучения</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- 6, рекомендуемая плотность населения - 435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2.2</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Общеобразовательная школа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Новоселки</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 xml:space="preserve"> </w:t>
            </w:r>
            <w:r>
              <w:rPr>
                <w:sz w:val="22"/>
                <w:szCs w:val="22"/>
              </w:rPr>
              <w:t>Проектная вместимость</w:t>
            </w:r>
          </w:p>
          <w:p>
            <w:pPr>
              <w:pStyle w:val="Normal"/>
              <w:widowControl w:val="false"/>
              <w:jc w:val="center"/>
              <w:rPr>
                <w:sz w:val="22"/>
                <w:szCs w:val="22"/>
              </w:rPr>
            </w:pPr>
            <w:r>
              <w:rPr>
                <w:sz w:val="22"/>
                <w:szCs w:val="22"/>
              </w:rPr>
              <w:t>1300 мест.</w:t>
            </w:r>
          </w:p>
          <w:p>
            <w:pPr>
              <w:pStyle w:val="Normal"/>
              <w:widowControl w:val="false"/>
              <w:jc w:val="center"/>
              <w:rPr/>
            </w:pPr>
            <w:r>
              <w:rPr>
                <w:sz w:val="22"/>
                <w:szCs w:val="22"/>
              </w:rPr>
              <w:t>Тип образовательных программ, дополняющих основную деятельность: реализующая программы дошкольного образования и программы профессионального обучения</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- 60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2.3</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Общеобразовательная школа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Университетский Городок</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 xml:space="preserve"> </w:t>
            </w:r>
            <w:r>
              <w:rPr>
                <w:sz w:val="22"/>
                <w:szCs w:val="22"/>
              </w:rPr>
              <w:t>Проектная вместимость</w:t>
            </w:r>
          </w:p>
          <w:p>
            <w:pPr>
              <w:pStyle w:val="Normal"/>
              <w:widowControl w:val="false"/>
              <w:jc w:val="center"/>
              <w:rPr>
                <w:sz w:val="22"/>
                <w:szCs w:val="22"/>
              </w:rPr>
            </w:pPr>
            <w:r>
              <w:rPr>
                <w:sz w:val="22"/>
                <w:szCs w:val="22"/>
              </w:rPr>
              <w:t>800 мест.</w:t>
            </w:r>
          </w:p>
          <w:p>
            <w:pPr>
              <w:pStyle w:val="Normal"/>
              <w:widowControl w:val="false"/>
              <w:jc w:val="center"/>
              <w:rPr>
                <w:sz w:val="22"/>
                <w:szCs w:val="22"/>
              </w:rPr>
            </w:pPr>
            <w:r>
              <w:rPr>
                <w:sz w:val="22"/>
                <w:szCs w:val="22"/>
              </w:rPr>
              <w:t>Тип образовательных программ, дополняющих основную деятельность: реализующая программы дошкольного образования и программы профессионального обучения</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- 435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79"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2.4</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Общеобразовательная школа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район Правобережный, ул. Серафима Туликова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 xml:space="preserve"> </w:t>
            </w:r>
            <w:r>
              <w:rPr>
                <w:sz w:val="22"/>
                <w:szCs w:val="22"/>
              </w:rPr>
              <w:t>Проектная вместимость</w:t>
            </w:r>
          </w:p>
          <w:p>
            <w:pPr>
              <w:pStyle w:val="Normal"/>
              <w:widowControl w:val="false"/>
              <w:jc w:val="center"/>
              <w:rPr>
                <w:sz w:val="22"/>
                <w:szCs w:val="22"/>
              </w:rPr>
            </w:pPr>
            <w:r>
              <w:rPr>
                <w:sz w:val="22"/>
                <w:szCs w:val="22"/>
              </w:rPr>
              <w:t>1100 мест.</w:t>
            </w:r>
          </w:p>
          <w:p>
            <w:pPr>
              <w:pStyle w:val="Normal"/>
              <w:widowControl w:val="false"/>
              <w:jc w:val="center"/>
              <w:rPr>
                <w:sz w:val="22"/>
                <w:szCs w:val="22"/>
              </w:rPr>
            </w:pPr>
            <w:r>
              <w:rPr>
                <w:sz w:val="22"/>
                <w:szCs w:val="22"/>
              </w:rPr>
              <w:t>Тип образовательных программ, дополняющих основную деятельность: реализующая программы дошкольного образования и программы профессионального обучения</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- 6, рекомендуемая плотность населения - 435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2.5</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Начальная школа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Хрустальная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Проектная вместимость</w:t>
            </w:r>
          </w:p>
          <w:p>
            <w:pPr>
              <w:pStyle w:val="Normal"/>
              <w:widowControl w:val="false"/>
              <w:jc w:val="center"/>
              <w:rPr>
                <w:sz w:val="22"/>
                <w:szCs w:val="22"/>
              </w:rPr>
            </w:pPr>
            <w:r>
              <w:rPr>
                <w:sz w:val="22"/>
                <w:szCs w:val="22"/>
              </w:rPr>
              <w:t>180 мест.</w:t>
            </w:r>
          </w:p>
          <w:p>
            <w:pPr>
              <w:pStyle w:val="Normal"/>
              <w:widowControl w:val="false"/>
              <w:jc w:val="center"/>
              <w:rPr>
                <w:sz w:val="22"/>
                <w:szCs w:val="22"/>
              </w:rPr>
            </w:pPr>
            <w:r>
              <w:rPr>
                <w:sz w:val="22"/>
                <w:szCs w:val="22"/>
              </w:rPr>
              <w:t>Тип образовательных программ, дополняющих основную деятельность: реализующая программы дошкольного образования</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- 280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79"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2.6</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Общеобразовательная школа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3-й Академический проезд</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 xml:space="preserve"> </w:t>
            </w:r>
            <w:r>
              <w:rPr>
                <w:sz w:val="22"/>
                <w:szCs w:val="22"/>
              </w:rPr>
              <w:t>Проектная вместимость</w:t>
            </w:r>
          </w:p>
          <w:p>
            <w:pPr>
              <w:pStyle w:val="Normal"/>
              <w:widowControl w:val="false"/>
              <w:jc w:val="center"/>
              <w:rPr>
                <w:sz w:val="22"/>
                <w:szCs w:val="22"/>
              </w:rPr>
            </w:pPr>
            <w:r>
              <w:rPr>
                <w:sz w:val="22"/>
                <w:szCs w:val="22"/>
              </w:rPr>
              <w:t>до 1600 мест.</w:t>
            </w:r>
          </w:p>
          <w:p>
            <w:pPr>
              <w:pStyle w:val="Normal"/>
              <w:widowControl w:val="false"/>
              <w:jc w:val="center"/>
              <w:rPr>
                <w:sz w:val="22"/>
                <w:szCs w:val="22"/>
              </w:rPr>
            </w:pPr>
            <w:r>
              <w:rPr>
                <w:sz w:val="22"/>
                <w:szCs w:val="22"/>
              </w:rPr>
              <w:t>Тип образовательных программ, дополняющих основную деятельность: реализующая программы дошкольного образования и программы профессионального обучения</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- 4/6, рекомендуемая плотность населения - 435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79"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2.7</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Общеобразовательная школа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Советская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 xml:space="preserve"> </w:t>
            </w:r>
            <w:r>
              <w:rPr>
                <w:sz w:val="22"/>
                <w:szCs w:val="22"/>
              </w:rPr>
              <w:t>Проектная вместимость</w:t>
            </w:r>
          </w:p>
          <w:p>
            <w:pPr>
              <w:pStyle w:val="Normal"/>
              <w:widowControl w:val="false"/>
              <w:jc w:val="center"/>
              <w:rPr>
                <w:sz w:val="22"/>
                <w:szCs w:val="22"/>
              </w:rPr>
            </w:pPr>
            <w:r>
              <w:rPr>
                <w:sz w:val="22"/>
                <w:szCs w:val="22"/>
              </w:rPr>
              <w:t>1100 мест.</w:t>
            </w:r>
          </w:p>
          <w:p>
            <w:pPr>
              <w:pStyle w:val="Normal"/>
              <w:widowControl w:val="false"/>
              <w:jc w:val="center"/>
              <w:rPr>
                <w:sz w:val="22"/>
                <w:szCs w:val="22"/>
              </w:rPr>
            </w:pPr>
            <w:r>
              <w:rPr>
                <w:sz w:val="22"/>
                <w:szCs w:val="22"/>
              </w:rPr>
              <w:t>Тип образовательных программ, дополняющих основную деятельность: реализующая программы дошкольного образования и программы профессионального обучения</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- 345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79"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2.8</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Общеобразовательная школа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Ромодановские Дворики</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 xml:space="preserve"> </w:t>
            </w:r>
            <w:r>
              <w:rPr>
                <w:sz w:val="22"/>
                <w:szCs w:val="22"/>
              </w:rPr>
              <w:t>Проектная вместимость</w:t>
            </w:r>
          </w:p>
          <w:p>
            <w:pPr>
              <w:pStyle w:val="Normal"/>
              <w:widowControl w:val="false"/>
              <w:jc w:val="center"/>
              <w:rPr>
                <w:sz w:val="22"/>
                <w:szCs w:val="22"/>
              </w:rPr>
            </w:pPr>
            <w:r>
              <w:rPr>
                <w:sz w:val="22"/>
                <w:szCs w:val="22"/>
              </w:rPr>
              <w:t>1000 мест.</w:t>
            </w:r>
          </w:p>
          <w:p>
            <w:pPr>
              <w:pStyle w:val="Normal"/>
              <w:widowControl w:val="false"/>
              <w:jc w:val="center"/>
              <w:rPr>
                <w:sz w:val="22"/>
                <w:szCs w:val="22"/>
              </w:rPr>
            </w:pPr>
            <w:r>
              <w:rPr>
                <w:sz w:val="22"/>
                <w:szCs w:val="22"/>
              </w:rPr>
              <w:t>Тип образовательных программ, дополняющих основную деятельность: реализующая программы дошкольного образования и программы профессионального обучения</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- 60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79"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2.9</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Общеобразовательная школа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мкр. Черносвитино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 xml:space="preserve"> </w:t>
            </w:r>
            <w:r>
              <w:rPr>
                <w:sz w:val="22"/>
                <w:szCs w:val="22"/>
              </w:rPr>
              <w:t>Проектная вместимость</w:t>
            </w:r>
          </w:p>
          <w:p>
            <w:pPr>
              <w:pStyle w:val="Normal"/>
              <w:widowControl w:val="false"/>
              <w:jc w:val="center"/>
              <w:rPr>
                <w:sz w:val="22"/>
                <w:szCs w:val="22"/>
              </w:rPr>
            </w:pPr>
            <w:r>
              <w:rPr>
                <w:sz w:val="22"/>
                <w:szCs w:val="22"/>
              </w:rPr>
              <w:t>до 2000 мест.</w:t>
            </w:r>
          </w:p>
          <w:p>
            <w:pPr>
              <w:pStyle w:val="Normal"/>
              <w:widowControl w:val="false"/>
              <w:jc w:val="center"/>
              <w:rPr>
                <w:sz w:val="22"/>
                <w:szCs w:val="22"/>
              </w:rPr>
            </w:pPr>
            <w:r>
              <w:rPr>
                <w:sz w:val="22"/>
                <w:szCs w:val="22"/>
              </w:rPr>
              <w:t>Тип образовательных программ, дополняющих основную деятельность: реализующая программы дошкольного образования и программы профессионального обучения</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- 60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79"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2.10</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Общеобразовательная школа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Новосельская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 xml:space="preserve"> </w:t>
            </w:r>
            <w:r>
              <w:rPr>
                <w:sz w:val="22"/>
                <w:szCs w:val="22"/>
              </w:rPr>
              <w:t>Проектная вместимость</w:t>
            </w:r>
          </w:p>
          <w:p>
            <w:pPr>
              <w:pStyle w:val="Normal"/>
              <w:widowControl w:val="false"/>
              <w:jc w:val="center"/>
              <w:rPr>
                <w:sz w:val="22"/>
                <w:szCs w:val="22"/>
              </w:rPr>
            </w:pPr>
            <w:r>
              <w:rPr>
                <w:sz w:val="22"/>
                <w:szCs w:val="22"/>
              </w:rPr>
              <w:t>до 2000 мест.</w:t>
            </w:r>
          </w:p>
          <w:p>
            <w:pPr>
              <w:pStyle w:val="Normal"/>
              <w:widowControl w:val="false"/>
              <w:jc w:val="center"/>
              <w:rPr>
                <w:sz w:val="22"/>
                <w:szCs w:val="22"/>
              </w:rPr>
            </w:pPr>
            <w:r>
              <w:rPr>
                <w:sz w:val="22"/>
                <w:szCs w:val="22"/>
              </w:rPr>
              <w:t>Тип образовательных программ, дополняющих основную деятельность: Реализующая программы дошкольного образования и программы профессионального обучения</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- 280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79"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2.11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Общеобразовательная школа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Железняки</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 xml:space="preserve"> </w:t>
            </w:r>
            <w:r>
              <w:rPr>
                <w:sz w:val="22"/>
                <w:szCs w:val="22"/>
              </w:rPr>
              <w:t>Проектная вместимость</w:t>
            </w:r>
          </w:p>
          <w:p>
            <w:pPr>
              <w:pStyle w:val="Normal"/>
              <w:widowControl w:val="false"/>
              <w:jc w:val="center"/>
              <w:rPr>
                <w:sz w:val="22"/>
                <w:szCs w:val="22"/>
              </w:rPr>
            </w:pPr>
            <w:r>
              <w:rPr>
                <w:sz w:val="22"/>
                <w:szCs w:val="22"/>
              </w:rPr>
              <w:t xml:space="preserve"> </w:t>
            </w:r>
            <w:r>
              <w:rPr>
                <w:sz w:val="22"/>
                <w:szCs w:val="22"/>
              </w:rPr>
              <w:t>до 1500 мест.</w:t>
            </w:r>
          </w:p>
          <w:p>
            <w:pPr>
              <w:pStyle w:val="Normal"/>
              <w:widowControl w:val="false"/>
              <w:jc w:val="center"/>
              <w:rPr>
                <w:sz w:val="22"/>
                <w:szCs w:val="22"/>
              </w:rPr>
            </w:pPr>
            <w:r>
              <w:rPr>
                <w:sz w:val="22"/>
                <w:szCs w:val="22"/>
              </w:rPr>
              <w:t>Тип образовательных программ, дополняющих основную деятельность: Реализующая программы дошкольного образования и программы профессионального обучения</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- 345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79"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2.12</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Общеобразовательная школа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в районе с. Некрасово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 xml:space="preserve"> </w:t>
            </w:r>
            <w:r>
              <w:rPr>
                <w:sz w:val="22"/>
                <w:szCs w:val="22"/>
              </w:rPr>
              <w:t>Проектная вместимость</w:t>
            </w:r>
          </w:p>
          <w:p>
            <w:pPr>
              <w:pStyle w:val="Normal"/>
              <w:widowControl w:val="false"/>
              <w:jc w:val="center"/>
              <w:rPr>
                <w:sz w:val="22"/>
                <w:szCs w:val="22"/>
              </w:rPr>
            </w:pPr>
            <w:r>
              <w:rPr>
                <w:sz w:val="22"/>
                <w:szCs w:val="22"/>
              </w:rPr>
              <w:t>до 2000 мест.</w:t>
            </w:r>
          </w:p>
          <w:p>
            <w:pPr>
              <w:pStyle w:val="Normal"/>
              <w:widowControl w:val="false"/>
              <w:jc w:val="center"/>
              <w:rPr>
                <w:sz w:val="22"/>
                <w:szCs w:val="22"/>
              </w:rPr>
            </w:pPr>
            <w:r>
              <w:rPr>
                <w:sz w:val="22"/>
                <w:szCs w:val="22"/>
              </w:rPr>
              <w:t>Тип образовательных программ, дополняющих основную деятельность: реализующая программы дошкольного образования и программы профессионального обучения</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- 6, рекомендуемая плотность населения - 435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557"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2.13</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Общеобразовательная школа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в районе д. Пучково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 xml:space="preserve"> </w:t>
            </w:r>
            <w:r>
              <w:rPr>
                <w:sz w:val="22"/>
                <w:szCs w:val="22"/>
              </w:rPr>
              <w:t>Проектная вместимость</w:t>
            </w:r>
          </w:p>
          <w:p>
            <w:pPr>
              <w:pStyle w:val="Normal"/>
              <w:widowControl w:val="false"/>
              <w:jc w:val="center"/>
              <w:rPr>
                <w:sz w:val="22"/>
                <w:szCs w:val="22"/>
              </w:rPr>
            </w:pPr>
            <w:r>
              <w:rPr>
                <w:sz w:val="22"/>
                <w:szCs w:val="22"/>
              </w:rPr>
              <w:t>до 1500 мест.</w:t>
            </w:r>
          </w:p>
          <w:p>
            <w:pPr>
              <w:pStyle w:val="Normal"/>
              <w:widowControl w:val="false"/>
              <w:jc w:val="center"/>
              <w:rPr>
                <w:sz w:val="22"/>
                <w:szCs w:val="22"/>
              </w:rPr>
            </w:pPr>
            <w:r>
              <w:rPr>
                <w:sz w:val="22"/>
                <w:szCs w:val="22"/>
              </w:rPr>
              <w:t>Тип образовательных программ, дополняющих основную деятельность: реализующая программы дошкольного образования и программы профессионального обучения</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- 6, рекомендуемая плотность населения - 435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832"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2.14</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Общеобразовательная школа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Лихун</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 xml:space="preserve"> </w:t>
            </w:r>
            <w:r>
              <w:rPr>
                <w:sz w:val="22"/>
                <w:szCs w:val="22"/>
              </w:rPr>
              <w:t>Проектная вместимость</w:t>
            </w:r>
          </w:p>
          <w:p>
            <w:pPr>
              <w:pStyle w:val="Normal"/>
              <w:widowControl w:val="false"/>
              <w:jc w:val="center"/>
              <w:rPr>
                <w:sz w:val="22"/>
                <w:szCs w:val="22"/>
              </w:rPr>
            </w:pPr>
            <w:r>
              <w:rPr>
                <w:sz w:val="22"/>
                <w:szCs w:val="22"/>
              </w:rPr>
              <w:t>800 мест.</w:t>
            </w:r>
          </w:p>
          <w:p>
            <w:pPr>
              <w:pStyle w:val="Normal"/>
              <w:widowControl w:val="false"/>
              <w:jc w:val="center"/>
              <w:rPr>
                <w:sz w:val="22"/>
                <w:szCs w:val="22"/>
              </w:rPr>
            </w:pPr>
            <w:r>
              <w:rPr>
                <w:sz w:val="22"/>
                <w:szCs w:val="22"/>
              </w:rPr>
              <w:t>Тип образовательных программ, дополняющих основную деятельность: реализующая программы дошкольного образования и программы профессионального обучения</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- 60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814"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2.15</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Общеобразовательная школа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Канищево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Проектная вместимость</w:t>
            </w:r>
          </w:p>
          <w:p>
            <w:pPr>
              <w:pStyle w:val="Normal"/>
              <w:widowControl w:val="false"/>
              <w:jc w:val="center"/>
              <w:rPr>
                <w:sz w:val="22"/>
                <w:szCs w:val="22"/>
              </w:rPr>
            </w:pPr>
            <w:r>
              <w:rPr>
                <w:sz w:val="22"/>
                <w:szCs w:val="22"/>
              </w:rPr>
              <w:t>до 2000 мест.</w:t>
            </w:r>
          </w:p>
          <w:p>
            <w:pPr>
              <w:pStyle w:val="Normal"/>
              <w:widowControl w:val="false"/>
              <w:jc w:val="center"/>
              <w:rPr>
                <w:sz w:val="22"/>
                <w:szCs w:val="22"/>
              </w:rPr>
            </w:pPr>
            <w:r>
              <w:rPr>
                <w:sz w:val="22"/>
                <w:szCs w:val="22"/>
              </w:rPr>
              <w:t>Тип образовательных программ, дополняющих основную деятельность: реализующая программы дошкольного образования и программы профессионального обучения</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- 60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814"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2.16</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Общеобразовательная школа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Матюнино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Проектная вместимость</w:t>
            </w:r>
          </w:p>
          <w:p>
            <w:pPr>
              <w:pStyle w:val="Normal"/>
              <w:widowControl w:val="false"/>
              <w:jc w:val="center"/>
              <w:rPr>
                <w:sz w:val="22"/>
                <w:szCs w:val="22"/>
              </w:rPr>
            </w:pPr>
            <w:r>
              <w:rPr>
                <w:sz w:val="22"/>
                <w:szCs w:val="22"/>
              </w:rPr>
              <w:t>до 1400 мест.</w:t>
            </w:r>
          </w:p>
          <w:p>
            <w:pPr>
              <w:pStyle w:val="Normal"/>
              <w:widowControl w:val="false"/>
              <w:jc w:val="center"/>
              <w:rPr>
                <w:sz w:val="22"/>
                <w:szCs w:val="22"/>
              </w:rPr>
            </w:pPr>
            <w:r>
              <w:rPr>
                <w:sz w:val="22"/>
                <w:szCs w:val="22"/>
              </w:rPr>
              <w:t>Тип образовательных программ, дополняющих основную деятельность: реализующая программы дошкольного образования и программы профессионального обучения</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- 6, рекомендуемая плотность населения - 60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814"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2.17</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Общеобразовательная школа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Тинино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Проектная вместимость</w:t>
            </w:r>
          </w:p>
          <w:p>
            <w:pPr>
              <w:pStyle w:val="Normal"/>
              <w:widowControl w:val="false"/>
              <w:jc w:val="center"/>
              <w:rPr>
                <w:sz w:val="22"/>
                <w:szCs w:val="22"/>
              </w:rPr>
            </w:pPr>
            <w:r>
              <w:rPr>
                <w:sz w:val="22"/>
                <w:szCs w:val="22"/>
              </w:rPr>
              <w:t>до 160 мест (школы).</w:t>
            </w:r>
          </w:p>
          <w:p>
            <w:pPr>
              <w:pStyle w:val="Normal"/>
              <w:widowControl w:val="false"/>
              <w:jc w:val="center"/>
              <w:rPr>
                <w:sz w:val="22"/>
                <w:szCs w:val="22"/>
              </w:rPr>
            </w:pPr>
            <w:r>
              <w:rPr>
                <w:sz w:val="22"/>
                <w:szCs w:val="22"/>
              </w:rPr>
              <w:t>Здание, совмещенное со зданием детского сада.</w:t>
            </w:r>
          </w:p>
          <w:p>
            <w:pPr>
              <w:pStyle w:val="Normal"/>
              <w:widowControl w:val="false"/>
              <w:jc w:val="center"/>
              <w:rPr>
                <w:sz w:val="22"/>
                <w:szCs w:val="22"/>
              </w:rPr>
            </w:pPr>
            <w:r>
              <w:rPr>
                <w:sz w:val="22"/>
                <w:szCs w:val="22"/>
              </w:rPr>
              <w:t>Тип образовательных программ, дополняющих основную деятельность: реализующая программы дошкольного образования</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Зона смешанной и общественно-деловой застройки. Максимальный процент застройки - 50%. Предельное количество этажей - не регламентируется,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814"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val="en-US"/>
              </w:rPr>
            </w:pPr>
            <w:r>
              <w:rPr>
                <w:sz w:val="20"/>
                <w:szCs w:val="20"/>
              </w:rPr>
              <w:t>2.18</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en-US"/>
              </w:rPr>
            </w:pPr>
            <w:r>
              <w:rPr>
                <w:sz w:val="22"/>
                <w:szCs w:val="22"/>
              </w:rPr>
              <w:t>Общеобразовательная школа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lang w:eastAsia="en-US"/>
              </w:rPr>
            </w:pPr>
            <w:r>
              <w:rPr>
                <w:sz w:val="22"/>
                <w:szCs w:val="22"/>
              </w:rPr>
              <w:t>ул. Новая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en-US"/>
              </w:rPr>
            </w:pPr>
            <w:r>
              <w:rPr>
                <w:sz w:val="22"/>
                <w:szCs w:val="22"/>
                <w:lang w:eastAsia="en-US"/>
              </w:rPr>
              <w:t>Проектная вместимость 1100 мест.</w:t>
            </w:r>
            <w:r>
              <w:rPr>
                <w:sz w:val="22"/>
                <w:szCs w:val="22"/>
              </w:rPr>
              <w:t xml:space="preserve"> Реализующая программы дошкольного образования и программы профессионального обучения</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en-US"/>
              </w:rPr>
            </w:pPr>
            <w:r>
              <w:rPr>
                <w:sz w:val="22"/>
                <w:szCs w:val="22"/>
              </w:rPr>
              <w:t>Производственные зоны, зоны инженерной и транспортной инфраструктур. Максимальный процент застройки - 50%. Предельное количество этажей - 4,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en-US"/>
              </w:rPr>
            </w:pPr>
            <w:r>
              <w:rPr>
                <w:sz w:val="22"/>
                <w:szCs w:val="22"/>
                <w:lang w:eastAsia="en-US"/>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814"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2.19</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Объект образования «Кадетский корпус»</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 области, мкр. Анненки</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en-US"/>
              </w:rPr>
            </w:pPr>
            <w:r>
              <w:rPr>
                <w:sz w:val="22"/>
                <w:szCs w:val="22"/>
                <w:lang w:eastAsia="en-US"/>
              </w:rPr>
              <w:t>Проектная вместимость до 1000 мест.</w:t>
            </w:r>
            <w:r>
              <w:rPr>
                <w:sz w:val="22"/>
                <w:szCs w:val="22"/>
              </w:rPr>
              <w:t xml:space="preserve"> Реализующая программы дошкольного образования и программы профессионального обучения</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Общественно-деловые зоны. Максимальный процент застройки - 50%. Предельное количество этажей - 6,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en-US"/>
              </w:rPr>
            </w:pPr>
            <w:r>
              <w:rPr>
                <w:sz w:val="22"/>
                <w:szCs w:val="22"/>
                <w:lang w:eastAsia="en-US"/>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79"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2"/>
                <w:szCs w:val="22"/>
              </w:rPr>
            </w:pPr>
            <w:r>
              <w:rPr>
                <w:b/>
                <w:sz w:val="20"/>
                <w:szCs w:val="20"/>
              </w:rPr>
              <w:t>3</w:t>
            </w:r>
          </w:p>
        </w:tc>
        <w:tc>
          <w:tcPr>
            <w:tcW w:w="15082"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
                <w:sz w:val="22"/>
                <w:szCs w:val="22"/>
              </w:rPr>
            </w:pPr>
            <w:r>
              <w:rPr>
                <w:b/>
                <w:sz w:val="22"/>
                <w:szCs w:val="22"/>
              </w:rPr>
              <w:t>Объекты дополнительного образования</w:t>
            </w:r>
          </w:p>
        </w:tc>
      </w:tr>
      <w:tr>
        <w:trPr>
          <w:trHeight w:val="1667"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3.1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Здание дома</w:t>
              <w:br/>
              <w:t>творчества для занятий с детьми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в районе ул. Фомушина</w:t>
            </w:r>
          </w:p>
          <w:p>
            <w:pPr>
              <w:pStyle w:val="Normal"/>
              <w:widowControl w:val="false"/>
              <w:jc w:val="center"/>
              <w:rPr>
                <w:sz w:val="22"/>
                <w:szCs w:val="22"/>
              </w:rPr>
            </w:pPr>
            <w:r>
              <w:rPr>
                <w:sz w:val="22"/>
                <w:szCs w:val="22"/>
              </w:rPr>
              <w:t>(мкр. Правобережье)</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«Детский Технопарк», трафик до 40000</w:t>
            </w:r>
          </w:p>
          <w:p>
            <w:pPr>
              <w:pStyle w:val="Normal"/>
              <w:widowControl w:val="false"/>
              <w:jc w:val="center"/>
              <w:rPr>
                <w:sz w:val="22"/>
                <w:szCs w:val="22"/>
              </w:rPr>
            </w:pPr>
            <w:r>
              <w:rPr>
                <w:sz w:val="22"/>
                <w:szCs w:val="22"/>
              </w:rPr>
              <w:t>детей /месяц, проектная вместимость - 1300 мест. Реализующая программы дошкольного образования и программы профессионального обучения</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- 60%. Предельное количество этажей - 2, рекомендуемая плотность населения - 435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814"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3.2</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Школа искусств</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б-р Сиреневый</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Организация дополнительного образования проектной вместимостью до 500</w:t>
            </w:r>
            <w:r>
              <w:rPr>
                <w:sz w:val="22"/>
                <w:szCs w:val="22"/>
                <w:lang w:val="en-US"/>
              </w:rPr>
              <w:t> </w:t>
            </w:r>
            <w:r>
              <w:rPr>
                <w:sz w:val="22"/>
                <w:szCs w:val="22"/>
              </w:rPr>
              <w:t>мест. Реализующая программы дошкольного образования и программы профессионального обучения</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Общественно-деловые зоны. Максимальный процент застройки - 50%. Предельное количество этажей - 5,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98"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22"/>
                <w:szCs w:val="22"/>
              </w:rPr>
            </w:pPr>
            <w:r>
              <w:rPr>
                <w:b/>
                <w:sz w:val="20"/>
                <w:szCs w:val="20"/>
              </w:rPr>
              <w:t>4</w:t>
            </w:r>
          </w:p>
        </w:tc>
        <w:tc>
          <w:tcPr>
            <w:tcW w:w="15082"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
                <w:sz w:val="22"/>
                <w:szCs w:val="22"/>
              </w:rPr>
            </w:pPr>
            <w:r>
              <w:rPr>
                <w:b/>
                <w:sz w:val="22"/>
                <w:szCs w:val="22"/>
              </w:rPr>
              <w:t>Объекты, реализующие программы профессионального образования</w:t>
            </w:r>
          </w:p>
        </w:tc>
      </w:tr>
      <w:tr>
        <w:trPr>
          <w:trHeight w:val="198"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20"/>
                <w:szCs w:val="20"/>
              </w:rPr>
            </w:pPr>
            <w:r>
              <w:rPr>
                <w:b/>
                <w:sz w:val="20"/>
                <w:szCs w:val="20"/>
              </w:rPr>
            </w:r>
          </w:p>
        </w:tc>
        <w:tc>
          <w:tcPr>
            <w:tcW w:w="15082"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2"/>
                <w:szCs w:val="22"/>
              </w:rPr>
            </w:pPr>
            <w:r>
              <w:rPr>
                <w:sz w:val="22"/>
                <w:szCs w:val="22"/>
              </w:rPr>
              <w:t>В текущей редакции - отсутствуют</w:t>
            </w:r>
          </w:p>
        </w:tc>
      </w:tr>
      <w:tr>
        <w:trPr>
          <w:trHeight w:val="317"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b/>
                <w:sz w:val="20"/>
                <w:szCs w:val="20"/>
              </w:rPr>
              <w:t>5</w:t>
            </w:r>
          </w:p>
        </w:tc>
        <w:tc>
          <w:tcPr>
            <w:tcW w:w="15082" w:type="dxa"/>
            <w:gridSpan w:val="7"/>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b/>
                <w:sz w:val="22"/>
                <w:szCs w:val="22"/>
              </w:rPr>
            </w:pPr>
            <w:r>
              <w:rPr>
                <w:b/>
                <w:sz w:val="22"/>
                <w:szCs w:val="22"/>
              </w:rPr>
              <w:t>Объекты физической культуры и спорта</w:t>
            </w:r>
          </w:p>
        </w:tc>
      </w:tr>
      <w:tr>
        <w:trPr>
          <w:trHeight w:val="113"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5.1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Физкультурно-оздоровительный комплекс</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rPr>
              <w:t>г. Калуга, м</w:t>
            </w:r>
            <w:r>
              <w:rPr>
                <w:rFonts w:eastAsia="Times New Roman" w:cs="Times New Roman"/>
                <w:color w:val="auto"/>
                <w:kern w:val="0"/>
                <w:sz w:val="22"/>
                <w:szCs w:val="22"/>
                <w:lang w:val="ru-RU" w:eastAsia="zh-CN" w:bidi="ar-SA"/>
              </w:rPr>
              <w:t>кр.</w:t>
            </w:r>
            <w:r>
              <w:rPr>
                <w:sz w:val="22"/>
                <w:szCs w:val="22"/>
              </w:rPr>
              <w:t xml:space="preserve"> Кубяка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Комплекс объектов пропускной способностью до 200 чел./час</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- 45%. Предельное количество этажей - 4, рекомендуемая плотность населения - 345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5.2</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Физкультурно-оздоровительный комплекс</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3-й Академический проезд</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Комплекс объектов пропускной способностью до 100 чел./час</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- 25%. Предельное количество этажей - 4, рекомендуемая плотность населения - 435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5.3</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Спортивный комплекс</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rPr>
              <w:t>г. Калуга,</w:t>
            </w:r>
          </w:p>
          <w:p>
            <w:pPr>
              <w:pStyle w:val="Normal"/>
              <w:widowControl w:val="false"/>
              <w:jc w:val="center"/>
              <w:rPr>
                <w:sz w:val="22"/>
                <w:szCs w:val="22"/>
              </w:rPr>
            </w:pPr>
            <w:r>
              <w:rPr>
                <w:sz w:val="22"/>
                <w:szCs w:val="22"/>
              </w:rPr>
              <w:t>мкр. Северный, район улиц Тепличная, Дорожная, Новая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Пропускной способностью до 100 чел./час</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- 45%. Предельное количество этажей - 4, рекомендуемая плотность населения - 435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77"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5</w:t>
            </w:r>
            <w:r>
              <w:rPr>
                <w:sz w:val="20"/>
                <w:szCs w:val="20"/>
                <w:lang w:val="en-US"/>
              </w:rPr>
              <w:t>.</w:t>
            </w:r>
            <w:r>
              <w:rPr>
                <w:sz w:val="20"/>
                <w:szCs w:val="20"/>
              </w:rPr>
              <w:t>4</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Спортивное сооружение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rPr>
              <w:t>г. Калуга,</w:t>
            </w:r>
          </w:p>
          <w:p>
            <w:pPr>
              <w:pStyle w:val="Normal"/>
              <w:widowControl w:val="false"/>
              <w:jc w:val="center"/>
              <w:rPr>
                <w:sz w:val="22"/>
                <w:szCs w:val="22"/>
              </w:rPr>
            </w:pPr>
            <w:r>
              <w:rPr>
                <w:sz w:val="22"/>
                <w:szCs w:val="22"/>
              </w:rPr>
              <w:t>мкр. Северный, район улиц Тепличная, Дорожная, Новая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Плоскостное спортивное сооружение (в том числе спортивные (игровые) площадки; спортивные поля, включая футбольные поля). Пропускной способностью до 200 чел./час</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- 45%. Предельное количество этажей - 2, рекомендуемая плотность населения - 435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77"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5.5</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Спортивное сооружение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Грабцевское шоссе, д.93</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Плоскостное спортивное сооружение (в том числе спортивные (игровые) площадки; спортивные поля, включая футбольные поля). Комплекс для занятий воркаутом пропускной способностью 10 чел./час; Скейтпарк с памп-треком -</w:t>
            </w:r>
          </w:p>
          <w:p>
            <w:pPr>
              <w:pStyle w:val="Normal"/>
              <w:widowControl w:val="false"/>
              <w:jc w:val="center"/>
              <w:rPr>
                <w:sz w:val="22"/>
                <w:szCs w:val="22"/>
              </w:rPr>
            </w:pPr>
            <w:r>
              <w:rPr>
                <w:sz w:val="22"/>
                <w:szCs w:val="22"/>
              </w:rPr>
              <w:t>20 чел. час</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rPr>
              <w:t>Общественно-деловые зоны. Максимальный процент застройки - 50%. Предельное количество этажей - 3,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79"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5.6</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Комплексная спортивная площадка с искусственным покрытием</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rPr>
              <w:t>г. Калуга, в</w:t>
            </w:r>
          </w:p>
          <w:p>
            <w:pPr>
              <w:pStyle w:val="Normal"/>
              <w:widowControl w:val="false"/>
              <w:jc w:val="center"/>
              <w:rPr>
                <w:sz w:val="22"/>
                <w:szCs w:val="22"/>
              </w:rPr>
            </w:pPr>
            <w:r>
              <w:rPr>
                <w:sz w:val="22"/>
                <w:szCs w:val="22"/>
              </w:rPr>
              <w:t>мкр. Турынино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Плоскостное спортивное сооружение (в том числе спортивные (игровые) площадки; спортивные поля, включая футбольные поля). пропускной способностью до 50 чел./час</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- 45%. Предельное количество этажей - 2, рекомендуемая плотность населения - 345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475"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5</w:t>
            </w:r>
            <w:r>
              <w:rPr>
                <w:sz w:val="20"/>
                <w:szCs w:val="20"/>
                <w:lang w:val="en-US"/>
              </w:rPr>
              <w:t>.</w:t>
            </w:r>
            <w:r>
              <w:rPr>
                <w:sz w:val="20"/>
                <w:szCs w:val="20"/>
              </w:rPr>
              <w:t>7</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Комплексная спортивная площадка с искусственным покрытием</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 лицея № 36</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Плоскостное спортивное сооружение (в том числе спортивные (игровые) площадки; спортивные поля, включая футбольные поля) пропускной способностью до 100 чел./час</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- 45%. Предельное количество этажей - 2, рекомендуемая плотность населения - 280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417"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5.8</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Комплексная спортивная площадка с искусственным покрытием</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Подгорная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Плоскостное спортивное сооружение (в том числе спортивные (игровые) площадки; спортивные поля, включая футбольные поля) пропускной способностью до 100 чел./час</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- 45%. Предельное количество этажей - 2, рекомендуемая плотность населения - 280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454"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5.9</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Комплексная спортивная площадка с искусственным покрытием</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rPr>
              <w:t xml:space="preserve"> </w:t>
            </w:r>
            <w:r>
              <w:rPr>
                <w:sz w:val="22"/>
                <w:szCs w:val="22"/>
              </w:rPr>
              <w:t>г. Калуга,</w:t>
            </w:r>
          </w:p>
          <w:p>
            <w:pPr>
              <w:pStyle w:val="Normal"/>
              <w:widowControl w:val="false"/>
              <w:jc w:val="center"/>
              <w:rPr>
                <w:sz w:val="22"/>
                <w:szCs w:val="22"/>
              </w:rPr>
            </w:pPr>
            <w:r>
              <w:rPr>
                <w:sz w:val="22"/>
                <w:szCs w:val="22"/>
              </w:rPr>
              <w:t>мкр. Куровской, пр. Мира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Плоскостное спортивное сооружение (в том числе спортивные (игровые) площадки; спортивные поля, включая футбольные поля) пропускной способностью до 100 чел./час</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- 45%. Предельное количество этажей - 2, рекомендуемая плотность населения - 280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454"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5.10</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Комплексная спортивная площадка с искусственным покрытием</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rPr>
              <w:t xml:space="preserve"> </w:t>
            </w:r>
            <w:r>
              <w:rPr>
                <w:sz w:val="22"/>
                <w:szCs w:val="22"/>
              </w:rPr>
              <w:t>г. Калуга,</w:t>
            </w:r>
          </w:p>
          <w:p>
            <w:pPr>
              <w:pStyle w:val="Normal"/>
              <w:widowControl w:val="false"/>
              <w:jc w:val="center"/>
              <w:rPr>
                <w:sz w:val="22"/>
                <w:szCs w:val="22"/>
              </w:rPr>
            </w:pPr>
            <w:r>
              <w:rPr>
                <w:sz w:val="22"/>
                <w:szCs w:val="22"/>
              </w:rPr>
              <w:t>мкр. Куровской, на участке нового строительства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Плоскостное спортивное сооружение (в том числе спортивные (игровые) площадки; спортивные поля, включая футбольные поля) пропускной способностью до 100 чел./час</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- 45%. Предельное количество этажей - 2, рекомендуемая плотность населения - 280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454"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5.11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Комплексная спортивная площадка с искусственным покрытием</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городской округ город Калуга Калужской области,</w:t>
            </w:r>
          </w:p>
          <w:p>
            <w:pPr>
              <w:pStyle w:val="Normal"/>
              <w:widowControl w:val="false"/>
              <w:jc w:val="center"/>
              <w:rPr>
                <w:sz w:val="22"/>
                <w:szCs w:val="22"/>
              </w:rPr>
            </w:pPr>
            <w:r>
              <w:rPr>
                <w:sz w:val="22"/>
                <w:szCs w:val="22"/>
              </w:rPr>
              <w:t>д. Яглово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Плоскостное спортивное сооружение (в том числе спортивные (игровые) площадки; спортивные поля, включая футбольные поля) пропускной способностью до 100 чел./час</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- 45%. Предельное количество этажей - 2, рекомендуемая плотность населения - 60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454"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5.12</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Комплексная спортивная площадка с искусственным покрытием</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Марьино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Плоскостное спортивное сооружение (в том числе спортивные (игровые) площадки; спортивные поля, включая футбольные поля) пропускной способностью до 100 чел./час</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- 45%. Предельное количество этажей - 2, рекомендуемая плотность населения - 60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454"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5</w:t>
            </w:r>
            <w:r>
              <w:rPr>
                <w:sz w:val="20"/>
                <w:szCs w:val="20"/>
                <w:lang w:val="en-US"/>
              </w:rPr>
              <w:t>.</w:t>
            </w:r>
            <w:r>
              <w:rPr>
                <w:sz w:val="20"/>
                <w:szCs w:val="20"/>
              </w:rPr>
              <w:t>13</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Многофункциональный спортивный комплекс (объект спорта, включающий раздельно нормируемые спортивные сооружения (объекты) (в т. ч. физкультурно-оздоровительный комплекс)</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район ул. Университетская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Комплекс объектов пропускной способностью до 200 чел./час</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18"/>
              <w:jc w:val="center"/>
              <w:rPr>
                <w:sz w:val="22"/>
                <w:szCs w:val="22"/>
              </w:rPr>
            </w:pPr>
            <w:r>
              <w:rPr>
                <w:sz w:val="22"/>
                <w:szCs w:val="22"/>
              </w:rPr>
              <w:t>Зоны рекреационного назначения.</w:t>
            </w:r>
          </w:p>
          <w:p>
            <w:pPr>
              <w:pStyle w:val="Normal"/>
              <w:widowControl w:val="false"/>
              <w:spacing w:lineRule="atLeast" w:line="18"/>
              <w:jc w:val="center"/>
              <w:rPr>
                <w:sz w:val="22"/>
                <w:szCs w:val="22"/>
              </w:rPr>
            </w:pPr>
            <w:r>
              <w:rPr>
                <w:sz w:val="22"/>
                <w:szCs w:val="22"/>
              </w:rPr>
              <w:t>Максимальный процент застройки – не регламентируется. Предельное количество этажей – не регламентируется,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454"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5.14</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Спортивный объект «Фиджитл Центр»</w:t>
            </w:r>
          </w:p>
          <w:p>
            <w:pPr>
              <w:pStyle w:val="Normal"/>
              <w:widowControl w:val="false"/>
              <w:jc w:val="center"/>
              <w:rPr>
                <w:sz w:val="22"/>
                <w:szCs w:val="22"/>
              </w:rPr>
            </w:pPr>
            <w:r>
              <w:rPr>
                <w:sz w:val="22"/>
                <w:szCs w:val="22"/>
              </w:rPr>
              <w:t>(объект спорта, включающий раздельно нормируемые спортивные сооружения (объекты) (в т. ч. физкультурно-оздоровительный комплекс)</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Верховая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Многофункциональное пространство, объединяющее спорт, киберспорт и виртуальную реальность в единый комплекс активностей,</w:t>
            </w:r>
          </w:p>
          <w:p>
            <w:pPr>
              <w:pStyle w:val="Normal"/>
              <w:widowControl w:val="false"/>
              <w:jc w:val="center"/>
              <w:rPr>
                <w:sz w:val="22"/>
                <w:szCs w:val="22"/>
              </w:rPr>
            </w:pPr>
            <w:r>
              <w:rPr>
                <w:sz w:val="22"/>
                <w:szCs w:val="22"/>
              </w:rPr>
              <w:t>пропускной способностью до 200 чел./час</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- 45%. Предельное количество этажей - 2, рекомендуемая плотность населения - 60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454"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5.15</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Центр единоборств (объект спорта, включающий раздельно нормируемые спортивные сооружения (объекты) (в т. ч. физкультурно-оздоровительный комплекс)</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в квартале, ограниченном улицами: Московская, Инженерная, Бутомы, Переходная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Спортивный зал, пропускной способностью до 100 чел./час</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- 45%. Предельное количество этажей - 2, рекомендуемая плотность населения - 60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2"/>
                <w:szCs w:val="22"/>
              </w:rPr>
            </w:pPr>
            <w:r>
              <w:rPr>
                <w:b/>
                <w:sz w:val="20"/>
                <w:szCs w:val="20"/>
              </w:rPr>
              <w:t>6</w:t>
            </w:r>
          </w:p>
        </w:tc>
        <w:tc>
          <w:tcPr>
            <w:tcW w:w="15082"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
                <w:sz w:val="22"/>
                <w:szCs w:val="22"/>
              </w:rPr>
            </w:pPr>
            <w:r>
              <w:rPr>
                <w:b/>
                <w:sz w:val="22"/>
                <w:szCs w:val="22"/>
              </w:rPr>
              <w:t>Объекты здравоохранения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6.1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Медицинский центр</w:t>
            </w:r>
          </w:p>
          <w:p>
            <w:pPr>
              <w:pStyle w:val="Normal"/>
              <w:widowControl w:val="false"/>
              <w:jc w:val="center"/>
              <w:rPr>
                <w:sz w:val="22"/>
                <w:szCs w:val="22"/>
              </w:rPr>
            </w:pPr>
            <w:r>
              <w:rPr>
                <w:sz w:val="22"/>
                <w:szCs w:val="22"/>
              </w:rPr>
              <w:t>(Центр (в том числе детский), специализированный центр (кроме отнесенных к медицинским организациям особого типа)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мкр. Анненки</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Проектной мощностью от</w:t>
            </w:r>
          </w:p>
          <w:p>
            <w:pPr>
              <w:pStyle w:val="Normal"/>
              <w:widowControl w:val="false"/>
              <w:jc w:val="center"/>
              <w:rPr>
                <w:sz w:val="22"/>
                <w:szCs w:val="22"/>
              </w:rPr>
            </w:pPr>
            <w:r>
              <w:rPr>
                <w:sz w:val="22"/>
                <w:szCs w:val="22"/>
              </w:rPr>
              <w:t>200 посещений в смену, с мощностью дневного стационара 50 коек</w:t>
            </w:r>
          </w:p>
          <w:p>
            <w:pPr>
              <w:pStyle w:val="Normal"/>
              <w:widowControl w:val="false"/>
              <w:jc w:val="center"/>
              <w:rPr>
                <w:sz w:val="22"/>
                <w:szCs w:val="22"/>
              </w:rPr>
            </w:pPr>
            <w:r>
              <w:rPr>
                <w:sz w:val="22"/>
                <w:szCs w:val="22"/>
              </w:rPr>
              <w:t>(3 объекта). Число автомобилей СМП – 1 шт.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Общественно-деловые зоны. Максимальный процент застройки - 50%. Предельное количество этажей - 6,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val="en-US"/>
              </w:rPr>
            </w:pPr>
            <w:r>
              <w:rPr>
                <w:sz w:val="20"/>
                <w:szCs w:val="20"/>
              </w:rPr>
              <w:t>6</w:t>
            </w:r>
            <w:r>
              <w:rPr>
                <w:sz w:val="20"/>
                <w:szCs w:val="20"/>
                <w:lang w:val="en-US"/>
              </w:rPr>
              <w:t>.2</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Многопрофильный медицинский центр (Центр (в том числе детский), специализированный центр (кроме отнесенных к медицинским организациям особого типа)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 xml:space="preserve"> </w:t>
            </w:r>
            <w:r>
              <w:rPr>
                <w:sz w:val="22"/>
                <w:szCs w:val="22"/>
              </w:rPr>
              <w:t>мкр. Северный, район улиц Тепличная, Дорожная, Новая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Проектной мощностью</w:t>
            </w:r>
          </w:p>
          <w:p>
            <w:pPr>
              <w:pStyle w:val="Normal"/>
              <w:widowControl w:val="false"/>
              <w:jc w:val="center"/>
              <w:rPr/>
            </w:pPr>
            <w:r>
              <w:rPr>
                <w:sz w:val="22"/>
                <w:szCs w:val="22"/>
              </w:rPr>
              <w:t>200 посещений в смену, мощностью дневного стационара 20 коек. Число автомобилей СМП – 1 шт.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- 8, рекомендуемая плотность населения - 435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757"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6.3</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Многопрофильный медицинский центр (Центр (в том числе детский), специализированный центр (кроме отнесенных к медицинским организациям особого типа)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в районе д. 24 по ул. Фомушина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Проектной мощностью</w:t>
            </w:r>
          </w:p>
          <w:p>
            <w:pPr>
              <w:pStyle w:val="Normal"/>
              <w:widowControl w:val="false"/>
              <w:jc w:val="center"/>
              <w:rPr>
                <w:sz w:val="22"/>
                <w:szCs w:val="22"/>
              </w:rPr>
            </w:pPr>
            <w:r>
              <w:rPr>
                <w:sz w:val="22"/>
                <w:szCs w:val="22"/>
              </w:rPr>
              <w:t>400 посещений в смену и поликлиническим отделением на 20 коек</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Общественно-деловые зоны. Максимальный процент застройки - 50%. Предельное количество этажей - 5,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474"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val="en-US"/>
              </w:rPr>
            </w:pPr>
            <w:r>
              <w:rPr>
                <w:sz w:val="20"/>
                <w:szCs w:val="20"/>
              </w:rPr>
              <w:t>6</w:t>
            </w:r>
            <w:r>
              <w:rPr>
                <w:sz w:val="20"/>
                <w:szCs w:val="20"/>
                <w:lang w:val="en-US"/>
              </w:rPr>
              <w:t>.4</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Поликлиника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мкр. Северный, район улиц Тепличная, Дорожная, Новая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Проектной мощностью</w:t>
            </w:r>
          </w:p>
          <w:p>
            <w:pPr>
              <w:pStyle w:val="Normal"/>
              <w:widowControl w:val="false"/>
              <w:jc w:val="center"/>
              <w:rPr>
                <w:sz w:val="22"/>
                <w:szCs w:val="22"/>
              </w:rPr>
            </w:pPr>
            <w:r>
              <w:rPr>
                <w:sz w:val="22"/>
                <w:szCs w:val="22"/>
              </w:rPr>
              <w:t>770 посещений в смену, мощностью дневного стационара 50 коек. Число автомобилей СМП – 1 шт.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- 8, рекомендуемая плотность населения - 435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474"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6.5</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Поликлиника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rPr>
              <w:t>г. Калуга, район</w:t>
            </w:r>
          </w:p>
          <w:p>
            <w:pPr>
              <w:pStyle w:val="Normal"/>
              <w:widowControl w:val="false"/>
              <w:jc w:val="center"/>
              <w:rPr/>
            </w:pPr>
            <w:r>
              <w:rPr>
                <w:sz w:val="22"/>
                <w:szCs w:val="22"/>
              </w:rPr>
              <w:t>ул. Полесская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Проектной мощностью</w:t>
            </w:r>
          </w:p>
          <w:p>
            <w:pPr>
              <w:pStyle w:val="Normal"/>
              <w:widowControl w:val="false"/>
              <w:jc w:val="center"/>
              <w:rPr>
                <w:sz w:val="22"/>
                <w:szCs w:val="22"/>
              </w:rPr>
            </w:pPr>
            <w:r>
              <w:rPr>
                <w:sz w:val="22"/>
                <w:szCs w:val="22"/>
              </w:rPr>
              <w:t>600 посещений в смену, мощностью дневного стационара 50 коек. Число автомобилей СМП – 1 шт.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Зона смешанной и общественно-деловой застройки. Максимальный процент застройки - 50%. Предельное количество этажей - 7/6,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474"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6</w:t>
            </w:r>
            <w:r>
              <w:rPr>
                <w:sz w:val="20"/>
                <w:szCs w:val="20"/>
                <w:lang w:val="en-US"/>
              </w:rPr>
              <w:t>.</w:t>
            </w:r>
            <w:r>
              <w:rPr>
                <w:sz w:val="20"/>
                <w:szCs w:val="20"/>
              </w:rPr>
              <w:t>6</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Хоспис</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в районе Городского бора (вне границ ООПТ)</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Проектной вместимостью и мощностью круглосуточного стационара от 100 мест, мощностью дневного стационара 20 мест. Число автомобилей СМП – 2 шт.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Общественно-деловые зоны. Максимальный процент застройки - 50%. Предельное количество этажей - 4,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757"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6</w:t>
            </w:r>
            <w:r>
              <w:rPr>
                <w:sz w:val="20"/>
                <w:szCs w:val="20"/>
                <w:lang w:val="en-US"/>
              </w:rPr>
              <w:t>.</w:t>
            </w:r>
            <w:r>
              <w:rPr>
                <w:sz w:val="20"/>
                <w:szCs w:val="20"/>
              </w:rPr>
              <w:t>7</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Центр позитронно-эмиссионной и компьютерной томографии (Центр (в том числе детский), специализированный центр (кроме отнесенных к медицинским организациям особого типа)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мкр. Анненки</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rPr>
              <w:t>Специальный медицинский центр до 100 посещений в смену, мощностью дневного стационара 50 мест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Общественно-деловые зоны. Максимальный процент застройки - 50%. Предельное количество этажей - 6,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757"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6.8</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Медицинский центр</w:t>
            </w:r>
          </w:p>
          <w:p>
            <w:pPr>
              <w:pStyle w:val="Normal"/>
              <w:widowControl w:val="false"/>
              <w:jc w:val="center"/>
              <w:rPr>
                <w:sz w:val="22"/>
                <w:szCs w:val="22"/>
              </w:rPr>
            </w:pPr>
            <w:r>
              <w:rPr>
                <w:sz w:val="22"/>
                <w:szCs w:val="22"/>
              </w:rPr>
              <w:t xml:space="preserve"> </w:t>
            </w:r>
            <w:r>
              <w:rPr>
                <w:sz w:val="22"/>
                <w:szCs w:val="22"/>
              </w:rPr>
              <w:t>(Центр (в том числе детский), специализированный центр (кроме отнесенных к медицинским организациям особого типа)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ул. Московская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Проектной мощностью</w:t>
            </w:r>
          </w:p>
          <w:p>
            <w:pPr>
              <w:pStyle w:val="Normal"/>
              <w:widowControl w:val="false"/>
              <w:jc w:val="center"/>
              <w:rPr>
                <w:sz w:val="22"/>
                <w:szCs w:val="22"/>
              </w:rPr>
            </w:pPr>
            <w:r>
              <w:rPr>
                <w:sz w:val="22"/>
                <w:szCs w:val="22"/>
              </w:rPr>
              <w:t>160 посещений в смену, мощностью дневного стационара 10 коек. Число автомобилей СМП – 1 шт.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- 8, рекомендуемая плотность населения - 435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22"/>
                <w:szCs w:val="22"/>
              </w:rPr>
            </w:pPr>
            <w:r>
              <w:rPr>
                <w:b/>
                <w:sz w:val="20"/>
                <w:szCs w:val="20"/>
              </w:rPr>
              <w:t>7</w:t>
            </w:r>
          </w:p>
        </w:tc>
        <w:tc>
          <w:tcPr>
            <w:tcW w:w="15082" w:type="dxa"/>
            <w:gridSpan w:val="7"/>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b/>
                <w:sz w:val="22"/>
                <w:szCs w:val="22"/>
              </w:rPr>
            </w:pPr>
            <w:r>
              <w:rPr>
                <w:b/>
                <w:sz w:val="22"/>
                <w:szCs w:val="22"/>
              </w:rPr>
              <w:t>Объекты культуры и искусства</w:t>
            </w:r>
          </w:p>
        </w:tc>
      </w:tr>
      <w:tr>
        <w:trPr>
          <w:trHeight w:val="1871"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val="en-US"/>
              </w:rPr>
            </w:pPr>
            <w:r>
              <w:rPr>
                <w:sz w:val="20"/>
                <w:szCs w:val="20"/>
              </w:rPr>
              <w:t>7</w:t>
            </w:r>
            <w:r>
              <w:rPr>
                <w:sz w:val="20"/>
                <w:szCs w:val="20"/>
                <w:lang w:val="en-US"/>
              </w:rPr>
              <w:t>.1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Государственное бюджетное учреждение культуры Калужской области «Калужский музей изобразительных искусств» (культурно-выставочный центр «Эрмитаж»)</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ул. Карла Маркса, д. 6</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Планируемая ежедневная посещаемость – 400 человек. Лекционный зал на</w:t>
            </w:r>
            <w:r>
              <w:rPr>
                <w:sz w:val="22"/>
                <w:szCs w:val="22"/>
                <w:lang w:val="en-US"/>
              </w:rPr>
              <w:t> </w:t>
            </w:r>
            <w:r>
              <w:rPr>
                <w:sz w:val="22"/>
                <w:szCs w:val="22"/>
              </w:rPr>
              <w:t>40</w:t>
            </w:r>
            <w:r>
              <w:rPr>
                <w:sz w:val="22"/>
                <w:szCs w:val="22"/>
                <w:lang w:val="en-US"/>
              </w:rPr>
              <w:t> </w:t>
            </w:r>
            <w:r>
              <w:rPr>
                <w:sz w:val="22"/>
                <w:szCs w:val="22"/>
              </w:rPr>
              <w:t>человек.</w:t>
            </w:r>
          </w:p>
          <w:p>
            <w:pPr>
              <w:pStyle w:val="Normal"/>
              <w:widowControl w:val="false"/>
              <w:jc w:val="center"/>
              <w:rPr>
                <w:sz w:val="22"/>
                <w:szCs w:val="22"/>
              </w:rPr>
            </w:pPr>
            <w:r>
              <w:rPr>
                <w:sz w:val="22"/>
                <w:szCs w:val="22"/>
              </w:rPr>
              <w:t>Фонд библиотеки 1 тыс. экз.</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Общественно-деловые зоны. Максимальный процент застройки - 50%. Предельное количество этажей - 6,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val="en-US"/>
              </w:rPr>
            </w:pPr>
            <w:r>
              <w:rPr>
                <w:sz w:val="22"/>
                <w:szCs w:val="22"/>
                <w:lang w:val="en-US"/>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val="en-US"/>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2"/>
                <w:szCs w:val="22"/>
              </w:rPr>
            </w:pPr>
            <w:r>
              <w:rPr>
                <w:b/>
                <w:sz w:val="20"/>
                <w:szCs w:val="20"/>
              </w:rPr>
              <w:t>8</w:t>
            </w:r>
          </w:p>
        </w:tc>
        <w:tc>
          <w:tcPr>
            <w:tcW w:w="15082"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
                <w:sz w:val="22"/>
                <w:szCs w:val="22"/>
              </w:rPr>
            </w:pPr>
            <w:r>
              <w:rPr>
                <w:b/>
                <w:sz w:val="22"/>
                <w:szCs w:val="22"/>
              </w:rPr>
              <w:t>Места погребения</w:t>
            </w:r>
          </w:p>
        </w:tc>
      </w:tr>
      <w:tr>
        <w:trPr>
          <w:trHeight w:val="1531"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8.1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Строительство гражданского кладбища (в т.ч. ПИР)</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в районе д. Марьино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Общественное, смешанного и традиционного захоронения площадью от 10 до 20 га (в соответствии с санитарной классификацией).</w:t>
            </w:r>
          </w:p>
          <w:p>
            <w:pPr>
              <w:pStyle w:val="Normal"/>
              <w:widowControl w:val="false"/>
              <w:jc w:val="center"/>
              <w:rPr>
                <w:sz w:val="22"/>
                <w:szCs w:val="22"/>
              </w:rPr>
            </w:pPr>
            <w:r>
              <w:rPr>
                <w:sz w:val="22"/>
                <w:szCs w:val="22"/>
              </w:rPr>
              <w:t>Площадь 18 га.</w:t>
            </w:r>
          </w:p>
          <w:p>
            <w:pPr>
              <w:pStyle w:val="Normal"/>
              <w:widowControl w:val="false"/>
              <w:jc w:val="center"/>
              <w:rPr>
                <w:sz w:val="22"/>
                <w:szCs w:val="22"/>
              </w:rPr>
            </w:pPr>
            <w:r>
              <w:rPr>
                <w:sz w:val="22"/>
                <w:szCs w:val="22"/>
              </w:rPr>
              <w:t xml:space="preserve"> </w:t>
            </w:r>
            <w:r>
              <w:rPr>
                <w:sz w:val="22"/>
                <w:szCs w:val="22"/>
                <w:lang w:val="en-US"/>
              </w:rPr>
              <w:t>III</w:t>
            </w:r>
            <w:r>
              <w:rPr>
                <w:sz w:val="22"/>
                <w:szCs w:val="22"/>
              </w:rPr>
              <w:t xml:space="preserve"> класс опасности объекта в соответствии с сан.классификацией. Статус кладбища – действующее (устанавливается после открытия)</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Зона кладбищ.</w:t>
            </w:r>
          </w:p>
          <w:p>
            <w:pPr>
              <w:pStyle w:val="Normal"/>
              <w:widowControl w:val="false"/>
              <w:jc w:val="center"/>
              <w:rPr>
                <w:sz w:val="22"/>
                <w:szCs w:val="22"/>
              </w:rPr>
            </w:pPr>
            <w:r>
              <w:rPr>
                <w:sz w:val="22"/>
                <w:szCs w:val="22"/>
              </w:rPr>
              <w:t>Иные параметры зоны не регламентируются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300 м по СанПиН 2.2.1/2.1.1.1200-03</w:t>
            </w:r>
          </w:p>
        </w:tc>
      </w:tr>
      <w:tr>
        <w:trPr>
          <w:trHeight w:val="1531"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8.2</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Крематорий</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з/у с</w:t>
            </w:r>
          </w:p>
          <w:p>
            <w:pPr>
              <w:pStyle w:val="Normal"/>
              <w:widowControl w:val="false"/>
              <w:jc w:val="center"/>
              <w:rPr>
                <w:sz w:val="22"/>
                <w:szCs w:val="22"/>
              </w:rPr>
            </w:pPr>
            <w:r>
              <w:rPr>
                <w:sz w:val="22"/>
                <w:szCs w:val="22"/>
              </w:rPr>
              <w:t>К№ 40:26:000099:679</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 xml:space="preserve">Крематории с одной однокамерной печью, </w:t>
            </w:r>
            <w:r>
              <w:rPr>
                <w:sz w:val="22"/>
                <w:szCs w:val="22"/>
                <w:lang w:val="en-US"/>
              </w:rPr>
              <w:t>II</w:t>
            </w:r>
            <w:r>
              <w:rPr>
                <w:sz w:val="22"/>
                <w:szCs w:val="22"/>
              </w:rPr>
              <w:t xml:space="preserve"> класс опасности объекта в соответствии с сан. классификацией,</w:t>
            </w:r>
          </w:p>
          <w:p>
            <w:pPr>
              <w:pStyle w:val="Normal"/>
              <w:widowControl w:val="false"/>
              <w:jc w:val="center"/>
              <w:rPr>
                <w:sz w:val="22"/>
                <w:szCs w:val="22"/>
              </w:rPr>
            </w:pPr>
            <w:r>
              <w:rPr>
                <w:sz w:val="22"/>
                <w:szCs w:val="22"/>
              </w:rPr>
              <w:t>площадь 2,9 га</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Зона кладбищ.</w:t>
            </w:r>
          </w:p>
          <w:p>
            <w:pPr>
              <w:pStyle w:val="Normal"/>
              <w:widowControl w:val="false"/>
              <w:jc w:val="center"/>
              <w:rPr>
                <w:sz w:val="22"/>
                <w:szCs w:val="22"/>
              </w:rPr>
            </w:pPr>
            <w:r>
              <w:rPr>
                <w:sz w:val="22"/>
                <w:szCs w:val="22"/>
              </w:rPr>
              <w:t>Иные параметры зоны не регламентируются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500 м по СанПиН 2.2.1/2.1.1.1200-03</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22"/>
                <w:szCs w:val="22"/>
              </w:rPr>
            </w:pPr>
            <w:r>
              <w:rPr>
                <w:b/>
                <w:sz w:val="20"/>
                <w:szCs w:val="20"/>
              </w:rPr>
              <w:t>9</w:t>
            </w:r>
          </w:p>
        </w:tc>
        <w:tc>
          <w:tcPr>
            <w:tcW w:w="15082" w:type="dxa"/>
            <w:gridSpan w:val="7"/>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b/>
                <w:sz w:val="22"/>
                <w:szCs w:val="22"/>
              </w:rPr>
            </w:pPr>
            <w:r>
              <w:rPr>
                <w:b/>
                <w:sz w:val="22"/>
                <w:szCs w:val="22"/>
                <w:lang w:eastAsia="en-US"/>
              </w:rPr>
              <w:t>Объекты транспортной инфраструктуры</w:t>
            </w:r>
          </w:p>
        </w:tc>
      </w:tr>
      <w:tr>
        <w:trPr>
          <w:trHeight w:val="970"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подъездной дороги к гражданскому кладбищу (в т.ч. ПИР)</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в районе д. Марьино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 xml:space="preserve">Автомобильная дорога местного значения, общего пользования, </w:t>
            </w:r>
            <w:r>
              <w:rPr>
                <w:sz w:val="22"/>
                <w:szCs w:val="22"/>
                <w:lang w:val="en-US"/>
              </w:rPr>
              <w:t>V</w:t>
            </w:r>
            <w:r>
              <w:rPr>
                <w:sz w:val="22"/>
                <w:szCs w:val="22"/>
              </w:rPr>
              <w:t xml:space="preserve"> категории, с усовершенствованным покрытием, круглогодичного функционирования, протяженностью 0,6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9.2</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Реконструкция мостового сооружения «Синие мосты» с подходами по</w:t>
            </w:r>
          </w:p>
          <w:p>
            <w:pPr>
              <w:pStyle w:val="Normal"/>
              <w:widowControl w:val="false"/>
              <w:rPr>
                <w:sz w:val="22"/>
                <w:szCs w:val="22"/>
              </w:rPr>
            </w:pPr>
            <w:r>
              <w:rPr>
                <w:sz w:val="22"/>
                <w:szCs w:val="22"/>
              </w:rPr>
              <w:t>ул. Тарутинской и ул. Глаголева на участке от пер. Малинники до светофорного объекта на ул. Глаголева (остановка ул. Бутомы) (в т.ч. ПИР)</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Реконструкция мостового сооружения (мост автодорожный) через железную дорогу, с организацией подходов</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9.3</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улично-дорожной сети на территории участка железной дороги станции Калуга-1 (Окская ветка) от</w:t>
            </w:r>
          </w:p>
          <w:p>
            <w:pPr>
              <w:pStyle w:val="Normal"/>
              <w:widowControl w:val="false"/>
              <w:rPr>
                <w:sz w:val="22"/>
                <w:szCs w:val="22"/>
              </w:rPr>
            </w:pPr>
            <w:r>
              <w:rPr>
                <w:sz w:val="22"/>
                <w:szCs w:val="22"/>
              </w:rPr>
              <w:t>ул. Болдина до</w:t>
            </w:r>
          </w:p>
          <w:p>
            <w:pPr>
              <w:pStyle w:val="Normal"/>
              <w:widowControl w:val="false"/>
              <w:rPr>
                <w:sz w:val="22"/>
                <w:szCs w:val="22"/>
              </w:rPr>
            </w:pPr>
            <w:r>
              <w:rPr>
                <w:sz w:val="22"/>
                <w:szCs w:val="22"/>
              </w:rPr>
              <w:t>ул. Билибина</w:t>
            </w:r>
          </w:p>
          <w:p>
            <w:pPr>
              <w:pStyle w:val="Normal"/>
              <w:widowControl w:val="false"/>
              <w:rPr>
                <w:sz w:val="22"/>
                <w:szCs w:val="22"/>
              </w:rPr>
            </w:pPr>
            <w:r>
              <w:rPr>
                <w:sz w:val="22"/>
                <w:szCs w:val="22"/>
              </w:rPr>
              <w:t>(в т.ч. ПИР)</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Строительство улицы и дороги местного значения. Создание пешеходной улицы с усовершенствованным покрытием, протяженностью 5</w:t>
            </w:r>
            <w:r>
              <w:rPr>
                <w:sz w:val="22"/>
                <w:szCs w:val="22"/>
                <w:lang w:val="en-US"/>
              </w:rPr>
              <w:t> </w:t>
            </w:r>
            <w:r>
              <w:rPr>
                <w:sz w:val="22"/>
                <w:szCs w:val="22"/>
              </w:rPr>
              <w:t>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9.4</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улично-дорожной сети по ул. Петра Семенова от</w:t>
            </w:r>
          </w:p>
          <w:p>
            <w:pPr>
              <w:pStyle w:val="Normal"/>
              <w:widowControl w:val="false"/>
              <w:rPr>
                <w:sz w:val="22"/>
                <w:szCs w:val="22"/>
              </w:rPr>
            </w:pPr>
            <w:r>
              <w:rPr>
                <w:sz w:val="22"/>
                <w:szCs w:val="22"/>
              </w:rPr>
              <w:t>д. 9 к д. 13 и далее до Обуховского дома культуры (в т.ч. ПИР)</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мкр. Куровской</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Строительство улицы и дороги местного значения. Улица в жилой застройке с усовершенствованным покрытием, протяженностью 1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9.5</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Реконструкция улично-дорожной сети ул. Георгия Димитрова</w:t>
            </w:r>
          </w:p>
          <w:p>
            <w:pPr>
              <w:pStyle w:val="Normal"/>
              <w:widowControl w:val="false"/>
              <w:rPr>
                <w:sz w:val="22"/>
                <w:szCs w:val="22"/>
              </w:rPr>
            </w:pPr>
            <w:r>
              <w:rPr>
                <w:sz w:val="22"/>
                <w:szCs w:val="22"/>
              </w:rPr>
              <w:t>(в т.ч. ПИР)</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Реконструкция улицы местного значения (улица в жилой застройке) с заменой покрытия на усовершенствованное и организацией парковок, протяженность 1,1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9.6</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Реконструкция улично-дорожной сети по ул. Ромодановские Дворики (в т.ч. ПИР)</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Реконструкция магистральной улицы районного значения (тип: транспортно-пешеходная)  с заменой покрытия на усовершенствованное, протяженность 4,9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9.7</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улично-дорожной сети</w:t>
            </w:r>
          </w:p>
          <w:p>
            <w:pPr>
              <w:pStyle w:val="Normal"/>
              <w:widowControl w:val="false"/>
              <w:rPr>
                <w:sz w:val="22"/>
                <w:szCs w:val="22"/>
              </w:rPr>
            </w:pPr>
            <w:r>
              <w:rPr>
                <w:sz w:val="22"/>
                <w:szCs w:val="22"/>
              </w:rPr>
              <w:t>(в т.ч. ПИР)</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 области</w:t>
            </w:r>
            <w:r>
              <w:rPr>
                <w:sz w:val="22"/>
                <w:szCs w:val="22"/>
              </w:rPr>
              <w:t>, д. Яглово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 xml:space="preserve">Строительство автомобильной дороги местного значения, общего пользования, </w:t>
            </w:r>
            <w:r>
              <w:rPr>
                <w:sz w:val="22"/>
                <w:szCs w:val="22"/>
                <w:lang w:val="en-US"/>
              </w:rPr>
              <w:t>V</w:t>
            </w:r>
            <w:r>
              <w:rPr>
                <w:sz w:val="22"/>
                <w:szCs w:val="22"/>
              </w:rPr>
              <w:t xml:space="preserve"> категории, с усовершенствованным покрытием, круглогодичного функционирования,</w:t>
            </w:r>
          </w:p>
          <w:p>
            <w:pPr>
              <w:pStyle w:val="Normal"/>
              <w:widowControl w:val="false"/>
              <w:jc w:val="center"/>
              <w:rPr>
                <w:sz w:val="22"/>
                <w:szCs w:val="22"/>
              </w:rPr>
            </w:pPr>
            <w:r>
              <w:rPr>
                <w:sz w:val="22"/>
                <w:szCs w:val="22"/>
              </w:rPr>
              <w:t>2 полосы, шириной до 22 м, протяженностью 1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9.8</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Реконструкция улично-дорожной сети от ул. Комфортной до</w:t>
            </w:r>
          </w:p>
          <w:p>
            <w:pPr>
              <w:pStyle w:val="Normal"/>
              <w:widowControl w:val="false"/>
              <w:rPr>
                <w:sz w:val="22"/>
                <w:szCs w:val="22"/>
              </w:rPr>
            </w:pPr>
            <w:r>
              <w:rPr>
                <w:sz w:val="22"/>
                <w:szCs w:val="22"/>
              </w:rPr>
              <w:t>СНТ «Долина»</w:t>
            </w:r>
          </w:p>
          <w:p>
            <w:pPr>
              <w:pStyle w:val="Normal"/>
              <w:widowControl w:val="false"/>
              <w:rPr>
                <w:sz w:val="22"/>
                <w:szCs w:val="22"/>
              </w:rPr>
            </w:pPr>
            <w:r>
              <w:rPr>
                <w:sz w:val="22"/>
                <w:szCs w:val="22"/>
              </w:rPr>
              <w:t>(в т.ч. ПИР)</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Реконструкция улицы и дороги местного значения в жилой застройке с заменой покрытия на усовершенствованное. протяженность 0,2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9.9</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Реконструкция улично-дорожной сети ул. Спартака</w:t>
            </w:r>
          </w:p>
          <w:p>
            <w:pPr>
              <w:pStyle w:val="Normal"/>
              <w:widowControl w:val="false"/>
              <w:rPr>
                <w:sz w:val="22"/>
                <w:szCs w:val="22"/>
              </w:rPr>
            </w:pPr>
            <w:r>
              <w:rPr>
                <w:sz w:val="22"/>
                <w:szCs w:val="22"/>
              </w:rPr>
              <w:t>(в т.ч. ПИР)</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Реконструкция улицы (дороги) местного значения в жилой застройке с заменой покрытия на усовершенствованное, протяженностью 0,6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9.10</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пешеходного перехода железную дорогу</w:t>
            </w:r>
          </w:p>
          <w:p>
            <w:pPr>
              <w:pStyle w:val="Normal"/>
              <w:widowControl w:val="false"/>
              <w:rPr>
                <w:sz w:val="22"/>
                <w:szCs w:val="22"/>
              </w:rPr>
            </w:pPr>
            <w:r>
              <w:rPr>
                <w:sz w:val="22"/>
                <w:szCs w:val="22"/>
              </w:rPr>
              <w:t>(в т.ч. ПИР)</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 области,</w:t>
            </w:r>
          </w:p>
          <w:p>
            <w:pPr>
              <w:pStyle w:val="Normal"/>
              <w:widowControl w:val="false"/>
              <w:jc w:val="center"/>
              <w:rPr>
                <w:sz w:val="22"/>
                <w:szCs w:val="22"/>
              </w:rPr>
            </w:pPr>
            <w:r>
              <w:rPr>
                <w:sz w:val="22"/>
                <w:szCs w:val="22"/>
              </w:rPr>
              <w:t>ж/д ст. Тихонова Пустынь</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Пешеходный переход в разных уровнях (надземный)</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9.11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моста через р. Лихунка</w:t>
            </w:r>
          </w:p>
          <w:p>
            <w:pPr>
              <w:pStyle w:val="Normal"/>
              <w:widowControl w:val="false"/>
              <w:rPr>
                <w:sz w:val="22"/>
                <w:szCs w:val="22"/>
              </w:rPr>
            </w:pPr>
            <w:r>
              <w:rPr>
                <w:sz w:val="22"/>
                <w:szCs w:val="22"/>
              </w:rPr>
              <w:t>(в т.ч. ПИР)</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 Лихун</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Строительство мостового сооружения - мост автодорожный</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9.12</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Реконструкция улично-дорожной сети по ул. Веры Андриановой (в т.ч. ПИР)</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Реконструкция улицы местного значения в жилой застройке, планируемый тип покрытия – усовершенствованный. Протяженность 1,1 км с организацией непрерывного движения</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9.13</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Реконструкция улично-дорожной сети Грабцевского шоссе на участке от пересечения с ул. Зерновой до пересечения с</w:t>
            </w:r>
          </w:p>
          <w:p>
            <w:pPr>
              <w:pStyle w:val="Normal"/>
              <w:widowControl w:val="false"/>
              <w:rPr>
                <w:sz w:val="22"/>
                <w:szCs w:val="22"/>
              </w:rPr>
            </w:pPr>
            <w:r>
              <w:rPr>
                <w:sz w:val="22"/>
                <w:szCs w:val="22"/>
              </w:rPr>
              <w:t>ул. Прончищева</w:t>
            </w:r>
          </w:p>
          <w:p>
            <w:pPr>
              <w:pStyle w:val="Normal"/>
              <w:widowControl w:val="false"/>
              <w:rPr>
                <w:sz w:val="22"/>
                <w:szCs w:val="22"/>
              </w:rPr>
            </w:pPr>
            <w:r>
              <w:rPr>
                <w:sz w:val="22"/>
                <w:szCs w:val="22"/>
              </w:rPr>
              <w:t>(в т.ч. ПИР)</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Реконструкция магистральной улицы общегородского значения с заменой покрытия на усовершенствованное, протяженностью 2,6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9.14</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участка улично-дорожной сети в микрорайоне «Правгород»</w:t>
            </w:r>
          </w:p>
          <w:p>
            <w:pPr>
              <w:pStyle w:val="Normal"/>
              <w:widowControl w:val="false"/>
              <w:rPr>
                <w:sz w:val="22"/>
                <w:szCs w:val="22"/>
              </w:rPr>
            </w:pPr>
            <w:r>
              <w:rPr>
                <w:sz w:val="22"/>
                <w:szCs w:val="22"/>
              </w:rPr>
              <w:t>(ул. Академика Потехина, участок улицы в жилой застройке от</w:t>
            </w:r>
          </w:p>
          <w:p>
            <w:pPr>
              <w:pStyle w:val="Normal"/>
              <w:widowControl w:val="false"/>
              <w:rPr>
                <w:sz w:val="22"/>
                <w:szCs w:val="22"/>
              </w:rPr>
            </w:pPr>
            <w:r>
              <w:rPr>
                <w:sz w:val="22"/>
                <w:szCs w:val="22"/>
              </w:rPr>
              <w:t>ул. Фомушина до ул. С. Туликова) (в т.ч. ПИР)</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Строительство участка магистральной транспортно-пешеходной улицы районного значения, с усовершенствованным покрытием,</w:t>
            </w:r>
          </w:p>
          <w:p>
            <w:pPr>
              <w:pStyle w:val="Normal"/>
              <w:widowControl w:val="false"/>
              <w:jc w:val="center"/>
              <w:rPr>
                <w:sz w:val="22"/>
                <w:szCs w:val="22"/>
              </w:rPr>
            </w:pPr>
            <w:r>
              <w:rPr>
                <w:sz w:val="22"/>
                <w:szCs w:val="22"/>
              </w:rPr>
              <w:t>протяженностью 1,2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9.15</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участка улично-дорожной сети в микрорайоне «Правгород»</w:t>
            </w:r>
          </w:p>
          <w:p>
            <w:pPr>
              <w:pStyle w:val="Normal"/>
              <w:widowControl w:val="false"/>
              <w:rPr>
                <w:sz w:val="22"/>
                <w:szCs w:val="22"/>
              </w:rPr>
            </w:pPr>
            <w:r>
              <w:rPr>
                <w:sz w:val="22"/>
                <w:szCs w:val="22"/>
              </w:rPr>
              <w:t>(ул. Хорошая, участок улицы в жилой застройке от ул. Фомушина до ул. С. Туликова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Строительство.</w:t>
            </w:r>
          </w:p>
          <w:p>
            <w:pPr>
              <w:pStyle w:val="Normal"/>
              <w:widowControl w:val="false"/>
              <w:jc w:val="center"/>
              <w:rPr>
                <w:sz w:val="22"/>
                <w:szCs w:val="22"/>
              </w:rPr>
            </w:pPr>
            <w:r>
              <w:rPr>
                <w:sz w:val="22"/>
                <w:szCs w:val="22"/>
              </w:rPr>
              <w:t>Улица местного значения в жилой застройке с усовершенствованным покрытием Протяженностью 1,0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9.16</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Реконструкция улично-дорожной сети по ул. Зерновая от Грабцевского шоссе до ул. Тарутинская</w:t>
            </w:r>
          </w:p>
          <w:p>
            <w:pPr>
              <w:pStyle w:val="Normal"/>
              <w:widowControl w:val="false"/>
              <w:rPr>
                <w:sz w:val="22"/>
                <w:szCs w:val="22"/>
              </w:rPr>
            </w:pPr>
            <w:r>
              <w:rPr>
                <w:sz w:val="22"/>
                <w:szCs w:val="22"/>
              </w:rPr>
              <w:t>(в т.ч. ПИР)</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Магистральная улица общегородского значения с усовершенствованным покрытием, протяженностью 1,9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9.17</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Реконструкция улично-дорожной сети от</w:t>
            </w:r>
          </w:p>
          <w:p>
            <w:pPr>
              <w:pStyle w:val="Normal"/>
              <w:widowControl w:val="false"/>
              <w:rPr>
                <w:sz w:val="22"/>
                <w:szCs w:val="22"/>
              </w:rPr>
            </w:pPr>
            <w:r>
              <w:rPr>
                <w:sz w:val="22"/>
                <w:szCs w:val="22"/>
              </w:rPr>
              <w:t>пер. Ольговский по ул. Тарутинская до района транспортной развязки трассы Р-132 Калуга - Тула - Михайлов - Рязань (в т.ч. ПИР)</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Магистральная транспортно-пешеходная улица районного значения с усовершенствованным покрытием, протяженностью 4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9.18</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Реконструкция улично-дорожной сети по ул. Советский проезд</w:t>
            </w:r>
          </w:p>
          <w:p>
            <w:pPr>
              <w:pStyle w:val="Normal"/>
              <w:widowControl w:val="false"/>
              <w:rPr>
                <w:sz w:val="22"/>
                <w:szCs w:val="22"/>
              </w:rPr>
            </w:pPr>
            <w:r>
              <w:rPr>
                <w:sz w:val="22"/>
                <w:szCs w:val="22"/>
              </w:rPr>
              <w:t>(в т.ч. ПИР)</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Улица в жилой застройке местного значения с усовершенствованным покрытием, протяженностью 0,4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9.19</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подъездной дороги (улично-дорожная сеть НП) к нежилому зданию для реализации общеобразовательных программ в г. Калуге</w:t>
            </w:r>
          </w:p>
          <w:p>
            <w:pPr>
              <w:pStyle w:val="Normal"/>
              <w:widowControl w:val="false"/>
              <w:rPr>
                <w:sz w:val="22"/>
                <w:szCs w:val="22"/>
              </w:rPr>
            </w:pPr>
            <w:r>
              <w:rPr>
                <w:sz w:val="22"/>
                <w:szCs w:val="22"/>
              </w:rPr>
              <w:t>на 1300 мест с</w:t>
            </w:r>
          </w:p>
          <w:p>
            <w:pPr>
              <w:pStyle w:val="Normal"/>
              <w:widowControl w:val="false"/>
              <w:rPr>
                <w:sz w:val="22"/>
                <w:szCs w:val="22"/>
              </w:rPr>
            </w:pPr>
            <w:r>
              <w:rPr>
                <w:sz w:val="22"/>
                <w:szCs w:val="22"/>
              </w:rPr>
              <w:t>К№ 40:26:000012:9191, 2-й этап (в т.ч. ПИР)</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Улица в жилой застройке местного значения с усовершенствованным покрытием, протяженностью 0,5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9.20</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улично-дорожной сети к земельным участкам индивидуальной застройки для многодетных семей к</w:t>
            </w:r>
          </w:p>
          <w:p>
            <w:pPr>
              <w:pStyle w:val="Normal"/>
              <w:widowControl w:val="false"/>
              <w:rPr>
                <w:sz w:val="22"/>
                <w:szCs w:val="22"/>
              </w:rPr>
            </w:pPr>
            <w:r>
              <w:rPr>
                <w:sz w:val="22"/>
                <w:szCs w:val="22"/>
              </w:rPr>
              <w:t>ул. Золотая и ул. Коронная в д. Лихун (в т.ч. ПИР)</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Улица в жилой застройке с усовершенствованным покрытием, протяженностью 1,2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9.21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Формирование внутренних кольцевых связей. Магистральные улицы и дороги общегородского значения и районного значения, соединяющие ул. Зерновую с</w:t>
            </w:r>
          </w:p>
          <w:p>
            <w:pPr>
              <w:pStyle w:val="Normal"/>
              <w:widowControl w:val="false"/>
              <w:rPr>
                <w:sz w:val="22"/>
                <w:szCs w:val="22"/>
              </w:rPr>
            </w:pPr>
            <w:r>
              <w:rPr>
                <w:sz w:val="22"/>
                <w:szCs w:val="22"/>
              </w:rPr>
              <w:t>ул.40-летия Октября (проходящая через</w:t>
            </w:r>
          </w:p>
          <w:p>
            <w:pPr>
              <w:pStyle w:val="Normal"/>
              <w:widowControl w:val="false"/>
              <w:rPr>
                <w:sz w:val="22"/>
                <w:szCs w:val="22"/>
              </w:rPr>
            </w:pPr>
            <w:r>
              <w:rPr>
                <w:sz w:val="22"/>
                <w:szCs w:val="22"/>
              </w:rPr>
              <w:t>мкр. Солнечный и ул. Маяковского)</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Магистральная транспортно-пешеходная улица районного значения с усовершенствованным покрытием, протяженностью 13,4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9.22</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Формирование внешних кольцевых связей. Магистральные улицы и дороги общегородского значения. Грабцевское шоссе (Кукареки) – ул. Тарутинская – ул. Московская</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Магистральная улица общегородского значения с усовершенствованным покрытием, протяженностью 6,</w:t>
            </w:r>
            <w:r>
              <w:rPr>
                <w:sz w:val="22"/>
                <w:szCs w:val="22"/>
                <w:lang w:val="en-US"/>
              </w:rPr>
              <w:t>7</w:t>
            </w:r>
            <w:r>
              <w:rPr>
                <w:sz w:val="22"/>
                <w:szCs w:val="22"/>
              </w:rPr>
              <w:t xml:space="preserve">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9.23</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Формирование центральной кольцевой связи. Магистральные улицы и дороги общегородского значения ул. Степана Разина – ш. Одоевское – ш. Тульское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Магистральная улица общегородского значения с усовершенствованным покрытием, протяженностью 3,8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9.24</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автодороги северный обход деревень Тимошево и Галкино от автомобильной дороги «Щебзавод - Северный» (у ж/д моста) с присоединением к автодороге местного значения «Северный – Аргуново» – ул. Московская</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 xml:space="preserve">Автомобильная дорога местного значения, общего пользования, </w:t>
            </w:r>
            <w:r>
              <w:rPr>
                <w:sz w:val="22"/>
                <w:szCs w:val="22"/>
                <w:lang w:val="en-US"/>
              </w:rPr>
              <w:t>IV</w:t>
            </w:r>
            <w:r>
              <w:rPr>
                <w:sz w:val="22"/>
                <w:szCs w:val="22"/>
              </w:rPr>
              <w:t xml:space="preserve"> категории, с усовершенствованным покрытием, круглогодичного функционирования, протяженностью 2,5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9.25</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Продолжение</w:t>
            </w:r>
          </w:p>
          <w:p>
            <w:pPr>
              <w:pStyle w:val="Normal"/>
              <w:widowControl w:val="false"/>
              <w:rPr>
                <w:sz w:val="22"/>
                <w:szCs w:val="22"/>
              </w:rPr>
            </w:pPr>
            <w:r>
              <w:rPr>
                <w:sz w:val="22"/>
                <w:szCs w:val="22"/>
              </w:rPr>
              <w:t>ул. Ленина через Вокзальную площадь и железнодорожные пути до ул. Тарутинской (до мостового сооружения «Синие мосты»)</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Улица в жилой застройке местного значения с усовершенствованным покрытием, протяженностью 1,4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9.26</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Продолжение ул. Пухова до магистрали вдоль Яченского водохранилища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Строительство участка магистральной транспортно-пешеходной  улицы районного значения с усовершенствованным покрытием, протяженностью 1,8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9.27</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Продолжение и реконструкция</w:t>
            </w:r>
          </w:p>
          <w:p>
            <w:pPr>
              <w:pStyle w:val="Normal"/>
              <w:widowControl w:val="false"/>
              <w:rPr>
                <w:sz w:val="22"/>
                <w:szCs w:val="22"/>
              </w:rPr>
            </w:pPr>
            <w:r>
              <w:rPr>
                <w:sz w:val="22"/>
                <w:szCs w:val="22"/>
              </w:rPr>
              <w:t>ул. Чехова до</w:t>
            </w:r>
          </w:p>
          <w:p>
            <w:pPr>
              <w:pStyle w:val="Normal"/>
              <w:widowControl w:val="false"/>
              <w:rPr>
                <w:sz w:val="22"/>
                <w:szCs w:val="22"/>
              </w:rPr>
            </w:pPr>
            <w:r>
              <w:rPr>
                <w:sz w:val="22"/>
                <w:szCs w:val="22"/>
              </w:rPr>
              <w:t>ул. Тульской</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Строительство и реконструкция участка магистральной транспортно-пешеходной  улицы районного значения с усовершенствованным покрытием, протяженностью 0,8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9.28</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Соединение</w:t>
            </w:r>
          </w:p>
          <w:p>
            <w:pPr>
              <w:pStyle w:val="Normal"/>
              <w:widowControl w:val="false"/>
              <w:rPr>
                <w:sz w:val="22"/>
                <w:szCs w:val="22"/>
              </w:rPr>
            </w:pPr>
            <w:r>
              <w:rPr>
                <w:sz w:val="22"/>
                <w:szCs w:val="22"/>
              </w:rPr>
              <w:t>ул. Березовой с автодорогой у стадиона «Спутник»</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Улица в жилой застройке местного значения с усовершенствованным покрытием, протяженностью 1,0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9.29</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Соединение улиц Планерной и Полесской</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Улица в жилой застройке местного значения с усовершенствованным покрытием, протяженностью 0,5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9.30</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улицы, соединяющей ул. Фомушина и ул.</w:t>
            </w:r>
            <w:r>
              <w:rPr>
                <w:sz w:val="22"/>
                <w:szCs w:val="22"/>
                <w:lang w:val="en-US"/>
              </w:rPr>
              <w:t> </w:t>
            </w:r>
            <w:r>
              <w:rPr>
                <w:sz w:val="22"/>
                <w:szCs w:val="22"/>
              </w:rPr>
              <w:t>Серафима Туликова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Улица в жилой застройке местного значения с усовершенствованным покрытием, протяженностью 0,8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9.31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улицы от ул. Московской до ул. Клубничной (участки индивидуального жилищного строительства</w:t>
            </w:r>
          </w:p>
          <w:p>
            <w:pPr>
              <w:pStyle w:val="Normal"/>
              <w:widowControl w:val="false"/>
              <w:rPr>
                <w:sz w:val="22"/>
                <w:szCs w:val="22"/>
              </w:rPr>
            </w:pPr>
            <w:r>
              <w:rPr>
                <w:sz w:val="22"/>
                <w:szCs w:val="22"/>
              </w:rPr>
              <w:t>д. Канищево)</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Магистральная, транспортно-пешеходная улица районного значения с усовершенствованным покрытием, протяженностью 1,9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9.32</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улицы, соединяющей ул. Терепецкое кольцо – ул. Михайловскую – ул. Новую</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Улица в жилой застройке местного значения с усовершенствованным покрытием, протяженностью 1,8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9.33</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Продолжение ул. Азарова до ул. Гурьянова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Улица в жилой застройке местного значения с усовершенствованным покрытием, протяженностью 0,2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val="en-US"/>
              </w:rPr>
            </w:pPr>
            <w:r>
              <w:rPr>
                <w:sz w:val="20"/>
                <w:szCs w:val="20"/>
              </w:rPr>
              <w:t>9.34</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Организация альтернативного проезда в</w:t>
            </w:r>
          </w:p>
          <w:p>
            <w:pPr>
              <w:pStyle w:val="Normal"/>
              <w:widowControl w:val="false"/>
              <w:rPr>
                <w:sz w:val="22"/>
                <w:szCs w:val="22"/>
              </w:rPr>
            </w:pPr>
            <w:r>
              <w:rPr>
                <w:sz w:val="22"/>
                <w:szCs w:val="22"/>
              </w:rPr>
              <w:t>мкр. Турынино от ООО «Магистральные сети» - ул. Новождамировская, д. 5, далее по проезду Кольцевому на автомобильную дорогу общего пользования федерального значения Р-132 «Вязьма-Калуга-Тула-Михайлов-Рязань»</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Улица в жилой застройке местного значения с усовершенствованным покрытием, протяженностью 1,2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9.35</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автомобильной дороги к д. Григоровка</w:t>
            </w:r>
          </w:p>
          <w:p>
            <w:pPr>
              <w:pStyle w:val="Normal"/>
              <w:widowControl w:val="false"/>
              <w:rPr>
                <w:sz w:val="22"/>
                <w:szCs w:val="22"/>
              </w:rPr>
            </w:pPr>
            <w:r>
              <w:rPr>
                <w:sz w:val="22"/>
                <w:szCs w:val="22"/>
              </w:rPr>
              <w:t>(от д. Заречье)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 области</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 xml:space="preserve">Автомобильная дорога местного значения, общего пользования, </w:t>
            </w:r>
            <w:r>
              <w:rPr>
                <w:sz w:val="22"/>
                <w:szCs w:val="22"/>
                <w:lang w:val="en-US"/>
              </w:rPr>
              <w:t>IV</w:t>
            </w:r>
            <w:r>
              <w:rPr>
                <w:sz w:val="22"/>
                <w:szCs w:val="22"/>
              </w:rPr>
              <w:t xml:space="preserve"> категории, с усовершенствованным покрытием, круглогодичного функционирования, протяженностью 4,2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9.36</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автодороги д. Шопино – д. Яглово со строительством мостового перехода через р. Оку и путепровода через железнодорожную линию</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 области</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 xml:space="preserve">Автомобильная дорога местного значения, общего пользования, </w:t>
            </w:r>
            <w:r>
              <w:rPr>
                <w:sz w:val="22"/>
                <w:szCs w:val="22"/>
                <w:lang w:val="en-US"/>
              </w:rPr>
              <w:t>IV</w:t>
            </w:r>
            <w:r>
              <w:rPr>
                <w:sz w:val="22"/>
                <w:szCs w:val="22"/>
              </w:rPr>
              <w:t xml:space="preserve"> категории, с усовершенствованным покрытием, круглогодичного функционирования, протяженностью 6,0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9.37</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автодороги д. Рождествено – п. Воротынск со строительством мостового перехода через р. Оку</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 области</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 xml:space="preserve">Автомобильная дорога местного значения, общего пользования, </w:t>
            </w:r>
            <w:r>
              <w:rPr>
                <w:sz w:val="22"/>
                <w:szCs w:val="22"/>
                <w:lang w:val="en-US"/>
              </w:rPr>
              <w:t>IV</w:t>
            </w:r>
            <w:r>
              <w:rPr>
                <w:sz w:val="22"/>
                <w:szCs w:val="22"/>
              </w:rPr>
              <w:t xml:space="preserve"> категории, с усовершенствованным покрытием, круглогодичного функционирования, протяженностью 4,7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9.38</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Организация подъезда к д. Малая Каменка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 области</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 xml:space="preserve">Автомобильная дорога местного значения, общего пользования, </w:t>
            </w:r>
            <w:r>
              <w:rPr>
                <w:sz w:val="22"/>
                <w:szCs w:val="22"/>
                <w:lang w:val="en-US"/>
              </w:rPr>
              <w:t>IV</w:t>
            </w:r>
            <w:r>
              <w:rPr>
                <w:sz w:val="22"/>
                <w:szCs w:val="22"/>
              </w:rPr>
              <w:t xml:space="preserve"> категории, с усовершенствованным покрытием, круглогодичного функционирования, протяженностью 1,1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9.39</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pPr>
            <w:r>
              <w:rPr>
                <w:sz w:val="22"/>
                <w:szCs w:val="22"/>
              </w:rPr>
              <w:t>Организация подъезда к мкр. Кошелев со стороны, а/д Правый берег - Шопино</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 области</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Магистральная, транспортно-пешеходная улица районного значения с усовершенствованным покрытием 1,3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9.40</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автодороги</w:t>
            </w:r>
          </w:p>
          <w:p>
            <w:pPr>
              <w:pStyle w:val="Normal"/>
              <w:widowControl w:val="false"/>
              <w:rPr>
                <w:sz w:val="22"/>
                <w:szCs w:val="22"/>
              </w:rPr>
            </w:pPr>
            <w:r>
              <w:rPr>
                <w:sz w:val="22"/>
                <w:szCs w:val="22"/>
              </w:rPr>
              <w:t>Матюнино - Юрьевка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 области</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 xml:space="preserve">Автомобильная дорога местного значения, общего пользования, </w:t>
            </w:r>
            <w:r>
              <w:rPr>
                <w:sz w:val="22"/>
                <w:szCs w:val="22"/>
                <w:lang w:val="en-US"/>
              </w:rPr>
              <w:t>V</w:t>
            </w:r>
            <w:r>
              <w:rPr>
                <w:sz w:val="22"/>
                <w:szCs w:val="22"/>
              </w:rPr>
              <w:t xml:space="preserve"> категории, с усовершенствованным покрытием, круглогодичного функционирования, протяженностью 3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9.41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автомобильной дороги от д. Петрово до автодороги Р-132 «Золотое кольцо»</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 области</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 xml:space="preserve">Автомобильная дорога местного значения, общего пользования, </w:t>
            </w:r>
            <w:r>
              <w:rPr>
                <w:sz w:val="22"/>
                <w:szCs w:val="22"/>
                <w:lang w:val="en-US"/>
              </w:rPr>
              <w:t>V</w:t>
            </w:r>
            <w:r>
              <w:rPr>
                <w:sz w:val="22"/>
                <w:szCs w:val="22"/>
              </w:rPr>
              <w:t xml:space="preserve"> категории, с усовершенствованным покрытием, круглогодичного функционирования, протяженностью 0,3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9.42</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автодороги Юрьевка - Большая Каменка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lang w:eastAsia="en-US"/>
              </w:rPr>
              <w:t>городской округ город Калуга Калужской области</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Автомобильная дорога местного значения, общего пользования,</w:t>
            </w:r>
            <w:r>
              <w:rPr>
                <w:sz w:val="22"/>
                <w:szCs w:val="22"/>
                <w:lang w:val="en-US"/>
              </w:rPr>
              <w:t>V</w:t>
            </w:r>
            <w:r>
              <w:rPr>
                <w:sz w:val="22"/>
                <w:szCs w:val="22"/>
              </w:rPr>
              <w:t xml:space="preserve"> категории, с усовершенствованным покрытием, круглогодичного функционирования, протяженностью 1,5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9.43</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Приведение в нормативное состояние автодороги к д. Переселенец (реконструкция)</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lang w:eastAsia="en-US"/>
              </w:rPr>
              <w:t>городской округ город Калуга Калужской области</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Автомобильная дорога местного значения, общего пользования,</w:t>
            </w:r>
            <w:r>
              <w:rPr>
                <w:sz w:val="22"/>
                <w:szCs w:val="22"/>
                <w:lang w:val="en-US"/>
              </w:rPr>
              <w:t>V</w:t>
            </w:r>
            <w:r>
              <w:rPr>
                <w:sz w:val="22"/>
                <w:szCs w:val="22"/>
              </w:rPr>
              <w:t xml:space="preserve"> категории, с усовершенствованным покрытием, круглогодичного функционирования, протяженностью 1,5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9.44</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Организация подъездов к планируемому объекту УФСИН</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lang w:eastAsia="en-US"/>
              </w:rPr>
              <w:t>городской округ город Калуга Калужской области</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Автомобильная дорога местного значения, общего пользования,</w:t>
            </w:r>
            <w:r>
              <w:rPr>
                <w:sz w:val="22"/>
                <w:szCs w:val="22"/>
                <w:lang w:val="en-US"/>
              </w:rPr>
              <w:t>V</w:t>
            </w:r>
            <w:r>
              <w:rPr>
                <w:sz w:val="22"/>
                <w:szCs w:val="22"/>
              </w:rPr>
              <w:t xml:space="preserve"> категории, с усовершенствованным покрытием, круглогодичного функционирования, протяженностью 1,2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9.45</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Мостовое сооружение через р. Оку в створе продолжения</w:t>
            </w:r>
          </w:p>
          <w:p>
            <w:pPr>
              <w:pStyle w:val="Normal"/>
              <w:widowControl w:val="false"/>
              <w:rPr>
                <w:sz w:val="22"/>
                <w:szCs w:val="22"/>
              </w:rPr>
            </w:pPr>
            <w:r>
              <w:rPr>
                <w:sz w:val="22"/>
                <w:szCs w:val="22"/>
              </w:rPr>
              <w:t>ул. Степана Разина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lang w:eastAsia="en-US"/>
              </w:rPr>
              <w:t>городской округ город Калуга Калужской области</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Мост автодорожный</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9.46</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Мостовое сооружение через р. Оку в створе планируемой автодороги д. Шопино – д. Яглово</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lang w:eastAsia="en-US"/>
              </w:rPr>
              <w:t>городской округ город Калуга Калужской области</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Мост автодорожный</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9.47</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Мостовое сооружение через р. Оку в створе планируемой д. Рождествено – п. Воротынск</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lang w:eastAsia="en-US"/>
              </w:rPr>
              <w:t>городской округ город Калуга Калужской области</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Мост автодорожный</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9.48</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Мостовое сооружение через р. Терепец в створе новой полукольцевой связи, перехватывающей Грабцевское шоссе (Кукареки), ул. Тарутинская,</w:t>
            </w:r>
          </w:p>
          <w:p>
            <w:pPr>
              <w:pStyle w:val="Normal"/>
              <w:widowControl w:val="false"/>
              <w:rPr>
                <w:sz w:val="22"/>
                <w:szCs w:val="22"/>
              </w:rPr>
            </w:pPr>
            <w:r>
              <w:rPr>
                <w:sz w:val="22"/>
                <w:szCs w:val="22"/>
              </w:rPr>
              <w:t>ул. Московская</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Мост автодорожный</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9.49</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Мостовое сооружение через р. Яченка в створе планируемой автодороги Щебзавод – Доможирово – Северный</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 области</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Мост автодорожный</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9.50</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Мостовое сооружение через р. Оку на месте понтонной переправы</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Мост пешеходный и велосипедный</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9.51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Мостовое сооружение в створе планируемой автодороги д. Шопино – д. Яглово</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 области</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Мост автодорожный</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9.52</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Мостовое сооружение в створе планируемого продолжения ул. Ленина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Мост автодорожный</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9.53</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Мостовое сооружение в створе продолжения ул. Азарова до</w:t>
            </w:r>
          </w:p>
          <w:p>
            <w:pPr>
              <w:pStyle w:val="Normal"/>
              <w:widowControl w:val="false"/>
              <w:rPr>
                <w:sz w:val="22"/>
                <w:szCs w:val="22"/>
              </w:rPr>
            </w:pPr>
            <w:r>
              <w:rPr>
                <w:sz w:val="22"/>
                <w:szCs w:val="22"/>
              </w:rPr>
              <w:t>ул. Гурьянова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Мост автодорожный</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9.54</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Мостовое сооружение в створе новой полукольцевой связи, перехватывающей Грабцевское шоссе (Кукареки), ул. Тарутинская, ул. Московская</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Мост автодорожный</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9.55</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Транспортная развязка в разных уровнях в районе д. Пучково и нового кампуса университета им. Н.Э.Баумана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Развязка автодорожная в разных уровнях</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9.56</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Транспортная развязка в разных уровнях на пересечении Одоевского шоссе и планируемой дороги Некрасово – Степана Разина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Развязка автодорожная в разных уровнях</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9.57</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Транспортная развязка в разных уровнях на пересечении Тульского шоссе и ул. Генерала Попова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Развязка автодорожная в разных уровнях</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9.58</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Саморегулируемое пересечение в одном уровне ул. Зерновая - Грабцевское шоссе</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Саморегулируемый круговой перекресток</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9.59</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Саморегулируемое пересечение в одном уровне на пересечении ул. Гурьянова – автодорог Силикатный-Тихонова Пустынь-Анненки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Саморегулируемый круговой перекресток</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9.60</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Саморегулируемое пересечение в одном уровне в микрорайоне Силикатный в районе строительства жилого комплекса «Белые Росы», с организацией остановочного пункта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Саморегулируемый круговой перекресток</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9.61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Саморегулируемое пересечение в одном уровне по ул. Московской в районе ТЦ «Торговый квартал»</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Саморегулируемый круговой перекресток</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9.62</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Саморегулируемое пересечение в одном уровне по ул. Небесная в районе ТЦ «Торговый квартал»</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Саморегулируемый круговой перекресток</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9.63</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Саморегулируемое пересечение в одном уровне в районе</w:t>
            </w:r>
          </w:p>
          <w:p>
            <w:pPr>
              <w:pStyle w:val="Normal"/>
              <w:widowControl w:val="false"/>
              <w:rPr>
                <w:sz w:val="22"/>
                <w:szCs w:val="22"/>
              </w:rPr>
            </w:pPr>
            <w:r>
              <w:rPr>
                <w:sz w:val="22"/>
                <w:szCs w:val="22"/>
              </w:rPr>
              <w:t>ул. Счастливой</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Саморегулируемый круговой перекресток</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9.64</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Саморегулируемое пересечение в одном уровне в районе</w:t>
            </w:r>
          </w:p>
          <w:p>
            <w:pPr>
              <w:pStyle w:val="Normal"/>
              <w:widowControl w:val="false"/>
              <w:rPr>
                <w:sz w:val="22"/>
                <w:szCs w:val="22"/>
              </w:rPr>
            </w:pPr>
            <w:r>
              <w:rPr>
                <w:sz w:val="22"/>
                <w:szCs w:val="22"/>
              </w:rPr>
              <w:t>ул. Дорожная</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Саморегулируемый круговой перекресток</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9.65</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Автозаправочная станция</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в районе мкр. Куровской</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АЗС (традиционная) до 3 топливных колонок, вместимостью до 3 ед.</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Производственные зоны, зоны инженерной и транспортной инфраструктур. Максимальный процент застройки - 50%. Предельное количество этажей - 5,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50 м по СанПиН 2.2.1 2.1.1.1200-03</w:t>
            </w:r>
          </w:p>
        </w:tc>
      </w:tr>
      <w:tr>
        <w:trPr>
          <w:trHeight w:val="2203"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9.66</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Автозаправочная станция</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в районе</w:t>
            </w:r>
          </w:p>
          <w:p>
            <w:pPr>
              <w:pStyle w:val="Normal"/>
              <w:widowControl w:val="false"/>
              <w:jc w:val="center"/>
              <w:rPr>
                <w:sz w:val="22"/>
                <w:szCs w:val="22"/>
              </w:rPr>
            </w:pPr>
            <w:r>
              <w:rPr>
                <w:sz w:val="22"/>
                <w:szCs w:val="22"/>
              </w:rPr>
              <w:t>c. Подстанция Колюпановская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АЗС (традиционная) до 3 топливных колонок, вместимостью до 3 ед.</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Производственные зоны, зоны инженерной и транспортной инфраструктур. Максимальный процент застройки - 50%. Предельное количество этажей - 5,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50 м по СанПиН 2.2.1 2.1.1.1200-03</w:t>
            </w:r>
          </w:p>
        </w:tc>
      </w:tr>
      <w:tr>
        <w:trPr>
          <w:trHeight w:val="2203"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9.67</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Автозаправочная станция</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en-US"/>
              </w:rPr>
            </w:pPr>
            <w:r>
              <w:rPr>
                <w:sz w:val="22"/>
                <w:szCs w:val="22"/>
                <w:lang w:eastAsia="en-US"/>
              </w:rPr>
              <w:t>Городской округ город Калуга Калужской области,</w:t>
            </w:r>
          </w:p>
          <w:p>
            <w:pPr>
              <w:pStyle w:val="Normal"/>
              <w:widowControl w:val="false"/>
              <w:jc w:val="center"/>
              <w:rPr>
                <w:sz w:val="22"/>
                <w:szCs w:val="22"/>
              </w:rPr>
            </w:pPr>
            <w:r>
              <w:rPr>
                <w:sz w:val="22"/>
                <w:szCs w:val="22"/>
              </w:rPr>
              <w:t>в районе д. Чижовка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АЗС (традиционная) до 3 топливных колонок, вместимостью до 3 ед.</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Производственные зоны, зоны инженерной и транспортной инфраструктур. Максимальный процент застройки - 50%. Предельное количество этажей - 5,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50 м по СанПиН 2.2.1 2.1.1.1200-03</w:t>
            </w:r>
          </w:p>
        </w:tc>
      </w:tr>
      <w:tr>
        <w:trPr>
          <w:trHeight w:val="1814"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9.68</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Автозаправочная станция в районе</w:t>
            </w:r>
          </w:p>
          <w:p>
            <w:pPr>
              <w:pStyle w:val="Normal"/>
              <w:widowControl w:val="false"/>
              <w:rPr>
                <w:sz w:val="22"/>
                <w:szCs w:val="22"/>
              </w:rPr>
            </w:pPr>
            <w:r>
              <w:rPr>
                <w:sz w:val="22"/>
                <w:szCs w:val="22"/>
              </w:rPr>
              <w:t>мкр. Анненки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в районе</w:t>
            </w:r>
          </w:p>
          <w:p>
            <w:pPr>
              <w:pStyle w:val="Normal"/>
              <w:widowControl w:val="false"/>
              <w:jc w:val="center"/>
              <w:rPr>
                <w:sz w:val="22"/>
                <w:szCs w:val="22"/>
              </w:rPr>
            </w:pPr>
            <w:r>
              <w:rPr>
                <w:sz w:val="22"/>
                <w:szCs w:val="22"/>
              </w:rPr>
              <w:t>мкр. Анненки</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АЗС (традиционная) до 3 топливных колонок, вместимостью до 3 ед.</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Производственные зоны, зоны инженерной и транспортной инфраструктур. Максимальный процент застройки - 50%. Предельное количество этажей - 5,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50 м по СанПиН 2.2.1 2.1.1.1200-03</w:t>
            </w:r>
          </w:p>
        </w:tc>
      </w:tr>
      <w:tr>
        <w:trPr>
          <w:trHeight w:val="1814"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9.69</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транспортного депо</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район Правобережья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Мощностью до 1000 ед. транспорта</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Производственные зоны, зоны инженерной и транспортной инфраструктур. Максимальный процент застройки - 50%. Предельное количество этажей - 5,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814"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9.70</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Автодорога к участкам нового строительства в д. Тинино</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en-US"/>
              </w:rPr>
            </w:pPr>
            <w:r>
              <w:rPr>
                <w:sz w:val="22"/>
                <w:szCs w:val="22"/>
                <w:lang w:eastAsia="en-US"/>
              </w:rPr>
              <w:t>городской округ город Калуга Калужской области,</w:t>
            </w:r>
          </w:p>
          <w:p>
            <w:pPr>
              <w:pStyle w:val="Normal"/>
              <w:widowControl w:val="false"/>
              <w:jc w:val="center"/>
              <w:rPr>
                <w:sz w:val="22"/>
                <w:szCs w:val="22"/>
              </w:rPr>
            </w:pPr>
            <w:r>
              <w:rPr>
                <w:sz w:val="22"/>
                <w:szCs w:val="22"/>
                <w:lang w:eastAsia="en-US"/>
              </w:rPr>
              <w:t>д. Тинино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 xml:space="preserve">Автомобильная дорога местного значения, общего пользования, </w:t>
            </w:r>
            <w:r>
              <w:rPr>
                <w:sz w:val="22"/>
                <w:szCs w:val="22"/>
                <w:lang w:val="en-US"/>
              </w:rPr>
              <w:t>V</w:t>
            </w:r>
            <w:r>
              <w:rPr>
                <w:sz w:val="22"/>
                <w:szCs w:val="22"/>
              </w:rPr>
              <w:t xml:space="preserve"> категории, с усовершенствованным покрытием, круглогодичного функционирования, протяженностью 1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814"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9.71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моста на планируемой дороге, соединяющей ул. Янтарную с</w:t>
            </w:r>
          </w:p>
          <w:p>
            <w:pPr>
              <w:pStyle w:val="Normal"/>
              <w:widowControl w:val="false"/>
              <w:rPr>
                <w:sz w:val="22"/>
                <w:szCs w:val="22"/>
              </w:rPr>
            </w:pPr>
            <w:r>
              <w:rPr>
                <w:sz w:val="22"/>
                <w:szCs w:val="22"/>
              </w:rPr>
              <w:t>ул. Лазурной</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en-US"/>
              </w:rPr>
            </w:pPr>
            <w:r>
              <w:rPr>
                <w:sz w:val="22"/>
                <w:szCs w:val="22"/>
                <w:lang w:eastAsia="en-US"/>
              </w:rPr>
              <w:t>городской округ город Калуга Калужской области,</w:t>
            </w:r>
          </w:p>
          <w:p>
            <w:pPr>
              <w:pStyle w:val="Normal"/>
              <w:widowControl w:val="false"/>
              <w:jc w:val="center"/>
              <w:rPr>
                <w:sz w:val="22"/>
                <w:szCs w:val="22"/>
              </w:rPr>
            </w:pPr>
            <w:r>
              <w:rPr>
                <w:sz w:val="22"/>
                <w:szCs w:val="22"/>
              </w:rPr>
              <w:t>д. Лихун</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Мост автодорожный</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814"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9.72</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Проектирование и строительство улично-дорожных сетей для земельных участков нового жилищного строительства</w:t>
            </w:r>
          </w:p>
          <w:p>
            <w:pPr>
              <w:pStyle w:val="Normal"/>
              <w:widowControl w:val="false"/>
              <w:rPr>
                <w:sz w:val="22"/>
                <w:szCs w:val="22"/>
              </w:rPr>
            </w:pPr>
            <w:r>
              <w:rPr>
                <w:sz w:val="22"/>
                <w:szCs w:val="22"/>
              </w:rPr>
              <w:t>(в т.ч. ПИР)</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 области</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Улицы в жилой застройке с усовершенствованным покрытием, общей протяженностью до 200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304"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9.73</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Организация выезда (улично-дорожная сеть) с мкр. «Веснушки» на окружную автодорогу</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lang w:eastAsia="en-US"/>
              </w:rPr>
            </w:pPr>
            <w:r>
              <w:rPr>
                <w:sz w:val="22"/>
                <w:szCs w:val="22"/>
              </w:rPr>
              <w:t>мкр. Веснушки</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Улица в жилой застройке с усовершенствованным покрытием, протяженностью 0,4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304"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9.74</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Реконструкция ул. Хрустальная</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ул. Хрустальная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Магистральная улица районного значения, транспортно-пешеходного стиля с усовершенствованным покрытием, протяженностью 2,0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304"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9.75</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Реконструкция улиц</w:t>
            </w:r>
          </w:p>
          <w:p>
            <w:pPr>
              <w:pStyle w:val="Normal"/>
              <w:widowControl w:val="false"/>
              <w:rPr/>
            </w:pPr>
            <w:r>
              <w:rPr>
                <w:sz w:val="22"/>
                <w:szCs w:val="22"/>
              </w:rPr>
              <w:t>40-летия Октября, Советская, Ждамировская и Киевка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мкр. Турынино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Магистральная улица общегородского значения с  усовершенствованным покрытием, протяженностью 6,0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304"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val="en-US"/>
              </w:rPr>
            </w:pPr>
            <w:r>
              <w:rPr>
                <w:sz w:val="20"/>
                <w:szCs w:val="20"/>
                <w:lang w:val="en-US"/>
              </w:rPr>
              <w:t>9.76</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Реконструкция</w:t>
            </w:r>
          </w:p>
          <w:p>
            <w:pPr>
              <w:pStyle w:val="Normal"/>
              <w:widowControl w:val="false"/>
              <w:rPr>
                <w:sz w:val="22"/>
                <w:szCs w:val="22"/>
              </w:rPr>
            </w:pPr>
            <w:r>
              <w:rPr>
                <w:sz w:val="22"/>
                <w:szCs w:val="22"/>
              </w:rPr>
              <w:t>ул. Гагарина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ул. Гагарина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Магистральная улица общегородского знаения с усовершенствованным покрытием, протяженностью 1,0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304"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9.77</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Планируемая дорога в д. Лихун, соединяющая улицы Лазурная и Янтарная</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 области, д. Лихун</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Улица в жилой застройке с усовершенствованным покрытием, 0,3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304"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9.78</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Реконструкция Одоевского шоссе на участке от планируемой автодороги до</w:t>
            </w:r>
          </w:p>
          <w:p>
            <w:pPr>
              <w:pStyle w:val="Normal"/>
              <w:widowControl w:val="false"/>
              <w:rPr>
                <w:sz w:val="22"/>
                <w:szCs w:val="22"/>
              </w:rPr>
            </w:pPr>
            <w:r>
              <w:rPr>
                <w:sz w:val="22"/>
                <w:szCs w:val="22"/>
              </w:rPr>
              <w:t>ул. Степана Разина до</w:t>
            </w:r>
          </w:p>
          <w:p>
            <w:pPr>
              <w:pStyle w:val="Normal"/>
              <w:widowControl w:val="false"/>
              <w:rPr>
                <w:sz w:val="22"/>
                <w:szCs w:val="22"/>
              </w:rPr>
            </w:pPr>
            <w:r>
              <w:rPr>
                <w:sz w:val="22"/>
                <w:szCs w:val="22"/>
              </w:rPr>
              <w:t>Р-132 «Золотое кольцо»</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en-US"/>
              </w:rPr>
            </w:pPr>
            <w:r>
              <w:rPr>
                <w:sz w:val="22"/>
                <w:szCs w:val="22"/>
                <w:lang w:eastAsia="en-US"/>
              </w:rPr>
              <w:t>городской округ город Калуга Калужской области</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Магистральная улица общегородского значения, с усовершенствованным покрытием, 1,7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304"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9.79</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Реконструкция ул. Тарутинская от</w:t>
            </w:r>
          </w:p>
          <w:p>
            <w:pPr>
              <w:pStyle w:val="Normal"/>
              <w:widowControl w:val="false"/>
              <w:rPr>
                <w:sz w:val="22"/>
                <w:szCs w:val="22"/>
              </w:rPr>
            </w:pPr>
            <w:r>
              <w:rPr>
                <w:sz w:val="22"/>
                <w:szCs w:val="22"/>
              </w:rPr>
              <w:t>СНТ Рабочий садовод (ул. Мичурина) до Окружной автодороги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en-US"/>
              </w:rPr>
            </w:pPr>
            <w:r>
              <w:rPr>
                <w:sz w:val="22"/>
                <w:szCs w:val="22"/>
                <w:lang w:eastAsia="en-US"/>
              </w:rPr>
              <w:t>городской округ город Калуга Калужской области</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Магистральная улица общегородского значения, с усовершенствованным покрытием, 2,6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304"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9.80</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Аналог Зип-лайна - фуникулеров</w:t>
              <w:br/>
              <w:t>от Кампуса</w:t>
            </w:r>
          </w:p>
          <w:p>
            <w:pPr>
              <w:pStyle w:val="Normal"/>
              <w:widowControl w:val="false"/>
              <w:rPr/>
            </w:pPr>
            <w:r>
              <w:rPr>
                <w:sz w:val="22"/>
                <w:szCs w:val="22"/>
              </w:rPr>
              <w:t>им. Н.Э. Баумана до Березуйского оврага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en-US"/>
              </w:rPr>
            </w:pPr>
            <w:r>
              <w:rPr>
                <w:sz w:val="22"/>
                <w:szCs w:val="22"/>
                <w:lang w:eastAsia="en-US"/>
              </w:rPr>
              <w:t>городской округ город Калуга Калужской области</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Протяженностью 4,6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val="en-US"/>
              </w:rPr>
            </w:pPr>
            <w:r>
              <w:rPr>
                <w:sz w:val="20"/>
                <w:szCs w:val="20"/>
              </w:rPr>
              <w:t>9.</w:t>
            </w:r>
            <w:r>
              <w:rPr>
                <w:sz w:val="20"/>
                <w:szCs w:val="20"/>
                <w:lang w:val="en-US"/>
              </w:rPr>
              <w:t>81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Реконструкция развязки на автодороге Р-132 (обход города) для обеспечения создания новой полукольцевой связи, перехватывающей Грабцевское шоссе (Кукареки), ул. Тарутинская,</w:t>
            </w:r>
          </w:p>
          <w:p>
            <w:pPr>
              <w:pStyle w:val="Normal"/>
              <w:widowControl w:val="false"/>
              <w:rPr>
                <w:sz w:val="22"/>
                <w:szCs w:val="22"/>
              </w:rPr>
            </w:pPr>
            <w:r>
              <w:rPr>
                <w:sz w:val="22"/>
                <w:szCs w:val="22"/>
              </w:rPr>
              <w:t>ул. Московская</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Развязка автодорожная в разных уровнях</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val="en-US"/>
              </w:rPr>
            </w:pPr>
            <w:r>
              <w:rPr>
                <w:sz w:val="20"/>
                <w:szCs w:val="20"/>
              </w:rPr>
              <w:t>9.</w:t>
            </w:r>
            <w:r>
              <w:rPr>
                <w:sz w:val="20"/>
                <w:szCs w:val="20"/>
                <w:lang w:val="en-US"/>
              </w:rPr>
              <w:t>82</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Автозаправочная станция</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в районе</w:t>
            </w:r>
          </w:p>
          <w:p>
            <w:pPr>
              <w:pStyle w:val="Normal"/>
              <w:widowControl w:val="false"/>
              <w:jc w:val="center"/>
              <w:rPr>
                <w:sz w:val="22"/>
                <w:szCs w:val="22"/>
              </w:rPr>
            </w:pPr>
            <w:r>
              <w:rPr>
                <w:sz w:val="22"/>
                <w:szCs w:val="22"/>
              </w:rPr>
              <w:t>мкр. Кукареки</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АЗС (традиционная) до 3 топливных колонок, вместимостью до 3 ед.</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Производственные зоны, зоны инженерной и транспортной инфраструктур. Максимальный процент застройки - 50%. Предельное количество этажей - 5,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50 м по СанПиН 2.2.1 2.1.1.1200-03</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22"/>
                <w:szCs w:val="22"/>
                <w:lang w:eastAsia="en-US"/>
              </w:rPr>
            </w:pPr>
            <w:r>
              <w:rPr>
                <w:b/>
                <w:sz w:val="20"/>
                <w:szCs w:val="20"/>
                <w:lang w:eastAsia="en-US"/>
              </w:rPr>
              <w:t>10</w:t>
            </w:r>
          </w:p>
        </w:tc>
        <w:tc>
          <w:tcPr>
            <w:tcW w:w="12955" w:type="dxa"/>
            <w:gridSpan w:val="6"/>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b/>
                <w:sz w:val="22"/>
                <w:szCs w:val="22"/>
                <w:lang w:eastAsia="en-US"/>
              </w:rPr>
              <w:t>Объекты водоснабжения</w:t>
            </w:r>
          </w:p>
        </w:tc>
        <w:tc>
          <w:tcPr>
            <w:tcW w:w="21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en-US"/>
              </w:rPr>
            </w:pPr>
            <w:r>
              <w:rPr>
                <w:sz w:val="22"/>
                <w:szCs w:val="22"/>
                <w:lang w:eastAsia="en-US"/>
              </w:rPr>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10.1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комплекса сооружений водозабора (артезианской скважины, водонапорной башни, станции водоподготовки)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Нижняя Вырка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Производительностью до</w:t>
            </w:r>
          </w:p>
          <w:p>
            <w:pPr>
              <w:pStyle w:val="Normal"/>
              <w:widowControl w:val="false"/>
              <w:jc w:val="center"/>
              <w:rPr/>
            </w:pPr>
            <w:r>
              <w:rPr>
                <w:sz w:val="22"/>
                <w:szCs w:val="22"/>
              </w:rPr>
              <w:t>4,8 тыс. куб. м/сут.,</w:t>
            </w:r>
          </w:p>
          <w:p>
            <w:pPr>
              <w:pStyle w:val="Normal"/>
              <w:widowControl w:val="false"/>
              <w:jc w:val="center"/>
              <w:rPr>
                <w:sz w:val="22"/>
                <w:szCs w:val="22"/>
              </w:rPr>
            </w:pPr>
            <w:r>
              <w:rPr>
                <w:sz w:val="22"/>
                <w:szCs w:val="22"/>
              </w:rPr>
              <w:t>объемом 50 куб. 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сельскохозяйственного использования. Максимальный процент застройки – не регламентируется. Предельное количество этажей – не регламентируется,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16"/>
              <w:jc w:val="center"/>
              <w:rPr>
                <w:sz w:val="22"/>
                <w:szCs w:val="22"/>
              </w:rPr>
            </w:pPr>
            <w:r>
              <w:rPr>
                <w:sz w:val="22"/>
                <w:szCs w:val="22"/>
              </w:rPr>
              <w:t>Согласно ЗСО объекта в соответствии с СанПиНом 2.1.4.1110-02</w:t>
            </w:r>
          </w:p>
          <w:p>
            <w:pPr>
              <w:pStyle w:val="Normal"/>
              <w:widowControl w:val="false"/>
              <w:spacing w:lineRule="auto" w:line="216"/>
              <w:jc w:val="center"/>
              <w:rPr>
                <w:sz w:val="22"/>
                <w:szCs w:val="22"/>
              </w:rPr>
            </w:pPr>
            <w:r>
              <w:rPr>
                <w:sz w:val="22"/>
                <w:szCs w:val="22"/>
              </w:rPr>
              <w:t>1 пояс - 30-50 м,</w:t>
            </w:r>
          </w:p>
          <w:p>
            <w:pPr>
              <w:pStyle w:val="Normal"/>
              <w:widowControl w:val="false"/>
              <w:spacing w:lineRule="auto" w:line="216"/>
              <w:jc w:val="center"/>
              <w:rPr>
                <w:sz w:val="22"/>
                <w:szCs w:val="22"/>
              </w:rPr>
            </w:pPr>
            <w:r>
              <w:rPr>
                <w:sz w:val="22"/>
                <w:szCs w:val="22"/>
              </w:rPr>
              <w:t>2 пояс - расчетный</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10.2</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водопроводных сетей</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Нижняя Вырка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Протяженностью около 4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1"/>
                <w:szCs w:val="21"/>
              </w:rPr>
            </w:pPr>
            <w:r>
              <w:rPr>
                <w:sz w:val="21"/>
                <w:szCs w:val="21"/>
              </w:rPr>
              <w:t>Санитарно-защитная полоса в соответствии с СанПиНом 2.1.4.1110-02 до 10 м</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10.3</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комплекса сооружений водозабора (артезианской скважины, водонапорной башни, станции водоподготовки)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Большая Каменка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Производительностью до</w:t>
            </w:r>
          </w:p>
          <w:p>
            <w:pPr>
              <w:pStyle w:val="Normal"/>
              <w:widowControl w:val="false"/>
              <w:jc w:val="center"/>
              <w:rPr>
                <w:sz w:val="22"/>
                <w:szCs w:val="22"/>
              </w:rPr>
            </w:pPr>
            <w:r>
              <w:rPr>
                <w:sz w:val="22"/>
                <w:szCs w:val="22"/>
              </w:rPr>
              <w:t>4,8 тыс. куб. м/сут.,</w:t>
            </w:r>
          </w:p>
          <w:p>
            <w:pPr>
              <w:pStyle w:val="Normal"/>
              <w:widowControl w:val="false"/>
              <w:jc w:val="center"/>
              <w:rPr>
                <w:sz w:val="22"/>
                <w:szCs w:val="22"/>
              </w:rPr>
            </w:pPr>
            <w:r>
              <w:rPr>
                <w:sz w:val="22"/>
                <w:szCs w:val="22"/>
              </w:rPr>
              <w:t>объемом 50 куб. 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 Максимальный процент застройки – не регламентируется. Предельное количество этажей – не регламентируется,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16"/>
              <w:jc w:val="center"/>
              <w:rPr>
                <w:sz w:val="22"/>
                <w:szCs w:val="22"/>
              </w:rPr>
            </w:pPr>
            <w:r>
              <w:rPr>
                <w:sz w:val="22"/>
                <w:szCs w:val="22"/>
              </w:rPr>
              <w:t>Согласно ЗСО объекта в соответствии с СанПиНом 2.1.4.1110-02</w:t>
            </w:r>
          </w:p>
          <w:p>
            <w:pPr>
              <w:pStyle w:val="Normal"/>
              <w:widowControl w:val="false"/>
              <w:spacing w:lineRule="auto" w:line="216"/>
              <w:jc w:val="center"/>
              <w:rPr>
                <w:sz w:val="22"/>
                <w:szCs w:val="22"/>
              </w:rPr>
            </w:pPr>
            <w:r>
              <w:rPr>
                <w:sz w:val="22"/>
                <w:szCs w:val="22"/>
              </w:rPr>
              <w:t>1 пояс - 30-50 м,</w:t>
            </w:r>
          </w:p>
          <w:p>
            <w:pPr>
              <w:pStyle w:val="Normal"/>
              <w:widowControl w:val="false"/>
              <w:jc w:val="center"/>
              <w:rPr>
                <w:sz w:val="22"/>
                <w:szCs w:val="22"/>
              </w:rPr>
            </w:pPr>
            <w:r>
              <w:rPr>
                <w:sz w:val="22"/>
                <w:szCs w:val="22"/>
              </w:rPr>
              <w:t>2 пояс - расчетный</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10.4</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водопроводных сетей</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Большая Каменка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Протяженностью около 3,9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1"/>
                <w:szCs w:val="21"/>
              </w:rPr>
              <w:t>Санитарно-защитная полоса в соответствии с СанПиНом 2.1.4.1110-02 до 10 м</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10.5</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комплекса сооружений водозабора (артезианской скважины, водонапорной башни, станции водоподготовки)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Лихун</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Производительностью до</w:t>
            </w:r>
          </w:p>
          <w:p>
            <w:pPr>
              <w:pStyle w:val="Normal"/>
              <w:widowControl w:val="false"/>
              <w:jc w:val="center"/>
              <w:rPr>
                <w:sz w:val="22"/>
                <w:szCs w:val="22"/>
              </w:rPr>
            </w:pPr>
            <w:r>
              <w:rPr>
                <w:sz w:val="22"/>
                <w:szCs w:val="22"/>
              </w:rPr>
              <w:t>4,8 тыс. куб. м/сут.,</w:t>
            </w:r>
          </w:p>
          <w:p>
            <w:pPr>
              <w:pStyle w:val="Normal"/>
              <w:widowControl w:val="false"/>
              <w:jc w:val="center"/>
              <w:rPr>
                <w:sz w:val="22"/>
                <w:szCs w:val="22"/>
              </w:rPr>
            </w:pPr>
            <w:r>
              <w:rPr>
                <w:sz w:val="22"/>
                <w:szCs w:val="22"/>
              </w:rPr>
              <w:t>объемом 50 куб. 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 Максимальный процент застройки – не регламентируется. Предельное количество этажей – не регламентируется,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16"/>
              <w:jc w:val="center"/>
              <w:rPr>
                <w:sz w:val="22"/>
                <w:szCs w:val="22"/>
              </w:rPr>
            </w:pPr>
            <w:r>
              <w:rPr>
                <w:sz w:val="22"/>
                <w:szCs w:val="22"/>
              </w:rPr>
              <w:t>Согласно ЗСО объекта в соответствии с СанПиНом 2.1.4.1110-02</w:t>
            </w:r>
          </w:p>
          <w:p>
            <w:pPr>
              <w:pStyle w:val="Normal"/>
              <w:widowControl w:val="false"/>
              <w:spacing w:lineRule="auto" w:line="216"/>
              <w:jc w:val="center"/>
              <w:rPr>
                <w:sz w:val="22"/>
                <w:szCs w:val="22"/>
              </w:rPr>
            </w:pPr>
            <w:r>
              <w:rPr>
                <w:sz w:val="22"/>
                <w:szCs w:val="22"/>
              </w:rPr>
              <w:t>1 пояс - 30-50 м,</w:t>
            </w:r>
          </w:p>
          <w:p>
            <w:pPr>
              <w:pStyle w:val="Normal"/>
              <w:widowControl w:val="false"/>
              <w:jc w:val="center"/>
              <w:rPr>
                <w:sz w:val="22"/>
                <w:szCs w:val="22"/>
              </w:rPr>
            </w:pPr>
            <w:r>
              <w:rPr>
                <w:sz w:val="22"/>
                <w:szCs w:val="22"/>
              </w:rPr>
              <w:t>2 пояс - расчетный</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10.6</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водопроводных сетей</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Лихун, д. Марьино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Протяженностью около 11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1"/>
                <w:szCs w:val="21"/>
              </w:rPr>
              <w:t>Санитарно-защитная полоса в соответствии с СанПиНом 2.1.4.1110-02 до 10 м</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10.7</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комплекса сооружений водозабора (артезианской скважины, водонапорной башни, станции водоподготовки)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Аргуново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Производительностью до</w:t>
            </w:r>
          </w:p>
          <w:p>
            <w:pPr>
              <w:pStyle w:val="Normal"/>
              <w:widowControl w:val="false"/>
              <w:jc w:val="center"/>
              <w:rPr>
                <w:sz w:val="22"/>
                <w:szCs w:val="22"/>
              </w:rPr>
            </w:pPr>
            <w:r>
              <w:rPr>
                <w:sz w:val="22"/>
                <w:szCs w:val="22"/>
              </w:rPr>
              <w:t>4,8 тыс. куб. м/сут.,</w:t>
            </w:r>
          </w:p>
          <w:p>
            <w:pPr>
              <w:pStyle w:val="Normal"/>
              <w:widowControl w:val="false"/>
              <w:jc w:val="center"/>
              <w:rPr>
                <w:sz w:val="22"/>
                <w:szCs w:val="22"/>
              </w:rPr>
            </w:pPr>
            <w:r>
              <w:rPr>
                <w:sz w:val="22"/>
                <w:szCs w:val="22"/>
              </w:rPr>
              <w:t>объемом 50 куб. 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 Максимальный процент застройки – не регламентируется. Предельное количество этажей – не регламентируется,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16"/>
              <w:jc w:val="center"/>
              <w:rPr>
                <w:sz w:val="22"/>
                <w:szCs w:val="22"/>
              </w:rPr>
            </w:pPr>
            <w:r>
              <w:rPr>
                <w:sz w:val="22"/>
                <w:szCs w:val="22"/>
              </w:rPr>
              <w:t>Согласно ЗСО объекта в соответствии с СанПиНом 2.1.4.1110-02</w:t>
            </w:r>
          </w:p>
          <w:p>
            <w:pPr>
              <w:pStyle w:val="Normal"/>
              <w:widowControl w:val="false"/>
              <w:spacing w:lineRule="auto" w:line="216"/>
              <w:jc w:val="center"/>
              <w:rPr>
                <w:sz w:val="22"/>
                <w:szCs w:val="22"/>
              </w:rPr>
            </w:pPr>
            <w:r>
              <w:rPr>
                <w:sz w:val="22"/>
                <w:szCs w:val="22"/>
              </w:rPr>
              <w:t>1 пояс - 30-50 м,</w:t>
            </w:r>
          </w:p>
          <w:p>
            <w:pPr>
              <w:pStyle w:val="Normal"/>
              <w:widowControl w:val="false"/>
              <w:jc w:val="center"/>
              <w:rPr>
                <w:sz w:val="22"/>
                <w:szCs w:val="22"/>
              </w:rPr>
            </w:pPr>
            <w:r>
              <w:rPr>
                <w:sz w:val="22"/>
                <w:szCs w:val="22"/>
              </w:rPr>
              <w:t>2 пояс - расчетный</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10.8</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водопроводных сетей</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Аргуново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Протяженностью около 5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1"/>
                <w:szCs w:val="21"/>
              </w:rPr>
              <w:t>Санитарно-защитная полоса в соответствии с СанПиНом 2.1.4.1110-02 до 10 м</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10.9</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комплекса сооружений водозабора (артезианской скважины, водонапорной башни, станции водоподготовки)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Петрово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Производительностью до</w:t>
            </w:r>
          </w:p>
          <w:p>
            <w:pPr>
              <w:pStyle w:val="Normal"/>
              <w:widowControl w:val="false"/>
              <w:jc w:val="center"/>
              <w:rPr>
                <w:sz w:val="22"/>
                <w:szCs w:val="22"/>
              </w:rPr>
            </w:pPr>
            <w:r>
              <w:rPr>
                <w:sz w:val="22"/>
                <w:szCs w:val="22"/>
              </w:rPr>
              <w:t>4,8 тыс. куб. м/сут.,</w:t>
            </w:r>
          </w:p>
          <w:p>
            <w:pPr>
              <w:pStyle w:val="Normal"/>
              <w:widowControl w:val="false"/>
              <w:jc w:val="center"/>
              <w:rPr>
                <w:sz w:val="22"/>
                <w:szCs w:val="22"/>
              </w:rPr>
            </w:pPr>
            <w:r>
              <w:rPr>
                <w:sz w:val="22"/>
                <w:szCs w:val="22"/>
              </w:rPr>
              <w:t>объемом 50 куб. 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 Максимальный процент застройки – не регламентируется. Предельное количество этажей – не регламентируется,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16"/>
              <w:jc w:val="center"/>
              <w:rPr>
                <w:sz w:val="22"/>
                <w:szCs w:val="22"/>
              </w:rPr>
            </w:pPr>
            <w:r>
              <w:rPr>
                <w:sz w:val="22"/>
                <w:szCs w:val="22"/>
              </w:rPr>
              <w:t>Согласно ЗСО объекта в соответствии с СанПиНом 2.1.4.1110-02</w:t>
            </w:r>
          </w:p>
          <w:p>
            <w:pPr>
              <w:pStyle w:val="Normal"/>
              <w:widowControl w:val="false"/>
              <w:spacing w:lineRule="auto" w:line="216"/>
              <w:jc w:val="center"/>
              <w:rPr>
                <w:sz w:val="22"/>
                <w:szCs w:val="22"/>
              </w:rPr>
            </w:pPr>
            <w:r>
              <w:rPr>
                <w:sz w:val="22"/>
                <w:szCs w:val="22"/>
              </w:rPr>
              <w:t>1 пояс - 30-50 м,</w:t>
            </w:r>
          </w:p>
          <w:p>
            <w:pPr>
              <w:pStyle w:val="Normal"/>
              <w:widowControl w:val="false"/>
              <w:jc w:val="center"/>
              <w:rPr>
                <w:sz w:val="22"/>
                <w:szCs w:val="22"/>
              </w:rPr>
            </w:pPr>
            <w:r>
              <w:rPr>
                <w:sz w:val="22"/>
                <w:szCs w:val="22"/>
              </w:rPr>
              <w:t>2 пояс - расчетный</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10.10</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водопроводных сетей</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Петрово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Протяженностью около 2,5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1"/>
                <w:szCs w:val="21"/>
              </w:rPr>
              <w:t>Санитарно-защитная полоса в соответствии с СанПиНом 2.1.4.1110-02 до 10 м</w:t>
            </w:r>
          </w:p>
        </w:tc>
      </w:tr>
      <w:tr>
        <w:trPr>
          <w:trHeight w:val="1757"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10.11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комплекса сооружений водозабора (артезианской скважины, водонапорной башни, станции водоподготовки)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Косарево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Производительностью до</w:t>
            </w:r>
          </w:p>
          <w:p>
            <w:pPr>
              <w:pStyle w:val="Normal"/>
              <w:widowControl w:val="false"/>
              <w:jc w:val="center"/>
              <w:rPr>
                <w:sz w:val="22"/>
                <w:szCs w:val="22"/>
              </w:rPr>
            </w:pPr>
            <w:r>
              <w:rPr>
                <w:sz w:val="22"/>
                <w:szCs w:val="22"/>
              </w:rPr>
              <w:t>4,8 тыс. куб. м/сут.,</w:t>
            </w:r>
          </w:p>
          <w:p>
            <w:pPr>
              <w:pStyle w:val="Normal"/>
              <w:widowControl w:val="false"/>
              <w:jc w:val="center"/>
              <w:rPr>
                <w:sz w:val="22"/>
                <w:szCs w:val="22"/>
              </w:rPr>
            </w:pPr>
            <w:r>
              <w:rPr>
                <w:sz w:val="22"/>
                <w:szCs w:val="22"/>
              </w:rPr>
              <w:t>объемом 50 куб. 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сельскохозяйственного использования. Максимальный процент застройки – не регламентируется. Предельное количество этажей – не регламентируется,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16"/>
              <w:jc w:val="center"/>
              <w:rPr>
                <w:sz w:val="22"/>
                <w:szCs w:val="22"/>
              </w:rPr>
            </w:pPr>
            <w:r>
              <w:rPr>
                <w:sz w:val="22"/>
                <w:szCs w:val="22"/>
              </w:rPr>
              <w:t>Согласно ЗСО объекта в соответствии с СанПиНом 2.1.4.1110-02</w:t>
            </w:r>
          </w:p>
          <w:p>
            <w:pPr>
              <w:pStyle w:val="Normal"/>
              <w:widowControl w:val="false"/>
              <w:spacing w:lineRule="auto" w:line="216"/>
              <w:jc w:val="center"/>
              <w:rPr>
                <w:sz w:val="22"/>
                <w:szCs w:val="22"/>
              </w:rPr>
            </w:pPr>
            <w:r>
              <w:rPr>
                <w:sz w:val="22"/>
                <w:szCs w:val="22"/>
              </w:rPr>
              <w:t>1 пояс - 30-50 м,</w:t>
            </w:r>
          </w:p>
          <w:p>
            <w:pPr>
              <w:pStyle w:val="Normal"/>
              <w:widowControl w:val="false"/>
              <w:jc w:val="center"/>
              <w:rPr>
                <w:sz w:val="22"/>
                <w:szCs w:val="22"/>
              </w:rPr>
            </w:pPr>
            <w:r>
              <w:rPr>
                <w:sz w:val="22"/>
                <w:szCs w:val="22"/>
              </w:rPr>
              <w:t>2 пояс - расчетный</w:t>
            </w:r>
          </w:p>
        </w:tc>
      </w:tr>
      <w:tr>
        <w:trPr>
          <w:trHeight w:val="1757"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10.12</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водопроводных сетей</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Косарево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Протяженностью около 4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1"/>
                <w:szCs w:val="21"/>
              </w:rPr>
              <w:t>Санитарно-защитная полоса в соответствии с СанПиНом 2.1.4.1110-02 до 10 м</w:t>
            </w:r>
          </w:p>
        </w:tc>
      </w:tr>
      <w:tr>
        <w:trPr>
          <w:trHeight w:val="1757"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10.13</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комплекса сооружений водозабора (артезианской скважины, водонапорной башни, станции водоподготовки)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Заречье</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Производительностью до</w:t>
            </w:r>
          </w:p>
          <w:p>
            <w:pPr>
              <w:pStyle w:val="Normal"/>
              <w:widowControl w:val="false"/>
              <w:jc w:val="center"/>
              <w:rPr>
                <w:sz w:val="22"/>
                <w:szCs w:val="22"/>
              </w:rPr>
            </w:pPr>
            <w:r>
              <w:rPr>
                <w:sz w:val="22"/>
                <w:szCs w:val="22"/>
              </w:rPr>
              <w:t>4,8 тыс. куб. м/сут.,</w:t>
            </w:r>
          </w:p>
          <w:p>
            <w:pPr>
              <w:pStyle w:val="Normal"/>
              <w:widowControl w:val="false"/>
              <w:jc w:val="center"/>
              <w:rPr>
                <w:sz w:val="22"/>
                <w:szCs w:val="22"/>
              </w:rPr>
            </w:pPr>
            <w:r>
              <w:rPr>
                <w:sz w:val="22"/>
                <w:szCs w:val="22"/>
              </w:rPr>
              <w:t>объемом 50 куб. 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 Максимальный процент застройки – не регламентируется. Предельное количество этажей – не регламентируется,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16"/>
              <w:jc w:val="center"/>
              <w:rPr>
                <w:sz w:val="22"/>
                <w:szCs w:val="22"/>
              </w:rPr>
            </w:pPr>
            <w:r>
              <w:rPr>
                <w:sz w:val="22"/>
                <w:szCs w:val="22"/>
              </w:rPr>
              <w:t>Согласно ЗСО объекта в соответствии с СанПиНом 2.1.4.1110-02</w:t>
            </w:r>
          </w:p>
          <w:p>
            <w:pPr>
              <w:pStyle w:val="Normal"/>
              <w:widowControl w:val="false"/>
              <w:spacing w:lineRule="auto" w:line="216"/>
              <w:jc w:val="center"/>
              <w:rPr>
                <w:sz w:val="22"/>
                <w:szCs w:val="22"/>
              </w:rPr>
            </w:pPr>
            <w:r>
              <w:rPr>
                <w:sz w:val="22"/>
                <w:szCs w:val="22"/>
              </w:rPr>
              <w:t>1 пояс - 30-50 м,</w:t>
            </w:r>
          </w:p>
          <w:p>
            <w:pPr>
              <w:pStyle w:val="Normal"/>
              <w:widowControl w:val="false"/>
              <w:jc w:val="center"/>
              <w:rPr>
                <w:sz w:val="22"/>
                <w:szCs w:val="22"/>
              </w:rPr>
            </w:pPr>
            <w:r>
              <w:rPr>
                <w:sz w:val="22"/>
                <w:szCs w:val="22"/>
              </w:rPr>
              <w:t>2 пояс - расчетный</w:t>
            </w:r>
          </w:p>
        </w:tc>
      </w:tr>
      <w:tr>
        <w:trPr>
          <w:trHeight w:val="1757"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10.14</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водопроводных сетей</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Заречье</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Протяженностью около 7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1"/>
                <w:szCs w:val="21"/>
              </w:rPr>
              <w:t>Санитарно-защитная полоса в соответствии с СанПиНом 2.1.4.1110-02 до 10 м</w:t>
            </w:r>
          </w:p>
        </w:tc>
      </w:tr>
      <w:tr>
        <w:trPr>
          <w:trHeight w:val="1757"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10.15</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водопроводных сетей</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Протяженностью около 52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1"/>
                <w:szCs w:val="21"/>
              </w:rPr>
              <w:t>Санитарно-защитная полоса в соответствии с СанПиНом 2.1.4.1110-02 до 10 м</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22"/>
                <w:szCs w:val="22"/>
              </w:rPr>
            </w:pPr>
            <w:r>
              <w:rPr>
                <w:b/>
                <w:sz w:val="20"/>
                <w:szCs w:val="20"/>
              </w:rPr>
              <w:t>11</w:t>
            </w:r>
          </w:p>
        </w:tc>
        <w:tc>
          <w:tcPr>
            <w:tcW w:w="15082" w:type="dxa"/>
            <w:gridSpan w:val="7"/>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lang w:eastAsia="en-US"/>
              </w:rPr>
            </w:pPr>
            <w:r>
              <w:rPr>
                <w:b/>
                <w:sz w:val="22"/>
                <w:szCs w:val="22"/>
                <w:lang w:eastAsia="en-US"/>
              </w:rPr>
              <w:t>Объекты водоотведения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rPr>
            </w:pPr>
            <w:r>
              <w:rPr>
                <w:sz w:val="20"/>
                <w:szCs w:val="20"/>
              </w:rPr>
              <w:t>11.1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pPr>
            <w:r>
              <w:rPr>
                <w:sz w:val="22"/>
                <w:szCs w:val="22"/>
              </w:rPr>
              <w:t>Строительство сооружений очистки сточных вод (КОС)</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lang w:eastAsia="en-US"/>
              </w:rPr>
              <w:t xml:space="preserve">городской округ город Калуга Калужской области, </w:t>
            </w:r>
            <w:r>
              <w:rPr>
                <w:sz w:val="22"/>
                <w:szCs w:val="22"/>
              </w:rPr>
              <w:t>д. Нижняя Вырка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rPr>
              <w:t>Производительностью до</w:t>
            </w:r>
          </w:p>
          <w:p>
            <w:pPr>
              <w:pStyle w:val="Normal"/>
              <w:widowControl w:val="false"/>
              <w:jc w:val="center"/>
              <w:rPr/>
            </w:pPr>
            <w:r>
              <w:rPr>
                <w:sz w:val="22"/>
                <w:szCs w:val="22"/>
              </w:rPr>
              <w:t>5 тыс. куб. м/сут.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rPr>
              <w:t>Зоны рекреационного назначения. Максимальный процент застройки – не регламентируется. Предельное количество этажей – не регламентируется,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0"/>
              <w:jc w:val="center"/>
              <w:rPr/>
            </w:pPr>
            <w:r>
              <w:rPr/>
              <w:t>Согласно СанПиН 2.2.1/2.1.1.1200-03 -</w:t>
            </w:r>
          </w:p>
          <w:p>
            <w:pPr>
              <w:pStyle w:val="Normal"/>
              <w:widowControl w:val="false"/>
              <w:jc w:val="center"/>
              <w:rPr/>
            </w:pPr>
            <w:r>
              <w:rPr/>
              <w:t xml:space="preserve"> </w:t>
            </w:r>
            <w:r>
              <w:rPr/>
              <w:t>100 м</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11.2</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сетей водоотведения</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Нижняя Вырка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Самотечная канализация, подземного расположения, протяженностью 3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0"/>
              <w:jc w:val="center"/>
              <w:rPr/>
            </w:pPr>
            <w:r>
              <w:rPr/>
              <w:t>Устанавливается согласно</w:t>
            </w:r>
          </w:p>
          <w:p>
            <w:pPr>
              <w:pStyle w:val="Normal"/>
              <w:widowControl w:val="false"/>
              <w:spacing w:lineRule="atLeast" w:line="20"/>
              <w:jc w:val="center"/>
              <w:rPr/>
            </w:pPr>
            <w:r>
              <w:rPr/>
              <w:t>СНиП 2.07.01-89,</w:t>
            </w:r>
          </w:p>
          <w:p>
            <w:pPr>
              <w:pStyle w:val="Normal"/>
              <w:widowControl w:val="false"/>
              <w:spacing w:lineRule="atLeast" w:line="20"/>
              <w:jc w:val="center"/>
              <w:rPr/>
            </w:pPr>
            <w:r>
              <w:rPr/>
              <w:t>СНиП 2.04.03-85,</w:t>
            </w:r>
          </w:p>
          <w:p>
            <w:pPr>
              <w:pStyle w:val="Normal"/>
              <w:widowControl w:val="false"/>
              <w:spacing w:lineRule="atLeast" w:line="20"/>
              <w:jc w:val="center"/>
              <w:rPr/>
            </w:pPr>
            <w:r>
              <w:rPr/>
              <w:t>СП 32.13330.2012</w:t>
            </w:r>
          </w:p>
          <w:p>
            <w:pPr>
              <w:pStyle w:val="Normal"/>
              <w:widowControl w:val="false"/>
              <w:jc w:val="center"/>
              <w:rPr/>
            </w:pPr>
            <w:r>
              <w:rPr/>
              <w:t>до 10 м</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11.3</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сооружений очистки сточных вод (КОС)</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Большая Каменка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Производительностью до</w:t>
            </w:r>
          </w:p>
          <w:p>
            <w:pPr>
              <w:pStyle w:val="Normal"/>
              <w:widowControl w:val="false"/>
              <w:jc w:val="center"/>
              <w:rPr>
                <w:sz w:val="22"/>
                <w:szCs w:val="22"/>
              </w:rPr>
            </w:pPr>
            <w:r>
              <w:rPr>
                <w:sz w:val="22"/>
                <w:szCs w:val="22"/>
              </w:rPr>
              <w:t>5 тыс. куб. м/сут.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 Максимальный процент застройки – не регламентируется. Предельное количество этажей – не регламентируется,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0"/>
              <w:jc w:val="center"/>
              <w:rPr/>
            </w:pPr>
            <w:r>
              <w:rPr/>
              <w:t>Согласно СанПиН 2.2.1/2.1.1.1200-03 -</w:t>
            </w:r>
          </w:p>
          <w:p>
            <w:pPr>
              <w:pStyle w:val="Normal"/>
              <w:widowControl w:val="false"/>
              <w:jc w:val="center"/>
              <w:rPr/>
            </w:pPr>
            <w:r>
              <w:rPr/>
              <w:t>100 м</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11.4</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сетей водоотведения</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Большая Каменка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Самотечная канализация, подземного расположения, протяженностью около 2,9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0"/>
              <w:jc w:val="center"/>
              <w:rPr/>
            </w:pPr>
            <w:r>
              <w:rPr/>
              <w:t>Устанавливается согласно</w:t>
            </w:r>
          </w:p>
          <w:p>
            <w:pPr>
              <w:pStyle w:val="Normal"/>
              <w:widowControl w:val="false"/>
              <w:spacing w:lineRule="atLeast" w:line="20"/>
              <w:jc w:val="center"/>
              <w:rPr/>
            </w:pPr>
            <w:r>
              <w:rPr/>
              <w:t>СНиП 2.07.01-89,</w:t>
            </w:r>
          </w:p>
          <w:p>
            <w:pPr>
              <w:pStyle w:val="Normal"/>
              <w:widowControl w:val="false"/>
              <w:spacing w:lineRule="atLeast" w:line="20"/>
              <w:jc w:val="center"/>
              <w:rPr/>
            </w:pPr>
            <w:r>
              <w:rPr/>
              <w:t>СНиП 2.04.03-85,</w:t>
            </w:r>
          </w:p>
          <w:p>
            <w:pPr>
              <w:pStyle w:val="Normal"/>
              <w:widowControl w:val="false"/>
              <w:spacing w:lineRule="atLeast" w:line="20"/>
              <w:jc w:val="center"/>
              <w:rPr/>
            </w:pPr>
            <w:r>
              <w:rPr/>
              <w:t>СП 32.13330.2012,</w:t>
            </w:r>
          </w:p>
          <w:p>
            <w:pPr>
              <w:pStyle w:val="Normal"/>
              <w:widowControl w:val="false"/>
              <w:jc w:val="center"/>
              <w:rPr/>
            </w:pPr>
            <w:r>
              <w:rPr/>
              <w:t>до 10 м</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11.5</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сооружений очистки сточных вод (КОС)</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Лихун</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Производительностью до</w:t>
            </w:r>
          </w:p>
          <w:p>
            <w:pPr>
              <w:pStyle w:val="Normal"/>
              <w:widowControl w:val="false"/>
              <w:jc w:val="center"/>
              <w:rPr>
                <w:sz w:val="22"/>
                <w:szCs w:val="22"/>
              </w:rPr>
            </w:pPr>
            <w:r>
              <w:rPr>
                <w:sz w:val="22"/>
                <w:szCs w:val="22"/>
              </w:rPr>
              <w:t>5 тыс. куб. м/сут.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- 60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0"/>
              <w:jc w:val="center"/>
              <w:rPr/>
            </w:pPr>
            <w:r>
              <w:rPr/>
              <w:t>Согласно СанПиН 2.2.1/2.1.1.1200-03 -</w:t>
            </w:r>
          </w:p>
          <w:p>
            <w:pPr>
              <w:pStyle w:val="Normal"/>
              <w:widowControl w:val="false"/>
              <w:jc w:val="center"/>
              <w:rPr/>
            </w:pPr>
            <w:r>
              <w:rPr/>
              <w:t>100 м</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11.6</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сетей водоотведения</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Лихун</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Самотечная канализация, подземного расположения, протяженностью около 7,7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0"/>
              <w:jc w:val="center"/>
              <w:rPr/>
            </w:pPr>
            <w:r>
              <w:rPr/>
              <w:t>Устанавливается согласно</w:t>
            </w:r>
          </w:p>
          <w:p>
            <w:pPr>
              <w:pStyle w:val="Normal"/>
              <w:widowControl w:val="false"/>
              <w:spacing w:lineRule="atLeast" w:line="20"/>
              <w:jc w:val="center"/>
              <w:rPr/>
            </w:pPr>
            <w:r>
              <w:rPr/>
              <w:t>СНиП 2.07.01-89,</w:t>
            </w:r>
          </w:p>
          <w:p>
            <w:pPr>
              <w:pStyle w:val="Normal"/>
              <w:widowControl w:val="false"/>
              <w:spacing w:lineRule="atLeast" w:line="20"/>
              <w:jc w:val="center"/>
              <w:rPr/>
            </w:pPr>
            <w:r>
              <w:rPr/>
              <w:t>СНиП 2.04.03-85,</w:t>
            </w:r>
          </w:p>
          <w:p>
            <w:pPr>
              <w:pStyle w:val="Normal"/>
              <w:widowControl w:val="false"/>
              <w:spacing w:lineRule="atLeast" w:line="20"/>
              <w:jc w:val="center"/>
              <w:rPr/>
            </w:pPr>
            <w:r>
              <w:rPr/>
              <w:t>СП 32.13330.2012</w:t>
            </w:r>
          </w:p>
          <w:p>
            <w:pPr>
              <w:pStyle w:val="Normal"/>
              <w:widowControl w:val="false"/>
              <w:jc w:val="center"/>
              <w:rPr/>
            </w:pPr>
            <w:r>
              <w:rPr/>
              <w:t>до 10 м</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11.7</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сооружений очистки сточных вод (КОС)</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Аргуново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Производительностью до</w:t>
            </w:r>
          </w:p>
          <w:p>
            <w:pPr>
              <w:pStyle w:val="Normal"/>
              <w:widowControl w:val="false"/>
              <w:jc w:val="center"/>
              <w:rPr>
                <w:sz w:val="22"/>
                <w:szCs w:val="22"/>
              </w:rPr>
            </w:pPr>
            <w:r>
              <w:rPr>
                <w:sz w:val="22"/>
                <w:szCs w:val="22"/>
              </w:rPr>
              <w:t>5 тыс. куб. м/сут.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сельскохозяйственного использования. Максимальный процент застройки – не регламентируется. Предельное количество этажей – не регламентируется,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0"/>
              <w:jc w:val="center"/>
              <w:rPr/>
            </w:pPr>
            <w:r>
              <w:rPr/>
              <w:t>Согласно СанПиН 2.2.1/2.1.1.1200-03 -</w:t>
            </w:r>
          </w:p>
          <w:p>
            <w:pPr>
              <w:pStyle w:val="Normal"/>
              <w:widowControl w:val="false"/>
              <w:jc w:val="center"/>
              <w:rPr/>
            </w:pPr>
            <w:r>
              <w:rPr/>
              <w:t>100 м</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11.8</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сетей водоотведения</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Аргуново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Самотечная канализация, подземного расположения, протяженностью около 2,9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0"/>
              <w:jc w:val="center"/>
              <w:rPr/>
            </w:pPr>
            <w:r>
              <w:rPr/>
              <w:t>Устанавливается согласно</w:t>
            </w:r>
          </w:p>
          <w:p>
            <w:pPr>
              <w:pStyle w:val="Normal"/>
              <w:widowControl w:val="false"/>
              <w:spacing w:lineRule="atLeast" w:line="20"/>
              <w:jc w:val="center"/>
              <w:rPr/>
            </w:pPr>
            <w:r>
              <w:rPr/>
              <w:t>СНиП 2.07.01-89,</w:t>
            </w:r>
          </w:p>
          <w:p>
            <w:pPr>
              <w:pStyle w:val="Normal"/>
              <w:widowControl w:val="false"/>
              <w:spacing w:lineRule="atLeast" w:line="20"/>
              <w:jc w:val="center"/>
              <w:rPr/>
            </w:pPr>
            <w:r>
              <w:rPr/>
              <w:t>СНиП 2.04.03-85,</w:t>
            </w:r>
          </w:p>
          <w:p>
            <w:pPr>
              <w:pStyle w:val="Normal"/>
              <w:widowControl w:val="false"/>
              <w:spacing w:lineRule="atLeast" w:line="20"/>
              <w:jc w:val="center"/>
              <w:rPr/>
            </w:pPr>
            <w:r>
              <w:rPr/>
              <w:t>СП 32.13330.2012</w:t>
            </w:r>
          </w:p>
          <w:p>
            <w:pPr>
              <w:pStyle w:val="Normal"/>
              <w:widowControl w:val="false"/>
              <w:jc w:val="center"/>
              <w:rPr/>
            </w:pPr>
            <w:r>
              <w:rPr/>
              <w:t>до 10 м</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11.9</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сооружений очистки сточных вод (КОС)</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Петрово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Производительностью до</w:t>
            </w:r>
          </w:p>
          <w:p>
            <w:pPr>
              <w:pStyle w:val="Normal"/>
              <w:widowControl w:val="false"/>
              <w:jc w:val="center"/>
              <w:rPr>
                <w:sz w:val="22"/>
                <w:szCs w:val="22"/>
              </w:rPr>
            </w:pPr>
            <w:r>
              <w:rPr>
                <w:sz w:val="22"/>
                <w:szCs w:val="22"/>
              </w:rPr>
              <w:t>5 тыс. куб. м/сут.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 Максимальный процент застройки – не регламентируется. Предельное количество этажей – не регламентируется,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0"/>
              <w:jc w:val="center"/>
              <w:rPr/>
            </w:pPr>
            <w:r>
              <w:rPr/>
              <w:t>Согласно СанПиН 2.2.1/2.1.1.1200-03 -</w:t>
            </w:r>
          </w:p>
          <w:p>
            <w:pPr>
              <w:pStyle w:val="Normal"/>
              <w:widowControl w:val="false"/>
              <w:jc w:val="center"/>
              <w:rPr/>
            </w:pPr>
            <w:r>
              <w:rPr/>
              <w:t>100 м</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11.10</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сетей водоотведения</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Петрово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Самотечная канализация, подземного расположения, протяженностью около 1,9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0"/>
              <w:jc w:val="center"/>
              <w:rPr/>
            </w:pPr>
            <w:r>
              <w:rPr/>
              <w:t>Устанавливается согласно</w:t>
            </w:r>
          </w:p>
          <w:p>
            <w:pPr>
              <w:pStyle w:val="Normal"/>
              <w:widowControl w:val="false"/>
              <w:spacing w:lineRule="atLeast" w:line="20"/>
              <w:jc w:val="center"/>
              <w:rPr/>
            </w:pPr>
            <w:r>
              <w:rPr/>
              <w:t>СНиП 2.07.01-89,</w:t>
            </w:r>
          </w:p>
          <w:p>
            <w:pPr>
              <w:pStyle w:val="Normal"/>
              <w:widowControl w:val="false"/>
              <w:spacing w:lineRule="atLeast" w:line="20"/>
              <w:jc w:val="center"/>
              <w:rPr/>
            </w:pPr>
            <w:r>
              <w:rPr/>
              <w:t>СНиП 2.04.03-85,</w:t>
            </w:r>
          </w:p>
          <w:p>
            <w:pPr>
              <w:pStyle w:val="Normal"/>
              <w:widowControl w:val="false"/>
              <w:spacing w:lineRule="atLeast" w:line="20"/>
              <w:jc w:val="center"/>
              <w:rPr/>
            </w:pPr>
            <w:r>
              <w:rPr/>
              <w:t>СП 32.13330.2012</w:t>
            </w:r>
          </w:p>
          <w:p>
            <w:pPr>
              <w:pStyle w:val="Normal"/>
              <w:widowControl w:val="false"/>
              <w:jc w:val="center"/>
              <w:rPr/>
            </w:pPr>
            <w:r>
              <w:rPr/>
              <w:t>до 10 м</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11.11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сооружений очистки сточных вод (КОС)</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Косарево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Производительностью до</w:t>
            </w:r>
          </w:p>
          <w:p>
            <w:pPr>
              <w:pStyle w:val="Normal"/>
              <w:widowControl w:val="false"/>
              <w:jc w:val="center"/>
              <w:rPr>
                <w:sz w:val="22"/>
                <w:szCs w:val="22"/>
              </w:rPr>
            </w:pPr>
            <w:r>
              <w:rPr>
                <w:sz w:val="22"/>
                <w:szCs w:val="22"/>
              </w:rPr>
              <w:t>5 тыс. куб. м/сут.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- 60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0"/>
              <w:jc w:val="center"/>
              <w:rPr/>
            </w:pPr>
            <w:r>
              <w:rPr/>
              <w:t>Согласно СанПиН 2.2.1/2.1.1.1200-03 -</w:t>
            </w:r>
          </w:p>
          <w:p>
            <w:pPr>
              <w:pStyle w:val="Normal"/>
              <w:widowControl w:val="false"/>
              <w:jc w:val="center"/>
              <w:rPr/>
            </w:pPr>
            <w:r>
              <w:rPr/>
              <w:t>100 м</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11.12</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сетей водоотведения</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Косарево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Самотечная канализация, подземного расположения, протяженностью около 2,4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0"/>
              <w:jc w:val="center"/>
              <w:rPr/>
            </w:pPr>
            <w:r>
              <w:rPr/>
              <w:t>Устанавливается согласно</w:t>
            </w:r>
          </w:p>
          <w:p>
            <w:pPr>
              <w:pStyle w:val="Normal"/>
              <w:widowControl w:val="false"/>
              <w:spacing w:lineRule="atLeast" w:line="20"/>
              <w:jc w:val="center"/>
              <w:rPr/>
            </w:pPr>
            <w:r>
              <w:rPr/>
              <w:t>СНиП 2.07.01-89,</w:t>
            </w:r>
          </w:p>
          <w:p>
            <w:pPr>
              <w:pStyle w:val="Normal"/>
              <w:widowControl w:val="false"/>
              <w:spacing w:lineRule="atLeast" w:line="20"/>
              <w:jc w:val="center"/>
              <w:rPr/>
            </w:pPr>
            <w:r>
              <w:rPr/>
              <w:t>СНиП 2.04.03-85,</w:t>
            </w:r>
          </w:p>
          <w:p>
            <w:pPr>
              <w:pStyle w:val="Normal"/>
              <w:widowControl w:val="false"/>
              <w:spacing w:lineRule="atLeast" w:line="20"/>
              <w:jc w:val="center"/>
              <w:rPr/>
            </w:pPr>
            <w:r>
              <w:rPr/>
              <w:t>СП 32.13330.2012</w:t>
            </w:r>
          </w:p>
          <w:p>
            <w:pPr>
              <w:pStyle w:val="Normal"/>
              <w:widowControl w:val="false"/>
              <w:jc w:val="center"/>
              <w:rPr/>
            </w:pPr>
            <w:r>
              <w:rPr/>
              <w:t>до 10 м</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11.13</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сооружений очистки сточных вод (КОС)</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Заречье</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Производительностью до</w:t>
            </w:r>
          </w:p>
          <w:p>
            <w:pPr>
              <w:pStyle w:val="Normal"/>
              <w:widowControl w:val="false"/>
              <w:jc w:val="center"/>
              <w:rPr>
                <w:sz w:val="22"/>
                <w:szCs w:val="22"/>
              </w:rPr>
            </w:pPr>
            <w:r>
              <w:rPr>
                <w:sz w:val="22"/>
                <w:szCs w:val="22"/>
              </w:rPr>
              <w:t>5 тыс. куб. м/сут.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 Максимальный процент застройки – не регламентируется. Предельное количество этажей – не регламентируется,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0"/>
              <w:jc w:val="center"/>
              <w:rPr/>
            </w:pPr>
            <w:r>
              <w:rPr/>
              <w:t>Согласно СанПиН 2.2.1/2.1.1.1200-03 -</w:t>
            </w:r>
          </w:p>
          <w:p>
            <w:pPr>
              <w:pStyle w:val="Normal"/>
              <w:widowControl w:val="false"/>
              <w:jc w:val="center"/>
              <w:rPr/>
            </w:pPr>
            <w:r>
              <w:rPr/>
              <w:t xml:space="preserve"> </w:t>
            </w:r>
            <w:r>
              <w:rPr/>
              <w:t>100 м</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11.14</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сетей водоотведения</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Заречье</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Самотечная канализация, подземного расположения, протяженностью около 3,2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0"/>
              <w:jc w:val="center"/>
              <w:rPr/>
            </w:pPr>
            <w:r>
              <w:rPr/>
              <w:t>Устанавливается согласно</w:t>
            </w:r>
          </w:p>
          <w:p>
            <w:pPr>
              <w:pStyle w:val="Normal"/>
              <w:widowControl w:val="false"/>
              <w:spacing w:lineRule="atLeast" w:line="20"/>
              <w:jc w:val="center"/>
              <w:rPr/>
            </w:pPr>
            <w:r>
              <w:rPr/>
              <w:t>СНиП 2.07.01-89,</w:t>
            </w:r>
          </w:p>
          <w:p>
            <w:pPr>
              <w:pStyle w:val="Normal"/>
              <w:widowControl w:val="false"/>
              <w:spacing w:lineRule="atLeast" w:line="20"/>
              <w:jc w:val="center"/>
              <w:rPr/>
            </w:pPr>
            <w:r>
              <w:rPr/>
              <w:t>СНиП 2.04.03-85,</w:t>
            </w:r>
          </w:p>
          <w:p>
            <w:pPr>
              <w:pStyle w:val="Normal"/>
              <w:widowControl w:val="false"/>
              <w:spacing w:lineRule="atLeast" w:line="20"/>
              <w:jc w:val="center"/>
              <w:rPr/>
            </w:pPr>
            <w:r>
              <w:rPr/>
              <w:t>СП 32.13330.2012</w:t>
            </w:r>
          </w:p>
          <w:p>
            <w:pPr>
              <w:pStyle w:val="Normal"/>
              <w:widowControl w:val="false"/>
              <w:jc w:val="center"/>
              <w:rPr/>
            </w:pPr>
            <w:r>
              <w:rPr/>
              <w:t>до 10 м</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11.15</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очистных сооружений (КОС)</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в районе</w:t>
            </w:r>
          </w:p>
          <w:p>
            <w:pPr>
              <w:pStyle w:val="Normal"/>
              <w:widowControl w:val="false"/>
              <w:jc w:val="center"/>
              <w:rPr>
                <w:sz w:val="22"/>
                <w:szCs w:val="22"/>
              </w:rPr>
            </w:pPr>
            <w:r>
              <w:rPr>
                <w:sz w:val="22"/>
                <w:szCs w:val="22"/>
              </w:rPr>
              <w:t>ТЦ «Торговый квартал»</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Производительностью до</w:t>
            </w:r>
          </w:p>
          <w:p>
            <w:pPr>
              <w:pStyle w:val="Normal"/>
              <w:widowControl w:val="false"/>
              <w:jc w:val="center"/>
              <w:rPr>
                <w:sz w:val="22"/>
                <w:szCs w:val="22"/>
              </w:rPr>
            </w:pPr>
            <w:r>
              <w:rPr>
                <w:sz w:val="22"/>
                <w:szCs w:val="22"/>
              </w:rPr>
              <w:t>50 тыс. куб. м/сут.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Общественно-деловые зоны. Максимальный процент застройки - 50%. Предельное количество этажей - 3,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0"/>
              <w:jc w:val="center"/>
              <w:rPr/>
            </w:pPr>
            <w:r>
              <w:rPr/>
              <w:t>Согласно СанПиН 2.2.1/2.1.1.1200-03 -</w:t>
            </w:r>
          </w:p>
          <w:p>
            <w:pPr>
              <w:pStyle w:val="Normal"/>
              <w:widowControl w:val="false"/>
              <w:jc w:val="center"/>
              <w:rPr/>
            </w:pPr>
            <w:r>
              <w:rPr/>
              <w:t>100 м</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11.16</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очистных сооружений (КОС)</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в мкр. «Кошелев»</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Производительностью до</w:t>
            </w:r>
          </w:p>
          <w:p>
            <w:pPr>
              <w:pStyle w:val="Normal"/>
              <w:widowControl w:val="false"/>
              <w:jc w:val="center"/>
              <w:rPr>
                <w:sz w:val="22"/>
                <w:szCs w:val="22"/>
              </w:rPr>
            </w:pPr>
            <w:r>
              <w:rPr>
                <w:sz w:val="22"/>
                <w:szCs w:val="22"/>
              </w:rPr>
              <w:t>50 тыс. куб. м/сут.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 Максимальный процент застройки – не регламентируется. Предельное количество этажей – не регламентируется,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0"/>
              <w:jc w:val="center"/>
              <w:rPr/>
            </w:pPr>
            <w:r>
              <w:rPr/>
              <w:t>Согласно СанПиН 2.2.1/2.1.1.1200-03 -</w:t>
            </w:r>
          </w:p>
          <w:p>
            <w:pPr>
              <w:pStyle w:val="Normal"/>
              <w:widowControl w:val="false"/>
              <w:jc w:val="center"/>
              <w:rPr/>
            </w:pPr>
            <w:r>
              <w:rPr/>
              <w:t>100 м</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11.17</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очистных сооружений (КОС)</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в мкр. «Секиотово»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Производительностью до</w:t>
            </w:r>
          </w:p>
          <w:p>
            <w:pPr>
              <w:pStyle w:val="Normal"/>
              <w:widowControl w:val="false"/>
              <w:jc w:val="center"/>
              <w:rPr>
                <w:sz w:val="22"/>
                <w:szCs w:val="22"/>
              </w:rPr>
            </w:pPr>
            <w:r>
              <w:rPr>
                <w:sz w:val="22"/>
                <w:szCs w:val="22"/>
              </w:rPr>
              <w:t>50 тыс. куб. м/сут.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 Максимальный процент застройки – не регламентируется. Предельное количество этажей – не регламентируется,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0"/>
              <w:jc w:val="center"/>
              <w:rPr/>
            </w:pPr>
            <w:r>
              <w:rPr/>
              <w:t>Согласно СанПиН 2.2.1/2.1.1.1200-03 -</w:t>
            </w:r>
          </w:p>
          <w:p>
            <w:pPr>
              <w:pStyle w:val="Normal"/>
              <w:widowControl w:val="false"/>
              <w:jc w:val="center"/>
              <w:rPr/>
            </w:pPr>
            <w:r>
              <w:rPr/>
              <w:t>100 м</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11.18</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очистных сооружений (КОС)</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в районе индустриального парка «Калуга Юг»</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Производительностью до</w:t>
            </w:r>
          </w:p>
          <w:p>
            <w:pPr>
              <w:pStyle w:val="Normal"/>
              <w:widowControl w:val="false"/>
              <w:jc w:val="center"/>
              <w:rPr>
                <w:sz w:val="22"/>
                <w:szCs w:val="22"/>
              </w:rPr>
            </w:pPr>
            <w:r>
              <w:rPr>
                <w:sz w:val="22"/>
                <w:szCs w:val="22"/>
              </w:rPr>
              <w:t>50 тыс. куб. м/сут.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Производственные зоны, зоны инженерной и транспортной инфраструктур. Максимальный процент застройки - 50%. Предельное количество этажей - 5,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0"/>
              <w:jc w:val="center"/>
              <w:rPr/>
            </w:pPr>
            <w:r>
              <w:rPr/>
              <w:t>Согласно СанПиН 2.2.1/2.1.1.1200-03 -</w:t>
            </w:r>
          </w:p>
          <w:p>
            <w:pPr>
              <w:pStyle w:val="Normal"/>
              <w:widowControl w:val="false"/>
              <w:jc w:val="center"/>
              <w:rPr/>
            </w:pPr>
            <w:r>
              <w:rPr/>
              <w:t>100 м</w:t>
            </w:r>
          </w:p>
        </w:tc>
      </w:tr>
      <w:tr>
        <w:trPr>
          <w:trHeight w:val="2153"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11.19</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очистных сооружений (КОС)</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по Тульскому шоссе (район СНТ</w:t>
            </w:r>
          </w:p>
          <w:p>
            <w:pPr>
              <w:pStyle w:val="Normal"/>
              <w:widowControl w:val="false"/>
              <w:jc w:val="center"/>
              <w:rPr>
                <w:sz w:val="22"/>
                <w:szCs w:val="22"/>
              </w:rPr>
            </w:pPr>
            <w:r>
              <w:rPr>
                <w:sz w:val="22"/>
                <w:szCs w:val="22"/>
              </w:rPr>
              <w:t>«КЭМЗ-2)</w:t>
            </w:r>
          </w:p>
          <w:p>
            <w:pPr>
              <w:pStyle w:val="Normal"/>
              <w:widowControl w:val="false"/>
              <w:jc w:val="center"/>
              <w:rPr>
                <w:sz w:val="22"/>
                <w:szCs w:val="22"/>
              </w:rPr>
            </w:pPr>
            <w:r>
              <w:rPr>
                <w:sz w:val="22"/>
                <w:szCs w:val="22"/>
              </w:rPr>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Производительностью до</w:t>
            </w:r>
          </w:p>
          <w:p>
            <w:pPr>
              <w:pStyle w:val="Normal"/>
              <w:widowControl w:val="false"/>
              <w:jc w:val="center"/>
              <w:rPr>
                <w:sz w:val="22"/>
                <w:szCs w:val="22"/>
              </w:rPr>
            </w:pPr>
            <w:r>
              <w:rPr>
                <w:sz w:val="22"/>
                <w:szCs w:val="22"/>
              </w:rPr>
              <w:t>50 тыс. куб. м/сут.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Общественно-деловые зоны. Максимальный процент застройки - 50%. Предельное количество этажей - 6,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0"/>
              <w:jc w:val="center"/>
              <w:rPr/>
            </w:pPr>
            <w:r>
              <w:rPr/>
              <w:t>Согласно СанПиН 2.2.1/2.1.1.1200-03 -</w:t>
            </w:r>
          </w:p>
          <w:p>
            <w:pPr>
              <w:pStyle w:val="Normal"/>
              <w:widowControl w:val="false"/>
              <w:jc w:val="center"/>
              <w:rPr/>
            </w:pPr>
            <w:r>
              <w:rPr/>
              <w:t>100 м</w:t>
            </w:r>
          </w:p>
        </w:tc>
      </w:tr>
      <w:tr>
        <w:trPr>
          <w:trHeight w:val="57"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11.20</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очистных сооружений (КОС)</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pPr>
            <w:r>
              <w:rPr>
                <w:sz w:val="22"/>
                <w:szCs w:val="22"/>
              </w:rPr>
              <w:t>в районе</w:t>
            </w:r>
          </w:p>
          <w:p>
            <w:pPr>
              <w:pStyle w:val="Normal"/>
              <w:widowControl w:val="false"/>
              <w:jc w:val="center"/>
              <w:rPr>
                <w:sz w:val="22"/>
                <w:szCs w:val="22"/>
              </w:rPr>
            </w:pPr>
            <w:r>
              <w:rPr>
                <w:sz w:val="22"/>
                <w:szCs w:val="22"/>
              </w:rPr>
              <w:t>мкр. «Куровской»</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Производительностью до</w:t>
            </w:r>
          </w:p>
          <w:p>
            <w:pPr>
              <w:pStyle w:val="Normal"/>
              <w:widowControl w:val="false"/>
              <w:jc w:val="center"/>
              <w:rPr>
                <w:sz w:val="22"/>
                <w:szCs w:val="22"/>
              </w:rPr>
            </w:pPr>
            <w:r>
              <w:rPr>
                <w:sz w:val="22"/>
                <w:szCs w:val="22"/>
              </w:rPr>
              <w:t>50 тыс. куб. м/сут.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Производственные зоны, зоны инженерной и транспортной инфраструктур. Максимальный процент застройки - 50%. Предельное количество этажей - 5,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0"/>
              <w:jc w:val="center"/>
              <w:rPr/>
            </w:pPr>
            <w:r>
              <w:rPr/>
              <w:t>Согласно СанПиН 2.2.1/2.1.1.1200-03 -</w:t>
            </w:r>
          </w:p>
          <w:p>
            <w:pPr>
              <w:pStyle w:val="Normal"/>
              <w:widowControl w:val="false"/>
              <w:jc w:val="center"/>
              <w:rPr/>
            </w:pPr>
            <w:r>
              <w:rPr/>
              <w:t>100 м</w:t>
            </w:r>
          </w:p>
        </w:tc>
      </w:tr>
      <w:tr>
        <w:trPr>
          <w:trHeight w:val="57"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11.21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очистных сооружений (КОС)</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в районе с. Росва</w:t>
            </w:r>
          </w:p>
          <w:p>
            <w:pPr>
              <w:pStyle w:val="Normal"/>
              <w:widowControl w:val="false"/>
              <w:jc w:val="center"/>
              <w:rPr>
                <w:sz w:val="22"/>
                <w:szCs w:val="22"/>
              </w:rPr>
            </w:pPr>
            <w:r>
              <w:rPr>
                <w:sz w:val="22"/>
                <w:szCs w:val="22"/>
              </w:rPr>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Производительностью до</w:t>
            </w:r>
          </w:p>
          <w:p>
            <w:pPr>
              <w:pStyle w:val="Normal"/>
              <w:widowControl w:val="false"/>
              <w:jc w:val="center"/>
              <w:rPr>
                <w:sz w:val="22"/>
                <w:szCs w:val="22"/>
              </w:rPr>
            </w:pPr>
            <w:r>
              <w:rPr>
                <w:sz w:val="22"/>
                <w:szCs w:val="22"/>
              </w:rPr>
              <w:t>100 тыс. куб. м/сут.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 Максимальный процент застройки – не регламентируется. Предельное количество этажей – не регламентируется,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0"/>
              <w:jc w:val="center"/>
              <w:rPr/>
            </w:pPr>
            <w:r>
              <w:rPr/>
              <w:t>Согласно СанПиН 2.2.1/2.1.1.1200-03 -</w:t>
            </w:r>
          </w:p>
          <w:p>
            <w:pPr>
              <w:pStyle w:val="Normal"/>
              <w:widowControl w:val="false"/>
              <w:jc w:val="center"/>
              <w:rPr/>
            </w:pPr>
            <w:r>
              <w:rPr/>
              <w:t>300 м</w:t>
            </w:r>
          </w:p>
        </w:tc>
      </w:tr>
      <w:tr>
        <w:trPr>
          <w:trHeight w:val="57"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11.22</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магистрального коллектора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городской округ город Калуга Калужской области</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Магистральный коллектор самотечной канализации, объединяющий существующую систему водоотведения мкр. Резвань – план. КОС с. Росва – план. КОС мкр. Куровской. Расположение - подземное, протяженность 10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0"/>
              <w:jc w:val="center"/>
              <w:rPr/>
            </w:pPr>
            <w:r>
              <w:rPr/>
              <w:t>Устанавливается согласно</w:t>
            </w:r>
          </w:p>
          <w:p>
            <w:pPr>
              <w:pStyle w:val="Normal"/>
              <w:widowControl w:val="false"/>
              <w:spacing w:lineRule="atLeast" w:line="20"/>
              <w:jc w:val="center"/>
              <w:rPr/>
            </w:pPr>
            <w:r>
              <w:rPr/>
              <w:t>СНиП 2.07.01-89,</w:t>
            </w:r>
          </w:p>
          <w:p>
            <w:pPr>
              <w:pStyle w:val="Normal"/>
              <w:widowControl w:val="false"/>
              <w:spacing w:lineRule="atLeast" w:line="20"/>
              <w:jc w:val="center"/>
              <w:rPr/>
            </w:pPr>
            <w:r>
              <w:rPr/>
              <w:t>СНиП 2.04.03-85,</w:t>
            </w:r>
          </w:p>
          <w:p>
            <w:pPr>
              <w:pStyle w:val="Normal"/>
              <w:widowControl w:val="false"/>
              <w:spacing w:lineRule="atLeast" w:line="20"/>
              <w:jc w:val="center"/>
              <w:rPr/>
            </w:pPr>
            <w:r>
              <w:rPr/>
              <w:t>СП 32.13330.2012</w:t>
            </w:r>
          </w:p>
          <w:p>
            <w:pPr>
              <w:pStyle w:val="Normal"/>
              <w:widowControl w:val="false"/>
              <w:jc w:val="center"/>
              <w:rPr/>
            </w:pPr>
            <w:r>
              <w:rPr/>
              <w:t>до 10 м</w:t>
            </w:r>
          </w:p>
        </w:tc>
      </w:tr>
      <w:tr>
        <w:trPr>
          <w:trHeight w:val="57"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val="en-US"/>
              </w:rPr>
            </w:pPr>
            <w:r>
              <w:rPr>
                <w:sz w:val="20"/>
                <w:szCs w:val="20"/>
                <w:lang w:val="en-US"/>
              </w:rPr>
              <w:t>11.23</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сетей водоотведения</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Самотечная канализация, подземного расположения протяженностью  58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0"/>
              <w:jc w:val="center"/>
              <w:rPr/>
            </w:pPr>
            <w:r>
              <w:rPr/>
              <w:t>Устанавливается согласно</w:t>
            </w:r>
          </w:p>
          <w:p>
            <w:pPr>
              <w:pStyle w:val="Normal"/>
              <w:widowControl w:val="false"/>
              <w:spacing w:lineRule="atLeast" w:line="20"/>
              <w:jc w:val="center"/>
              <w:rPr/>
            </w:pPr>
            <w:r>
              <w:rPr/>
              <w:t>СНиП 2.07.01-89,</w:t>
            </w:r>
          </w:p>
          <w:p>
            <w:pPr>
              <w:pStyle w:val="Normal"/>
              <w:widowControl w:val="false"/>
              <w:spacing w:lineRule="atLeast" w:line="20"/>
              <w:jc w:val="center"/>
              <w:rPr/>
            </w:pPr>
            <w:r>
              <w:rPr/>
              <w:t>СНиП 2.04.03-85,</w:t>
            </w:r>
          </w:p>
          <w:p>
            <w:pPr>
              <w:pStyle w:val="Normal"/>
              <w:widowControl w:val="false"/>
              <w:spacing w:lineRule="atLeast" w:line="20"/>
              <w:jc w:val="center"/>
              <w:rPr/>
            </w:pPr>
            <w:r>
              <w:rPr/>
              <w:t>СП 32.13330.2012</w:t>
            </w:r>
          </w:p>
          <w:p>
            <w:pPr>
              <w:pStyle w:val="Normal"/>
              <w:widowControl w:val="false"/>
              <w:jc w:val="center"/>
              <w:rPr/>
            </w:pPr>
            <w:r>
              <w:rPr/>
              <w:t>до 10 м</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22"/>
                <w:szCs w:val="22"/>
              </w:rPr>
            </w:pPr>
            <w:r>
              <w:rPr>
                <w:b/>
                <w:sz w:val="20"/>
                <w:szCs w:val="20"/>
              </w:rPr>
              <w:t>12</w:t>
            </w:r>
          </w:p>
        </w:tc>
        <w:tc>
          <w:tcPr>
            <w:tcW w:w="15082" w:type="dxa"/>
            <w:gridSpan w:val="7"/>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b/>
                <w:sz w:val="22"/>
                <w:szCs w:val="22"/>
                <w:lang w:eastAsia="en-US"/>
              </w:rPr>
            </w:pPr>
            <w:r>
              <w:rPr>
                <w:b/>
                <w:sz w:val="22"/>
                <w:szCs w:val="22"/>
                <w:lang w:eastAsia="en-US"/>
              </w:rPr>
              <w:t>Объекты дождевой канализации</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12.1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очистных сооружений дождевой канализации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в районе СНТ «Факел»,</w:t>
            </w:r>
          </w:p>
          <w:p>
            <w:pPr>
              <w:pStyle w:val="Normal"/>
              <w:widowControl w:val="false"/>
              <w:jc w:val="center"/>
              <w:rPr>
                <w:sz w:val="22"/>
                <w:szCs w:val="22"/>
              </w:rPr>
            </w:pPr>
            <w:r>
              <w:rPr>
                <w:sz w:val="22"/>
                <w:szCs w:val="22"/>
              </w:rPr>
              <w:t>мкр. Калуга-2</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Очистные сооружения поверхностного стока закрытого типа, производительностью до</w:t>
            </w:r>
          </w:p>
          <w:p>
            <w:pPr>
              <w:pStyle w:val="Normal"/>
              <w:widowControl w:val="false"/>
              <w:jc w:val="center"/>
              <w:rPr>
                <w:sz w:val="22"/>
                <w:szCs w:val="22"/>
              </w:rPr>
            </w:pPr>
            <w:r>
              <w:rPr>
                <w:sz w:val="22"/>
                <w:szCs w:val="22"/>
              </w:rPr>
              <w:t>1 тыс. куб. м/сут.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Производственные зоны, зоны инженерной и транспортной инфраструктур. Максимальный процент застройки - 50%. Предельное количество этажей - 5,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Определяется проектом СЗЗ объекта в соответствии с СанПиНом 2.2.1/2.1.1.1200-03</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12.2</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очистных сооружений дождевой канализации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 xml:space="preserve"> </w:t>
            </w:r>
            <w:r>
              <w:rPr>
                <w:sz w:val="22"/>
                <w:szCs w:val="22"/>
              </w:rPr>
              <w:t>в районе мкр. Анненки</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Очистные сооружения поверхностного стока закрытого типа, производительностью до</w:t>
            </w:r>
          </w:p>
          <w:p>
            <w:pPr>
              <w:pStyle w:val="Normal"/>
              <w:widowControl w:val="false"/>
              <w:jc w:val="center"/>
              <w:rPr>
                <w:sz w:val="22"/>
                <w:szCs w:val="22"/>
              </w:rPr>
            </w:pPr>
            <w:r>
              <w:rPr>
                <w:sz w:val="22"/>
                <w:szCs w:val="22"/>
              </w:rPr>
              <w:t>1 тыс. куб. м/сут.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Производственные зоны, зоны инженерной и транспортной инфраструктур. Максимальный процент застройки - 50%. Предельное количество этажей - 5,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Определяется проектом СЗЗ объекта в соответствии с СанПиНом 2.2.1/2.1.1.1200-03</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12.3</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очистных сооружений дождевой канализации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в районе мкр. Ромоданово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Очистные сооружения поверхностного стока закрытого типа, производительностью до</w:t>
            </w:r>
          </w:p>
          <w:p>
            <w:pPr>
              <w:pStyle w:val="Normal"/>
              <w:widowControl w:val="false"/>
              <w:jc w:val="center"/>
              <w:rPr>
                <w:sz w:val="22"/>
                <w:szCs w:val="22"/>
              </w:rPr>
            </w:pPr>
            <w:r>
              <w:rPr>
                <w:sz w:val="22"/>
                <w:szCs w:val="22"/>
              </w:rPr>
              <w:t>1 тыс. куб. м/сут.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 Максимальный процент застройки – не регламентируется. Предельное количество этажей – не регламентируется,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Определяется проектом СЗЗ объекта в соответствии с СанПиНом 2.2.1/2.1.1.1200-03</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12.4</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очистных сооружений дождевой канализации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в районе мкр. Ромодановские дворики</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Очистные сооружения поверхностного стока закрытого типа, производительностью до</w:t>
            </w:r>
          </w:p>
          <w:p>
            <w:pPr>
              <w:pStyle w:val="Normal"/>
              <w:widowControl w:val="false"/>
              <w:jc w:val="center"/>
              <w:rPr>
                <w:sz w:val="22"/>
                <w:szCs w:val="22"/>
              </w:rPr>
            </w:pPr>
            <w:r>
              <w:rPr>
                <w:sz w:val="22"/>
                <w:szCs w:val="22"/>
              </w:rPr>
              <w:t>1 тыс. куб. м/сут.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 Максимальный процент застройки – не регламентируется. Предельное количество этажей – не регламентируется,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Определяется проектом СЗЗ объекта в соответствии с СанПиНом 2.2.1/2.1.1.1200-03</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12.5</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очистных сооружений дождевой канализации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по ул. Подвойского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Очистные сооружения поверхностного стока закрытого типа, производительностью до</w:t>
            </w:r>
          </w:p>
          <w:p>
            <w:pPr>
              <w:pStyle w:val="Normal"/>
              <w:widowControl w:val="false"/>
              <w:jc w:val="center"/>
              <w:rPr>
                <w:sz w:val="22"/>
                <w:szCs w:val="22"/>
              </w:rPr>
            </w:pPr>
            <w:r>
              <w:rPr>
                <w:sz w:val="22"/>
                <w:szCs w:val="22"/>
              </w:rPr>
              <w:t>1 тыс. куб. м/сут.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- 280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Определяется проектом СЗЗ объекта в соответствии с СанПиНом 2.2.1/2.1.1.1200-03</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12.6</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pPr>
            <w:r>
              <w:rPr>
                <w:sz w:val="22"/>
                <w:szCs w:val="22"/>
              </w:rPr>
              <w:t>Строительство очистных сооружения дождевой канализации для очистки дождевых стоков с планируемой и существующей жилой застройки в районе с. Некрасово, д. Пучково</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в районе СНТ «Связист-2»</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Очистные сооружения поверхностного стока закрытого типа, производительностью до</w:t>
            </w:r>
          </w:p>
          <w:p>
            <w:pPr>
              <w:pStyle w:val="Normal"/>
              <w:widowControl w:val="false"/>
              <w:jc w:val="center"/>
              <w:rPr>
                <w:sz w:val="22"/>
                <w:szCs w:val="22"/>
              </w:rPr>
            </w:pPr>
            <w:r>
              <w:rPr>
                <w:sz w:val="22"/>
                <w:szCs w:val="22"/>
              </w:rPr>
              <w:t>1 тыс. куб. м/сут.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 Максимальный процент застройки – не регламентируется. Предельное количество этажей – не регламентируется,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Определяется проектом СЗЗ объекта в соответствии с СанПиНом 2.2.1/2.1.1.1200-03</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12.7</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очистных сооружений дождевой канализации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 xml:space="preserve"> </w:t>
            </w:r>
            <w:r>
              <w:rPr>
                <w:sz w:val="22"/>
                <w:szCs w:val="22"/>
              </w:rPr>
              <w:t>по ул. Салтыкова-Щедрина район гаражного кооператива «Заря»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Очистные сооружения поверхностного стока закрытого типа, производительностью до</w:t>
            </w:r>
          </w:p>
          <w:p>
            <w:pPr>
              <w:pStyle w:val="Normal"/>
              <w:widowControl w:val="false"/>
              <w:jc w:val="center"/>
              <w:rPr>
                <w:sz w:val="22"/>
                <w:szCs w:val="22"/>
              </w:rPr>
            </w:pPr>
            <w:r>
              <w:rPr>
                <w:sz w:val="22"/>
                <w:szCs w:val="22"/>
              </w:rPr>
              <w:t>1 тыс. куб. м/сут.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Производственные зоны, зоны инженерной и транспортной инфраструктур. Максимальный процент застройки - 50%. Предельное количество этажей - 5,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Определяется проектом СЗЗ объекта в соответствии с СанПиНом 2.2.1/2.1.1.1200-03</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12.8</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очистных сооружений дождевой канализации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по ул. 40-летия Октября, район существующих очистных сооружений</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Очистные сооружения поверхностного стока закрытого типа, производительностью до</w:t>
            </w:r>
          </w:p>
          <w:p>
            <w:pPr>
              <w:pStyle w:val="Normal"/>
              <w:widowControl w:val="false"/>
              <w:jc w:val="center"/>
              <w:rPr>
                <w:sz w:val="22"/>
                <w:szCs w:val="22"/>
              </w:rPr>
            </w:pPr>
            <w:r>
              <w:rPr>
                <w:sz w:val="22"/>
                <w:szCs w:val="22"/>
              </w:rPr>
              <w:t>1 тыс. куб. м/сут.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Производственные зоны, зоны инженерной и транспортной инфраструктур. Максимальный процент застройки - 50%. Предельное количество этажей - 5,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Определяется проектом СЗЗ объекта в соответствии с СанПиНом 2.2.1/2.1.1.1200-03</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12.9</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очистных сооружений дождевой канализации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в районе мкр. Турынинские дворики</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Очистные сооружения поверхностного стока закрытого типа, производительностью до</w:t>
            </w:r>
          </w:p>
          <w:p>
            <w:pPr>
              <w:pStyle w:val="Normal"/>
              <w:widowControl w:val="false"/>
              <w:jc w:val="center"/>
              <w:rPr>
                <w:sz w:val="22"/>
                <w:szCs w:val="22"/>
              </w:rPr>
            </w:pPr>
            <w:r>
              <w:rPr>
                <w:sz w:val="22"/>
                <w:szCs w:val="22"/>
              </w:rPr>
              <w:t>1 тыс. куб. м/сут.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 Максимальный процент застройки – не регламентируется. Предельное количество этажей – не регламентируется,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Определяется проектом СЗЗ объекта в соответствии с СанПиНом 2.2.1/2.1.1.1200-03</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12.10</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очистных сооружений дождевой канализации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в районе мкр. Турынино, ул. Родниковая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Очистные сооружения поверхностного стока закрытого типа, производительностью до</w:t>
            </w:r>
          </w:p>
          <w:p>
            <w:pPr>
              <w:pStyle w:val="Normal"/>
              <w:widowControl w:val="false"/>
              <w:jc w:val="center"/>
              <w:rPr>
                <w:sz w:val="22"/>
                <w:szCs w:val="22"/>
              </w:rPr>
            </w:pPr>
            <w:r>
              <w:rPr>
                <w:sz w:val="22"/>
                <w:szCs w:val="22"/>
              </w:rPr>
              <w:t>1 тыс. куб. м/сут.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 Максимальный процент застройки – не регламентируется. Предельное количество этажей – не регламентируется,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Определяется проектом СЗЗ объекта в соответствии с СанПиНом 2.2.1/2.1.1.1200-03</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12.11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очистных сооружений дождевой канализации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в районе мкр. Турынино,</w:t>
            </w:r>
          </w:p>
          <w:p>
            <w:pPr>
              <w:pStyle w:val="Normal"/>
              <w:widowControl w:val="false"/>
              <w:jc w:val="center"/>
              <w:rPr>
                <w:sz w:val="22"/>
                <w:szCs w:val="22"/>
              </w:rPr>
            </w:pPr>
            <w:r>
              <w:rPr>
                <w:sz w:val="22"/>
                <w:szCs w:val="22"/>
              </w:rPr>
              <w:t>ул. Льва Толстого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Очистные сооружения поверхностного стока закрытого типа, производительностью до</w:t>
            </w:r>
          </w:p>
          <w:p>
            <w:pPr>
              <w:pStyle w:val="Normal"/>
              <w:widowControl w:val="false"/>
              <w:jc w:val="center"/>
              <w:rPr>
                <w:sz w:val="22"/>
                <w:szCs w:val="22"/>
              </w:rPr>
            </w:pPr>
            <w:r>
              <w:rPr>
                <w:sz w:val="22"/>
                <w:szCs w:val="22"/>
              </w:rPr>
              <w:t>1 тыс. куб. м/сут.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 Максимальный процент застройки – не регламентируется. Предельное количество этажей – не регламентируется,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Определяется проектом СЗЗ объекта в соответствии с СанПиНом 2.2.1/2.1.1.1200-03</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12.12</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очистных сооружений дождевой канализации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в районе мкр. Бушмановка, ул. Работниц</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Очистные сооружения поверхностного стока закрытого типа, производительностью до</w:t>
            </w:r>
          </w:p>
          <w:p>
            <w:pPr>
              <w:pStyle w:val="Normal"/>
              <w:widowControl w:val="false"/>
              <w:jc w:val="center"/>
              <w:rPr>
                <w:sz w:val="22"/>
                <w:szCs w:val="22"/>
              </w:rPr>
            </w:pPr>
            <w:r>
              <w:rPr>
                <w:sz w:val="22"/>
                <w:szCs w:val="22"/>
              </w:rPr>
              <w:t>1 тыс. куб. м/сут.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 Максимальный процент застройки – не регламентируется. Предельное количество этажей – не регламентируется,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Определяется проектом СЗЗ объекта в соответствии с СанПиНом 2.2.1/2.1.1.1200-03</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12.13</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очистных сооружений дождевой канализации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в мкр. Бушмановка, в районе гаражного кооператива «Тайфун»</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Очистные сооружения поверхностного стока закрытого типа, производительностью до</w:t>
            </w:r>
          </w:p>
          <w:p>
            <w:pPr>
              <w:pStyle w:val="Normal"/>
              <w:widowControl w:val="false"/>
              <w:jc w:val="center"/>
              <w:rPr>
                <w:sz w:val="22"/>
                <w:szCs w:val="22"/>
              </w:rPr>
            </w:pPr>
            <w:r>
              <w:rPr>
                <w:sz w:val="22"/>
                <w:szCs w:val="22"/>
              </w:rPr>
              <w:t>1 тыс. куб. м/сут.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 Максимальный процент застройки – не регламентируется. Предельное количество этажей – не регламентируется,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Определяется проектом СЗЗ объекта в соответствии с СанПиНом 2.2.1/2.1.1.1200-03</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12.14</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очистных сооружений дождевой канализации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в мкр. Дубрава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Очистные сооружения поверхностного стока закрытого типа, производительностью до</w:t>
            </w:r>
          </w:p>
          <w:p>
            <w:pPr>
              <w:pStyle w:val="Normal"/>
              <w:widowControl w:val="false"/>
              <w:jc w:val="center"/>
              <w:rPr>
                <w:sz w:val="22"/>
                <w:szCs w:val="22"/>
              </w:rPr>
            </w:pPr>
            <w:r>
              <w:rPr>
                <w:sz w:val="22"/>
                <w:szCs w:val="22"/>
              </w:rPr>
              <w:t>1 тыс. куб. м/сут.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 Максимальный процент застройки – не регламентируется. Предельное количество этажей – не регламентируется,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Определяется проектом СЗЗ объекта в соответствии с СанПиНом 2.2.1/2.1.1.1200-03</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12.15</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очистных сооружений дождевой канализации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пер. Лаврентьевский, набережная Яченского водохранилища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Очистные сооружения поверхностного стока закрытого типа, производительностью до</w:t>
            </w:r>
          </w:p>
          <w:p>
            <w:pPr>
              <w:pStyle w:val="Normal"/>
              <w:widowControl w:val="false"/>
              <w:jc w:val="center"/>
              <w:rPr>
                <w:sz w:val="22"/>
                <w:szCs w:val="22"/>
              </w:rPr>
            </w:pPr>
            <w:r>
              <w:rPr>
                <w:sz w:val="22"/>
                <w:szCs w:val="22"/>
              </w:rPr>
              <w:t>1 тыс. куб. м/сут.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 Максимальный процент застройки – не регламентируется. Предельное количество этажей – не регламентируется,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Определяется проектом СЗЗ объекта в соответствии с СанПиНом 2.2.1/2.1.1.1200-03</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12.16</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очистных сооружений дождевой канализации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в мкр. Черносвитино, район ул. Речной</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Очистные сооружения поверхностного стока закрытого типа, производительностью до</w:t>
            </w:r>
          </w:p>
          <w:p>
            <w:pPr>
              <w:pStyle w:val="Normal"/>
              <w:widowControl w:val="false"/>
              <w:jc w:val="center"/>
              <w:rPr>
                <w:sz w:val="22"/>
                <w:szCs w:val="22"/>
              </w:rPr>
            </w:pPr>
            <w:r>
              <w:rPr>
                <w:sz w:val="22"/>
                <w:szCs w:val="22"/>
              </w:rPr>
              <w:t>1 тыс. куб. м/сут.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Зона садоводческих, огороднических или дачных некоммерческих объединений граждан. Максимальный процент застройки - 50%. Предельное количество этажей - 2, рекомендуемая плотность населения - 60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Определяется проектом СЗЗ объекта в соответствии с СанПиНом 2.2.1/2.1.1.1200-03</w:t>
            </w:r>
          </w:p>
        </w:tc>
      </w:tr>
      <w:tr>
        <w:trPr>
          <w:trHeight w:val="1807"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12.17</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очистных сооружений дождевой канализации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в мкр. Черносвитино, район пер. Удачный</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Очистные сооружения поверхностного стока закрытого типа, производительностью до</w:t>
            </w:r>
          </w:p>
          <w:p>
            <w:pPr>
              <w:pStyle w:val="Normal"/>
              <w:widowControl w:val="false"/>
              <w:jc w:val="center"/>
              <w:rPr>
                <w:sz w:val="22"/>
                <w:szCs w:val="22"/>
              </w:rPr>
            </w:pPr>
            <w:r>
              <w:rPr>
                <w:sz w:val="22"/>
                <w:szCs w:val="22"/>
              </w:rPr>
              <w:t>1 тыс. куб. м/сут.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- 60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Определяется проектом СЗЗ объекта в соответствии с СанПиНом 2.2.1/2.1.1.1200-03</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12.18</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очистных сооружений дождевой канализации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севернее мкр. Силикатный</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Очистные сооружения поверхностного стока закрытого типа,  производительностью до</w:t>
            </w:r>
          </w:p>
          <w:p>
            <w:pPr>
              <w:pStyle w:val="Normal"/>
              <w:widowControl w:val="false"/>
              <w:jc w:val="center"/>
              <w:rPr>
                <w:sz w:val="22"/>
                <w:szCs w:val="22"/>
              </w:rPr>
            </w:pPr>
            <w:r>
              <w:rPr>
                <w:sz w:val="22"/>
                <w:szCs w:val="22"/>
              </w:rPr>
              <w:t>1 тыс. куб. м/сут.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 Максимальный процент застройки – не регламентируется. Предельное количество этажей – не регламентируется,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Определяется проектом СЗЗ объекта в соответствии с СанПиНом 2.2.1/2.1.1.1200-03</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12.19</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очистных сооружений дождевой канализации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мкр. Малиновка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Очистные сооружения поверхностного стока закрытого типа, производительностью до</w:t>
            </w:r>
          </w:p>
          <w:p>
            <w:pPr>
              <w:pStyle w:val="Normal"/>
              <w:widowControl w:val="false"/>
              <w:jc w:val="center"/>
              <w:rPr>
                <w:sz w:val="22"/>
                <w:szCs w:val="22"/>
              </w:rPr>
            </w:pPr>
            <w:r>
              <w:rPr>
                <w:sz w:val="22"/>
                <w:szCs w:val="22"/>
              </w:rPr>
              <w:t>1 тыс. куб. м/сут.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Производственные зоны, зоны инженерной и транспортной инфраструктур. Максимальный процент застройки - 50%. Предельное количество этажей - 5,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Определяется проектом СЗЗ объекта в соответствии с СанПиНом 2.2.1/2.1.1.1200-03</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12.20</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очистных сооружений дождевой канализации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 Канищево, ул. Усадебная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Очистные сооружения поверхностного стока закрытого типа ,  производительностью до</w:t>
            </w:r>
          </w:p>
          <w:p>
            <w:pPr>
              <w:pStyle w:val="Normal"/>
              <w:widowControl w:val="false"/>
              <w:jc w:val="center"/>
              <w:rPr>
                <w:sz w:val="22"/>
                <w:szCs w:val="22"/>
              </w:rPr>
            </w:pPr>
            <w:r>
              <w:rPr>
                <w:sz w:val="22"/>
                <w:szCs w:val="22"/>
              </w:rPr>
              <w:t>1 тыс. куб. м/сут.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- 60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Определяется проектом СЗЗ объекта в соответствии с СанПиНом 2.2.1/2.1.1.1200-03</w:t>
            </w:r>
          </w:p>
        </w:tc>
      </w:tr>
      <w:tr>
        <w:trPr>
          <w:trHeight w:val="1044"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12.21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коллекторов дождевой канализации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Протяженностью – 132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Устанавливается согласно</w:t>
            </w:r>
          </w:p>
          <w:p>
            <w:pPr>
              <w:pStyle w:val="Normal"/>
              <w:widowControl w:val="false"/>
              <w:jc w:val="center"/>
              <w:rPr>
                <w:sz w:val="22"/>
                <w:szCs w:val="22"/>
              </w:rPr>
            </w:pPr>
            <w:r>
              <w:rPr>
                <w:sz w:val="22"/>
                <w:szCs w:val="22"/>
              </w:rPr>
              <w:t>СНиП 2.07.01-89,</w:t>
            </w:r>
          </w:p>
          <w:p>
            <w:pPr>
              <w:pStyle w:val="Normal"/>
              <w:widowControl w:val="false"/>
              <w:jc w:val="center"/>
              <w:rPr>
                <w:sz w:val="22"/>
                <w:szCs w:val="22"/>
              </w:rPr>
            </w:pPr>
            <w:r>
              <w:rPr>
                <w:sz w:val="22"/>
                <w:szCs w:val="22"/>
              </w:rPr>
              <w:t>СНиП 2.04.03-85,</w:t>
            </w:r>
          </w:p>
          <w:p>
            <w:pPr>
              <w:pStyle w:val="Normal"/>
              <w:widowControl w:val="false"/>
              <w:jc w:val="center"/>
              <w:rPr>
                <w:sz w:val="22"/>
                <w:szCs w:val="22"/>
              </w:rPr>
            </w:pPr>
            <w:r>
              <w:rPr>
                <w:sz w:val="22"/>
                <w:szCs w:val="22"/>
              </w:rPr>
              <w:t>СП 32.13330.2012</w:t>
            </w:r>
          </w:p>
        </w:tc>
      </w:tr>
      <w:tr>
        <w:trPr>
          <w:trHeight w:val="970"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12.22</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коллекторов дождевой канализации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Канищево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Протяженностью – 8,5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Устанавливается согласно</w:t>
            </w:r>
          </w:p>
          <w:p>
            <w:pPr>
              <w:pStyle w:val="Normal"/>
              <w:widowControl w:val="false"/>
              <w:jc w:val="center"/>
              <w:rPr>
                <w:sz w:val="22"/>
                <w:szCs w:val="22"/>
              </w:rPr>
            </w:pPr>
            <w:r>
              <w:rPr>
                <w:sz w:val="22"/>
                <w:szCs w:val="22"/>
              </w:rPr>
              <w:t>СНиП 2.07.01-89,</w:t>
            </w:r>
          </w:p>
          <w:p>
            <w:pPr>
              <w:pStyle w:val="Normal"/>
              <w:widowControl w:val="false"/>
              <w:jc w:val="center"/>
              <w:rPr>
                <w:sz w:val="22"/>
                <w:szCs w:val="22"/>
              </w:rPr>
            </w:pPr>
            <w:r>
              <w:rPr>
                <w:sz w:val="22"/>
                <w:szCs w:val="22"/>
              </w:rPr>
              <w:t>СНиП 2.04.03-85,</w:t>
            </w:r>
          </w:p>
          <w:p>
            <w:pPr>
              <w:pStyle w:val="Normal"/>
              <w:widowControl w:val="false"/>
              <w:jc w:val="center"/>
              <w:rPr>
                <w:sz w:val="22"/>
                <w:szCs w:val="22"/>
              </w:rPr>
            </w:pPr>
            <w:r>
              <w:rPr>
                <w:sz w:val="22"/>
                <w:szCs w:val="22"/>
              </w:rPr>
              <w:t>СП 32.13330.2012</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22"/>
                <w:szCs w:val="22"/>
              </w:rPr>
            </w:pPr>
            <w:r>
              <w:rPr>
                <w:b/>
                <w:sz w:val="20"/>
                <w:szCs w:val="20"/>
              </w:rPr>
              <w:t>13</w:t>
            </w:r>
          </w:p>
        </w:tc>
        <w:tc>
          <w:tcPr>
            <w:tcW w:w="15082" w:type="dxa"/>
            <w:gridSpan w:val="7"/>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b/>
                <w:sz w:val="22"/>
                <w:szCs w:val="22"/>
              </w:rPr>
            </w:pPr>
            <w:r>
              <w:rPr>
                <w:b/>
                <w:sz w:val="22"/>
                <w:szCs w:val="22"/>
              </w:rPr>
              <w:t>Объекты теплоснабжения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13.1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Строительство котельной</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район д. Пучково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УТМ 30 Гкал/ч к</w:t>
            </w:r>
          </w:p>
          <w:p>
            <w:pPr>
              <w:pStyle w:val="Normal"/>
              <w:widowControl w:val="false"/>
              <w:jc w:val="center"/>
              <w:rPr>
                <w:sz w:val="22"/>
                <w:szCs w:val="22"/>
              </w:rPr>
            </w:pPr>
            <w:r>
              <w:rPr>
                <w:sz w:val="22"/>
                <w:szCs w:val="22"/>
              </w:rPr>
              <w:t>2019-2022 гг. с увеличением до 75 Гкал/ч. Установка ГПА (УЭМ 15 МВт) Вид топлива – природный газ</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- 8, рекомендуемая плотность населения - 435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Определяется в соответствии с техническими регламентами на основании проекта</w:t>
            </w:r>
          </w:p>
        </w:tc>
      </w:tr>
      <w:tr>
        <w:trPr>
          <w:trHeight w:val="1435"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13.2</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Строительство котельной</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мкр. Ольговский</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УТМ 30 Гкал/ч к</w:t>
            </w:r>
          </w:p>
          <w:p>
            <w:pPr>
              <w:pStyle w:val="Normal"/>
              <w:widowControl w:val="false"/>
              <w:jc w:val="center"/>
              <w:rPr>
                <w:sz w:val="22"/>
                <w:szCs w:val="22"/>
              </w:rPr>
            </w:pPr>
            <w:r>
              <w:rPr>
                <w:sz w:val="22"/>
                <w:szCs w:val="22"/>
              </w:rPr>
              <w:t>2019-2022 гг. с увеличением до 70 Гкал/ч. Установка ГПА (УЭМ 15 МВт). Вид топлива – природный газ</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Общественно-деловые зоны. Максимальный процент застройки - 50%. Предельное количество этажей - 6,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Определяется в соответствии с техническими регламентами на основании проекта</w:t>
            </w:r>
          </w:p>
        </w:tc>
      </w:tr>
      <w:tr>
        <w:trPr>
          <w:trHeight w:val="2134"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13.3</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Строительство котельной</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мкр. Северный</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УТМ 15 Гкал/ч к</w:t>
            </w:r>
          </w:p>
          <w:p>
            <w:pPr>
              <w:pStyle w:val="Normal"/>
              <w:widowControl w:val="false"/>
              <w:jc w:val="center"/>
              <w:rPr>
                <w:sz w:val="22"/>
                <w:szCs w:val="22"/>
              </w:rPr>
            </w:pPr>
            <w:r>
              <w:rPr>
                <w:sz w:val="22"/>
                <w:szCs w:val="22"/>
              </w:rPr>
              <w:t>2018 г. Установка ГПА (УЭМ 3 МВт). Переключение потребителей котельных «Дорожная, 6а», «Тепличная, 22», «Новая, 41», «Нижняя</w:t>
            </w:r>
          </w:p>
          <w:p>
            <w:pPr>
              <w:pStyle w:val="Normal"/>
              <w:widowControl w:val="false"/>
              <w:jc w:val="center"/>
              <w:rPr>
                <w:sz w:val="22"/>
                <w:szCs w:val="22"/>
              </w:rPr>
            </w:pPr>
            <w:r>
              <w:rPr>
                <w:sz w:val="22"/>
                <w:szCs w:val="22"/>
              </w:rPr>
              <w:t>Усадебная, 2» Вид топлива – природный газ</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- 8, рекомендуемая плотность населения - 435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Определяется в соответствии с техническими регламентами на основании проекта</w:t>
            </w:r>
          </w:p>
        </w:tc>
      </w:tr>
      <w:tr>
        <w:trPr>
          <w:trHeight w:val="950"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13.4</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Строительство сетей теплоснабжения</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Протяженностью – 28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Определяется в соответствии с техническими регламентами на основании проекта</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22"/>
                <w:szCs w:val="22"/>
              </w:rPr>
            </w:pPr>
            <w:r>
              <w:rPr>
                <w:b/>
                <w:sz w:val="20"/>
                <w:szCs w:val="20"/>
              </w:rPr>
              <w:t>14</w:t>
            </w:r>
          </w:p>
        </w:tc>
        <w:tc>
          <w:tcPr>
            <w:tcW w:w="15082" w:type="dxa"/>
            <w:gridSpan w:val="7"/>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b/>
                <w:sz w:val="22"/>
                <w:szCs w:val="22"/>
              </w:rPr>
            </w:pPr>
            <w:r>
              <w:rPr>
                <w:b/>
                <w:sz w:val="22"/>
                <w:szCs w:val="22"/>
                <w:lang w:eastAsia="en-US"/>
              </w:rPr>
              <w:t>Объекты газоснабжения</w:t>
            </w:r>
          </w:p>
        </w:tc>
      </w:tr>
      <w:tr>
        <w:trPr>
          <w:trHeight w:val="285"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14.1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межпоселкового газопровода до д. Макаровка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Макаровка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Газопровод распределительный высокого давления. Протяженностью - 0,8 км тип расположения -  подземный</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en-US"/>
              </w:rPr>
            </w:pPr>
            <w:r>
              <w:rPr>
                <w:sz w:val="22"/>
                <w:szCs w:val="22"/>
                <w:lang w:eastAsia="en-US"/>
              </w:rPr>
              <w:t xml:space="preserve">Определяется в соответствии с </w:t>
            </w:r>
            <w:r>
              <w:rPr>
                <w:lang w:eastAsia="en-US"/>
              </w:rPr>
              <w:t>правилами охраны газораспредели-тельных сетей</w:t>
            </w:r>
          </w:p>
        </w:tc>
      </w:tr>
      <w:tr>
        <w:trPr>
          <w:trHeight w:val="664"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14.2</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газорегуляторного пункта в д. Макаровка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Макаровка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Газорегуляторный пункт наземного расположения</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- 60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r>
          </w:p>
        </w:tc>
      </w:tr>
      <w:tr>
        <w:trPr>
          <w:trHeight w:val="968"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14.3</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межпоселкового газопровода до</w:t>
            </w:r>
          </w:p>
          <w:p>
            <w:pPr>
              <w:pStyle w:val="Normal"/>
              <w:widowControl w:val="false"/>
              <w:rPr>
                <w:sz w:val="22"/>
                <w:szCs w:val="22"/>
              </w:rPr>
            </w:pPr>
            <w:r>
              <w:rPr>
                <w:sz w:val="22"/>
                <w:szCs w:val="22"/>
              </w:rPr>
              <w:t>д. Переселенец</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Переселенец</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Газопровод распределительный высокого давления. Протяженностью - 2 км тип расположения -  подземный</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en-US"/>
              </w:rPr>
            </w:pPr>
            <w:r>
              <w:rPr>
                <w:sz w:val="22"/>
                <w:szCs w:val="22"/>
                <w:lang w:eastAsia="en-US"/>
              </w:rPr>
            </w:r>
          </w:p>
        </w:tc>
      </w:tr>
      <w:tr>
        <w:trPr>
          <w:trHeight w:val="1118"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14.4</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газорегуляторного пункта в д. Переселенец</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Переселенец</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Газорегуляторный пункт наземного расположения</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- 60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Расчетный срок</w:t>
            </w:r>
          </w:p>
        </w:tc>
        <w:tc>
          <w:tcPr>
            <w:tcW w:w="2130"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rPr>
              <w:t>Размеры охранных зон и зон минимальных расстояний устанавливаются в соответствии с пунктом 7 Правил охраны газораспредели-тельных сетей, утвержденных постановлением Правительства Российской Федерации от 20 ноября 2000 г. № 878 «Об утверждении Правил охраны газораспредели-тельных сетей» (в ред. постановлений Правительства РФ от</w:t>
            </w:r>
            <w:r>
              <w:rPr>
                <w:sz w:val="22"/>
                <w:szCs w:val="22"/>
                <w:lang w:eastAsia="en-US"/>
              </w:rPr>
              <w:t xml:space="preserve"> 22.12.2011, от 17.05.2016 </w:t>
            </w:r>
            <w:hyperlink r:id="rId12">
              <w:r>
                <w:rPr>
                  <w:sz w:val="22"/>
                  <w:szCs w:val="22"/>
                  <w:lang w:eastAsia="en-US"/>
                </w:rPr>
                <w:t>№ 444</w:t>
              </w:r>
            </w:hyperlink>
            <w:r>
              <w:rPr>
                <w:sz w:val="22"/>
                <w:szCs w:val="22"/>
                <w:lang w:eastAsia="en-US"/>
              </w:rPr>
              <w:t>)</w:t>
            </w:r>
          </w:p>
        </w:tc>
      </w:tr>
      <w:tr>
        <w:trPr>
          <w:trHeight w:val="1118"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14.5</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lang w:eastAsia="en-US"/>
              </w:rPr>
            </w:pPr>
            <w:r>
              <w:rPr>
                <w:sz w:val="22"/>
                <w:szCs w:val="22"/>
              </w:rPr>
              <w:t>Строительство внутрипоселкового газопровода «Уличные газопроводы</w:t>
            </w:r>
          </w:p>
          <w:p>
            <w:pPr>
              <w:pStyle w:val="Normal"/>
              <w:widowControl w:val="false"/>
              <w:rPr>
                <w:sz w:val="22"/>
                <w:szCs w:val="22"/>
                <w:lang w:eastAsia="en-US"/>
              </w:rPr>
            </w:pPr>
            <w:r>
              <w:rPr>
                <w:sz w:val="22"/>
                <w:szCs w:val="22"/>
              </w:rPr>
              <w:t>д. Николо-Лапиносово города Калуги»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en-US"/>
              </w:rPr>
            </w:pPr>
            <w:r>
              <w:rPr>
                <w:sz w:val="22"/>
                <w:szCs w:val="22"/>
                <w:lang w:eastAsia="en-US"/>
              </w:rPr>
              <w:t xml:space="preserve">городской округ город Калуга Калужской области, </w:t>
            </w:r>
            <w:r>
              <w:rPr>
                <w:sz w:val="22"/>
                <w:szCs w:val="22"/>
              </w:rPr>
              <w:t>д. Николо-Лапиносово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Газопровод распределительный низкого давления. Протяженность – 1,0 км</w:t>
            </w:r>
          </w:p>
          <w:p>
            <w:pPr>
              <w:pStyle w:val="Normal"/>
              <w:widowControl w:val="false"/>
              <w:jc w:val="center"/>
              <w:rPr>
                <w:sz w:val="22"/>
                <w:szCs w:val="22"/>
              </w:rPr>
            </w:pPr>
            <w:r>
              <w:rPr>
                <w:sz w:val="22"/>
                <w:szCs w:val="22"/>
              </w:rPr>
              <w:t>тип расположения -  подземный</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lang w:eastAsia="en-US"/>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en-US"/>
              </w:rPr>
            </w:pPr>
            <w:r>
              <w:rPr>
                <w:sz w:val="22"/>
                <w:szCs w:val="22"/>
                <w:lang w:eastAsia="en-US"/>
              </w:rPr>
              <w:t>Первая очередь (2035)</w:t>
            </w:r>
          </w:p>
        </w:tc>
        <w:tc>
          <w:tcPr>
            <w:tcW w:w="2130"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en-US"/>
              </w:rPr>
            </w:pPr>
            <w:r>
              <w:rPr>
                <w:sz w:val="22"/>
                <w:szCs w:val="22"/>
                <w:lang w:eastAsia="en-US"/>
              </w:rPr>
            </w:r>
          </w:p>
        </w:tc>
      </w:tr>
      <w:tr>
        <w:trPr>
          <w:trHeight w:val="1118"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14.6</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lang w:eastAsia="en-US"/>
              </w:rPr>
            </w:pPr>
            <w:r>
              <w:rPr>
                <w:sz w:val="22"/>
                <w:szCs w:val="22"/>
                <w:lang w:eastAsia="en-US"/>
              </w:rPr>
              <w:t>Строительство внутрипоселкового</w:t>
            </w:r>
          </w:p>
          <w:p>
            <w:pPr>
              <w:pStyle w:val="Normal"/>
              <w:widowControl w:val="false"/>
              <w:rPr>
                <w:sz w:val="22"/>
                <w:szCs w:val="22"/>
                <w:lang w:eastAsia="en-US"/>
              </w:rPr>
            </w:pPr>
            <w:r>
              <w:rPr>
                <w:sz w:val="22"/>
                <w:szCs w:val="22"/>
                <w:lang w:eastAsia="en-US"/>
              </w:rPr>
              <w:t>газопровода «Уличные газопроводы д. Аргуново г. Калуги»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en-US"/>
              </w:rPr>
            </w:pPr>
            <w:r>
              <w:rPr>
                <w:sz w:val="22"/>
                <w:szCs w:val="22"/>
                <w:lang w:eastAsia="en-US"/>
              </w:rPr>
              <w:t xml:space="preserve">городской округ город Калуга Калужской области, </w:t>
            </w:r>
            <w:r>
              <w:rPr>
                <w:sz w:val="22"/>
                <w:szCs w:val="22"/>
              </w:rPr>
              <w:t>д. Аргуново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Газопровод распределительный высокого давления. Протяженность – 11,0 км</w:t>
            </w:r>
          </w:p>
          <w:p>
            <w:pPr>
              <w:pStyle w:val="Normal"/>
              <w:widowControl w:val="false"/>
              <w:jc w:val="center"/>
              <w:rPr>
                <w:sz w:val="22"/>
                <w:szCs w:val="22"/>
              </w:rPr>
            </w:pPr>
            <w:r>
              <w:rPr>
                <w:sz w:val="22"/>
                <w:szCs w:val="22"/>
              </w:rPr>
              <w:t>тип расположения -  подземный</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lang w:eastAsia="en-US"/>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en-US"/>
              </w:rPr>
            </w:pPr>
            <w:r>
              <w:rPr>
                <w:sz w:val="22"/>
                <w:szCs w:val="22"/>
                <w:lang w:eastAsia="en-US"/>
              </w:rPr>
              <w:t>Первая очередь (2027)</w:t>
            </w:r>
          </w:p>
        </w:tc>
        <w:tc>
          <w:tcPr>
            <w:tcW w:w="2130"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en-US"/>
              </w:rPr>
            </w:pPr>
            <w:r>
              <w:rPr>
                <w:sz w:val="22"/>
                <w:szCs w:val="22"/>
                <w:lang w:eastAsia="en-US"/>
              </w:rPr>
            </w:r>
          </w:p>
        </w:tc>
      </w:tr>
      <w:tr>
        <w:trPr>
          <w:trHeight w:val="1118"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14.7</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lang w:eastAsia="en-US"/>
              </w:rPr>
            </w:pPr>
            <w:r>
              <w:rPr>
                <w:sz w:val="22"/>
                <w:szCs w:val="22"/>
                <w:lang w:eastAsia="en-US"/>
              </w:rPr>
              <w:t>Строительство внутрипоселкового газопровода «Уличные газопроводы с. Рожки г. Калуги»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en-US"/>
              </w:rPr>
            </w:pPr>
            <w:r>
              <w:rPr>
                <w:sz w:val="22"/>
                <w:szCs w:val="22"/>
                <w:lang w:eastAsia="en-US"/>
              </w:rPr>
              <w:t xml:space="preserve">городской округ город Калуга Калужской области, </w:t>
            </w:r>
            <w:r>
              <w:rPr>
                <w:sz w:val="22"/>
                <w:szCs w:val="22"/>
              </w:rPr>
              <w:t>д. Рожки</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Газопровод распределительный низкого давления. Протяженность – 0,7 км</w:t>
            </w:r>
          </w:p>
          <w:p>
            <w:pPr>
              <w:pStyle w:val="Normal"/>
              <w:widowControl w:val="false"/>
              <w:jc w:val="center"/>
              <w:rPr>
                <w:sz w:val="22"/>
                <w:szCs w:val="22"/>
              </w:rPr>
            </w:pPr>
            <w:r>
              <w:rPr>
                <w:sz w:val="22"/>
                <w:szCs w:val="22"/>
              </w:rPr>
              <w:t>тип расположения -  подземный</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lang w:eastAsia="en-US"/>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en-US"/>
              </w:rPr>
            </w:pPr>
            <w:r>
              <w:rPr>
                <w:sz w:val="22"/>
                <w:szCs w:val="22"/>
                <w:lang w:eastAsia="en-US"/>
              </w:rPr>
              <w:t>Первая очередь (2027)</w:t>
            </w:r>
          </w:p>
        </w:tc>
        <w:tc>
          <w:tcPr>
            <w:tcW w:w="2130"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en-US"/>
              </w:rPr>
            </w:pPr>
            <w:r>
              <w:rPr>
                <w:sz w:val="22"/>
                <w:szCs w:val="22"/>
                <w:lang w:eastAsia="en-US"/>
              </w:rPr>
            </w:r>
          </w:p>
        </w:tc>
      </w:tr>
      <w:tr>
        <w:trPr>
          <w:trHeight w:val="1118"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14.8</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lang w:eastAsia="en-US"/>
              </w:rPr>
            </w:pPr>
            <w:r>
              <w:rPr>
                <w:sz w:val="22"/>
                <w:szCs w:val="22"/>
                <w:lang w:eastAsia="en-US"/>
              </w:rPr>
              <w:t>Строительство внутрипоселкового газопровода «Уличные</w:t>
            </w:r>
          </w:p>
          <w:p>
            <w:pPr>
              <w:pStyle w:val="Normal"/>
              <w:widowControl w:val="false"/>
              <w:rPr>
                <w:sz w:val="22"/>
                <w:szCs w:val="22"/>
                <w:lang w:eastAsia="en-US"/>
              </w:rPr>
            </w:pPr>
            <w:r>
              <w:rPr>
                <w:sz w:val="22"/>
                <w:szCs w:val="22"/>
                <w:lang w:eastAsia="en-US"/>
              </w:rPr>
              <w:t>газопроводы д. Новоселки г. Калуги»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en-US"/>
              </w:rPr>
            </w:pPr>
            <w:r>
              <w:rPr>
                <w:sz w:val="22"/>
                <w:szCs w:val="22"/>
                <w:lang w:eastAsia="en-US"/>
              </w:rPr>
              <w:t xml:space="preserve">городской округ город Калуга Калужской области, </w:t>
            </w:r>
            <w:r>
              <w:rPr>
                <w:sz w:val="22"/>
                <w:szCs w:val="22"/>
              </w:rPr>
              <w:t>д. Новоселки</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Газопровод распределительный низкого давления. Протяженность – 2,0 км</w:t>
            </w:r>
          </w:p>
          <w:p>
            <w:pPr>
              <w:pStyle w:val="Normal"/>
              <w:widowControl w:val="false"/>
              <w:jc w:val="center"/>
              <w:rPr>
                <w:sz w:val="22"/>
                <w:szCs w:val="22"/>
              </w:rPr>
            </w:pPr>
            <w:r>
              <w:rPr>
                <w:sz w:val="22"/>
                <w:szCs w:val="22"/>
              </w:rPr>
              <w:t>тип расположения -  подземный</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lang w:eastAsia="en-US"/>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en-US"/>
              </w:rPr>
            </w:pPr>
            <w:r>
              <w:rPr>
                <w:sz w:val="22"/>
                <w:szCs w:val="22"/>
                <w:lang w:eastAsia="en-US"/>
              </w:rPr>
              <w:t>Первая очередь (2027)</w:t>
            </w:r>
          </w:p>
        </w:tc>
        <w:tc>
          <w:tcPr>
            <w:tcW w:w="2130"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en-US"/>
              </w:rPr>
            </w:pPr>
            <w:r>
              <w:rPr>
                <w:sz w:val="22"/>
                <w:szCs w:val="22"/>
                <w:lang w:eastAsia="en-US"/>
              </w:rPr>
            </w:r>
          </w:p>
        </w:tc>
      </w:tr>
      <w:tr>
        <w:trPr>
          <w:trHeight w:val="1118"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14.9</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lang w:eastAsia="en-US"/>
              </w:rPr>
            </w:pPr>
            <w:r>
              <w:rPr>
                <w:sz w:val="22"/>
                <w:szCs w:val="22"/>
                <w:lang w:eastAsia="en-US"/>
              </w:rPr>
              <w:t>Строительство внутрипоселкового газопровода «Уличные</w:t>
            </w:r>
          </w:p>
          <w:p>
            <w:pPr>
              <w:pStyle w:val="Normal"/>
              <w:widowControl w:val="false"/>
              <w:rPr>
                <w:sz w:val="22"/>
                <w:szCs w:val="22"/>
                <w:lang w:eastAsia="en-US"/>
              </w:rPr>
            </w:pPr>
            <w:r>
              <w:rPr>
                <w:sz w:val="22"/>
                <w:szCs w:val="22"/>
                <w:lang w:eastAsia="en-US"/>
              </w:rPr>
              <w:t>газопроводы д. Марьино г. Калуги»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en-US"/>
              </w:rPr>
            </w:pPr>
            <w:r>
              <w:rPr>
                <w:sz w:val="22"/>
                <w:szCs w:val="22"/>
                <w:lang w:eastAsia="en-US"/>
              </w:rPr>
              <w:t xml:space="preserve">городской округ город Калуга Калужской области, </w:t>
            </w:r>
            <w:r>
              <w:rPr>
                <w:sz w:val="22"/>
                <w:szCs w:val="22"/>
              </w:rPr>
              <w:t>д. Марьино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Газопровод распределительный низкого давления. Протяженность – 5,3 км</w:t>
            </w:r>
          </w:p>
          <w:p>
            <w:pPr>
              <w:pStyle w:val="Normal"/>
              <w:widowControl w:val="false"/>
              <w:jc w:val="center"/>
              <w:rPr>
                <w:sz w:val="22"/>
                <w:szCs w:val="22"/>
              </w:rPr>
            </w:pPr>
            <w:r>
              <w:rPr>
                <w:sz w:val="22"/>
                <w:szCs w:val="22"/>
              </w:rPr>
              <w:t>тип расположения -  подземный</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lang w:eastAsia="en-US"/>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en-US"/>
              </w:rPr>
            </w:pPr>
            <w:r>
              <w:rPr>
                <w:sz w:val="22"/>
                <w:szCs w:val="22"/>
                <w:lang w:eastAsia="en-US"/>
              </w:rPr>
              <w:t>Первая очередь (2027)</w:t>
            </w:r>
          </w:p>
        </w:tc>
        <w:tc>
          <w:tcPr>
            <w:tcW w:w="2130"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en-US"/>
              </w:rPr>
            </w:pPr>
            <w:r>
              <w:rPr>
                <w:sz w:val="22"/>
                <w:szCs w:val="22"/>
                <w:lang w:eastAsia="en-US"/>
              </w:rPr>
            </w:r>
          </w:p>
        </w:tc>
      </w:tr>
      <w:tr>
        <w:trPr>
          <w:trHeight w:val="1118"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14.10</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lang w:eastAsia="en-US"/>
              </w:rPr>
            </w:pPr>
            <w:r>
              <w:rPr>
                <w:sz w:val="22"/>
                <w:szCs w:val="22"/>
                <w:lang w:eastAsia="en-US"/>
              </w:rPr>
              <w:t>Строительство внутрипоселкового газопровода «Распределительный газопровод высокого и низкого давления</w:t>
            </w:r>
          </w:p>
          <w:p>
            <w:pPr>
              <w:pStyle w:val="Normal"/>
              <w:widowControl w:val="false"/>
              <w:rPr>
                <w:sz w:val="22"/>
                <w:szCs w:val="22"/>
                <w:lang w:eastAsia="en-US"/>
              </w:rPr>
            </w:pPr>
            <w:r>
              <w:rPr>
                <w:sz w:val="22"/>
                <w:szCs w:val="22"/>
                <w:lang w:eastAsia="en-US"/>
              </w:rPr>
              <w:t>д. Горенское, г. Калуга»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en-US"/>
              </w:rPr>
            </w:pPr>
            <w:r>
              <w:rPr>
                <w:sz w:val="22"/>
                <w:szCs w:val="22"/>
                <w:lang w:eastAsia="en-US"/>
              </w:rPr>
              <w:t>городской округ город Калуга Калужской области, д. Горенское</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en-US"/>
              </w:rPr>
            </w:pPr>
            <w:r>
              <w:rPr>
                <w:sz w:val="22"/>
                <w:szCs w:val="22"/>
              </w:rPr>
              <w:t xml:space="preserve">Газопровод распределительный низкого давления. </w:t>
            </w:r>
            <w:r>
              <w:rPr>
                <w:sz w:val="22"/>
                <w:szCs w:val="22"/>
                <w:lang w:eastAsia="en-US"/>
              </w:rPr>
              <w:t>Протяженность – 3,0 км</w:t>
            </w:r>
          </w:p>
          <w:p>
            <w:pPr>
              <w:pStyle w:val="Normal"/>
              <w:widowControl w:val="false"/>
              <w:jc w:val="center"/>
              <w:rPr>
                <w:sz w:val="22"/>
                <w:szCs w:val="22"/>
                <w:lang w:eastAsia="en-US"/>
              </w:rPr>
            </w:pPr>
            <w:r>
              <w:rPr>
                <w:sz w:val="22"/>
                <w:szCs w:val="22"/>
              </w:rPr>
              <w:t>тип расположения -  подземный</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lang w:eastAsia="en-US"/>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en-US"/>
              </w:rPr>
            </w:pPr>
            <w:r>
              <w:rPr>
                <w:sz w:val="22"/>
                <w:szCs w:val="22"/>
                <w:lang w:eastAsia="en-US"/>
              </w:rPr>
              <w:t>Первая очередь (2035)</w:t>
            </w:r>
          </w:p>
        </w:tc>
        <w:tc>
          <w:tcPr>
            <w:tcW w:w="2130"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en-US"/>
              </w:rPr>
            </w:pPr>
            <w:r>
              <w:rPr>
                <w:sz w:val="22"/>
                <w:szCs w:val="22"/>
                <w:lang w:eastAsia="en-US"/>
              </w:rPr>
              <w:t>Определяется в соответствии с правилами охраны газораспредели-тельных сетей</w:t>
            </w:r>
          </w:p>
        </w:tc>
      </w:tr>
      <w:tr>
        <w:trPr>
          <w:trHeight w:val="1118"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14.11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lang w:eastAsia="en-US"/>
              </w:rPr>
            </w:pPr>
            <w:r>
              <w:rPr>
                <w:sz w:val="22"/>
                <w:szCs w:val="22"/>
                <w:lang w:eastAsia="en-US"/>
              </w:rPr>
              <w:t>Установка ГРПШ</w:t>
            </w:r>
          </w:p>
          <w:p>
            <w:pPr>
              <w:pStyle w:val="Normal"/>
              <w:widowControl w:val="false"/>
              <w:rPr>
                <w:sz w:val="22"/>
                <w:szCs w:val="22"/>
                <w:lang w:eastAsia="en-US"/>
              </w:rPr>
            </w:pPr>
            <w:r>
              <w:rPr>
                <w:sz w:val="22"/>
                <w:szCs w:val="22"/>
                <w:lang w:eastAsia="en-US"/>
              </w:rPr>
              <w:t>д. Горенское,</w:t>
            </w:r>
          </w:p>
          <w:p>
            <w:pPr>
              <w:pStyle w:val="Normal"/>
              <w:widowControl w:val="false"/>
              <w:rPr>
                <w:sz w:val="22"/>
                <w:szCs w:val="22"/>
                <w:lang w:eastAsia="en-US"/>
              </w:rPr>
            </w:pPr>
            <w:r>
              <w:rPr>
                <w:sz w:val="22"/>
                <w:szCs w:val="22"/>
                <w:lang w:eastAsia="en-US"/>
              </w:rPr>
              <w:t>г. Калуга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en-US"/>
              </w:rPr>
            </w:pPr>
            <w:r>
              <w:rPr>
                <w:sz w:val="22"/>
                <w:szCs w:val="22"/>
                <w:lang w:eastAsia="en-US"/>
              </w:rPr>
              <w:t>городской округ город Калуга Калужской</w:t>
            </w:r>
          </w:p>
          <w:p>
            <w:pPr>
              <w:pStyle w:val="Normal"/>
              <w:widowControl w:val="false"/>
              <w:jc w:val="center"/>
              <w:rPr>
                <w:sz w:val="22"/>
                <w:szCs w:val="22"/>
                <w:lang w:eastAsia="en-US"/>
              </w:rPr>
            </w:pPr>
            <w:r>
              <w:rPr>
                <w:sz w:val="22"/>
                <w:szCs w:val="22"/>
                <w:lang w:eastAsia="en-US"/>
              </w:rPr>
              <w:t>области, д. Горенское</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en-US"/>
              </w:rPr>
            </w:pPr>
            <w:r>
              <w:rPr>
                <w:sz w:val="22"/>
                <w:szCs w:val="22"/>
              </w:rPr>
              <w:t>Газорегуляторный пункт наземного расположения</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- 60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en-US"/>
              </w:rPr>
            </w:pPr>
            <w:r>
              <w:rPr>
                <w:sz w:val="22"/>
                <w:szCs w:val="22"/>
                <w:lang w:eastAsia="en-US"/>
              </w:rPr>
            </w:r>
          </w:p>
        </w:tc>
        <w:tc>
          <w:tcPr>
            <w:tcW w:w="2130"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en-US"/>
              </w:rPr>
            </w:pPr>
            <w:r>
              <w:rPr>
                <w:sz w:val="22"/>
                <w:szCs w:val="22"/>
                <w:lang w:eastAsia="en-US"/>
              </w:rPr>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22"/>
                <w:szCs w:val="22"/>
              </w:rPr>
            </w:pPr>
            <w:r>
              <w:rPr>
                <w:b/>
                <w:sz w:val="20"/>
                <w:szCs w:val="20"/>
              </w:rPr>
              <w:t>15</w:t>
            </w:r>
          </w:p>
        </w:tc>
        <w:tc>
          <w:tcPr>
            <w:tcW w:w="15082" w:type="dxa"/>
            <w:gridSpan w:val="7"/>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b/>
                <w:sz w:val="22"/>
                <w:szCs w:val="22"/>
              </w:rPr>
            </w:pPr>
            <w:r>
              <w:rPr>
                <w:b/>
                <w:sz w:val="22"/>
                <w:szCs w:val="22"/>
              </w:rPr>
              <w:t>Объекты связи</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15.1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автоматической телефонной станции (АТС)</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район д. Некрасово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Мощностью</w:t>
            </w:r>
          </w:p>
          <w:p>
            <w:pPr>
              <w:pStyle w:val="Normal"/>
              <w:widowControl w:val="false"/>
              <w:jc w:val="center"/>
              <w:rPr>
                <w:sz w:val="22"/>
                <w:szCs w:val="22"/>
              </w:rPr>
            </w:pPr>
            <w:r>
              <w:rPr>
                <w:sz w:val="22"/>
                <w:szCs w:val="22"/>
              </w:rPr>
              <w:t>11 тыс. номеров</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- 8, рекомендуемая плотность населения - 435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Определяется в соответствии с техническими регламентами на основании проекта</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15.2</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автоматическая телефонная станция (АТС)</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мкр. Байконур</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Мощностью</w:t>
            </w:r>
          </w:p>
          <w:p>
            <w:pPr>
              <w:pStyle w:val="Normal"/>
              <w:widowControl w:val="false"/>
              <w:jc w:val="center"/>
              <w:rPr>
                <w:sz w:val="22"/>
                <w:szCs w:val="22"/>
              </w:rPr>
            </w:pPr>
            <w:r>
              <w:rPr>
                <w:sz w:val="22"/>
                <w:szCs w:val="22"/>
              </w:rPr>
              <w:t>12 тыс. номеров</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Общественно-деловые зоны. Максимальный процент застройки - 50%. Предельное количество этажей - 8,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Определяется в соответствии с техническими регламентами на основании проекта</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15.3</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автоматическая телефонная станция (АТС) г. Калуга,</w:t>
            </w:r>
          </w:p>
          <w:p>
            <w:pPr>
              <w:pStyle w:val="Normal"/>
              <w:widowControl w:val="false"/>
              <w:rPr>
                <w:sz w:val="22"/>
                <w:szCs w:val="22"/>
              </w:rPr>
            </w:pPr>
            <w:r>
              <w:rPr>
                <w:sz w:val="22"/>
                <w:szCs w:val="22"/>
              </w:rPr>
              <w:t>мкр. Кошелев, мощностью 16 тыс. номеров.</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мкр. Кошелев</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Мощностью</w:t>
            </w:r>
          </w:p>
          <w:p>
            <w:pPr>
              <w:pStyle w:val="Normal"/>
              <w:widowControl w:val="false"/>
              <w:jc w:val="center"/>
              <w:rPr>
                <w:sz w:val="22"/>
                <w:szCs w:val="22"/>
              </w:rPr>
            </w:pPr>
            <w:r>
              <w:rPr>
                <w:sz w:val="22"/>
                <w:szCs w:val="22"/>
              </w:rPr>
              <w:t>16 тыс. номеров</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Зона общественно-делового и многофункционального назначения. Максимальный процент застройки - 50%. Предельное количество этажей - 6, рекомендуемая плотность населения - 280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Определяется в соответствии с техническими регламентами на основании проекта</w:t>
            </w:r>
          </w:p>
        </w:tc>
      </w:tr>
      <w:tr>
        <w:trPr>
          <w:trHeight w:val="1871"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15.4</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Вышка сотовой связи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мкр. Секиотово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Антенно-мачтовое сооружение</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Производственные зоны, зоны инженерной и транспортной инфраструктур. Максимальный процент застройки - 50%. Предельное количество этажей - 5,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Определяется в соответствии с техническими регламентами на основании проекта</w:t>
            </w:r>
          </w:p>
        </w:tc>
      </w:tr>
      <w:tr>
        <w:trPr>
          <w:trHeight w:val="1871"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15.5</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Вышка сотовой связи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мкр. Силикатный</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Антенно-мачтовое сооружение</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Производственные зоны, зоны инженерной и транспортной инфраструктур. Максимальный процент застройки - 50%. Предельное количество этажей - 5,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Определяется в соответствии с техническими регламентами на основании проекта</w:t>
            </w:r>
          </w:p>
        </w:tc>
      </w:tr>
      <w:tr>
        <w:trPr>
          <w:trHeight w:val="1871"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15.6</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Вышка сотовой связи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в районе СНТ «Водник»</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Антенно-мачтовое сооружение</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Производственные зоны, зоны инженерной и транспортной инфраструктур. Максимальный процент застройки - 50%. Предельное количество этажей - 5,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Определяется в соответствии с техническими регламентами на основании проекта</w:t>
            </w:r>
          </w:p>
        </w:tc>
      </w:tr>
      <w:tr>
        <w:trPr>
          <w:trHeight w:val="1871"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15.7</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Вышка сотовой связи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по ул. Литвиновская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Антенно-мачтовое сооружение</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Производственные зоны, зоны инженерной и транспортной инфраструктур. Максимальный процент застройки - 50%. Предельное количество этажей - 5,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Определяется в соответствии с техническими регламентами на основании проекта</w:t>
            </w:r>
          </w:p>
        </w:tc>
      </w:tr>
      <w:tr>
        <w:trPr>
          <w:trHeight w:val="1627"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0"/>
                <w:szCs w:val="20"/>
              </w:rPr>
              <w:t>15.8</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Вышка сотовой связи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с. Муратовского щебзавода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Антенно-мачтовое сооружение</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Общественно-деловые зоны. Максимальный процент застройки - 50%. Предельное количество этажей - 8,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Определяется в соответствии с техническими регламентами на основании проекта</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22"/>
                <w:szCs w:val="22"/>
              </w:rPr>
            </w:pPr>
            <w:r>
              <w:rPr>
                <w:b/>
                <w:sz w:val="20"/>
                <w:szCs w:val="20"/>
              </w:rPr>
              <w:t>16</w:t>
            </w:r>
          </w:p>
        </w:tc>
        <w:tc>
          <w:tcPr>
            <w:tcW w:w="15082" w:type="dxa"/>
            <w:gridSpan w:val="7"/>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b/>
                <w:sz w:val="22"/>
                <w:szCs w:val="22"/>
                <w:lang w:eastAsia="en-US"/>
              </w:rPr>
            </w:pPr>
            <w:r>
              <w:rPr>
                <w:b/>
                <w:sz w:val="22"/>
                <w:szCs w:val="22"/>
                <w:lang w:eastAsia="en-US"/>
              </w:rPr>
              <w:t>Объекты обеспечения пожарной безопасности</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Размещение площадки для разворота пожарной техники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пер. Богородицкий, д. 16</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Разворотная площадка размером 15х15 с усовершенствованным покрытием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16.2</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Размещение площадки для разворота пожарной техники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пер. Богородицкий, д. 14</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Разворотная площадка размером 15х15 с усовершенствованным покрытием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16.3</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Размещение источника наружного противопожарного водоснабжения от отдельно стоящих объектов</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ул. Медовая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Устройство источников наружного противопожарного водоснабжения:</w:t>
            </w:r>
          </w:p>
          <w:p>
            <w:pPr>
              <w:pStyle w:val="Normal"/>
              <w:widowControl w:val="false"/>
              <w:jc w:val="center"/>
              <w:rPr>
                <w:sz w:val="22"/>
                <w:szCs w:val="22"/>
              </w:rPr>
            </w:pPr>
            <w:r>
              <w:rPr>
                <w:sz w:val="22"/>
                <w:szCs w:val="22"/>
              </w:rPr>
              <w:t>устройство пожарных гидрантов на водоводах</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16.4</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Размещение источника наружного противопожарного водоснабжения от отдельно стоящих объектов</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Одоевское щоссе</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Устройство источников наружного противопожарного водоснабжения:</w:t>
            </w:r>
          </w:p>
          <w:p>
            <w:pPr>
              <w:pStyle w:val="Normal"/>
              <w:widowControl w:val="false"/>
              <w:jc w:val="center"/>
              <w:rPr>
                <w:sz w:val="22"/>
                <w:szCs w:val="22"/>
              </w:rPr>
            </w:pPr>
            <w:r>
              <w:rPr>
                <w:sz w:val="22"/>
                <w:szCs w:val="22"/>
              </w:rPr>
              <w:t>устройство пожарных гидрантов на водоводах</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16.5</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дороги к объектам на земельных участках в районе Одоевского шоссе с кадастровыми номерами 40:25:000200:437-474</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Одоевское щоссе</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Протяженностью – 1,8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16.6</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Размещение площадки для разворота пожарной техники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ул. Медовая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Разворотная площадка размером 15х15 с усовершенствованным покрытием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16.7</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Размещение источника наружного противопожарного водоснабжения от отдельно стоящих объектов</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ул. Хуторская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Устройство источников наружного противопожарного водоснабжения:</w:t>
            </w:r>
          </w:p>
          <w:p>
            <w:pPr>
              <w:pStyle w:val="Normal"/>
              <w:widowControl w:val="false"/>
              <w:jc w:val="center"/>
              <w:rPr>
                <w:sz w:val="22"/>
                <w:szCs w:val="22"/>
              </w:rPr>
            </w:pPr>
            <w:r>
              <w:rPr>
                <w:sz w:val="22"/>
                <w:szCs w:val="22"/>
              </w:rPr>
              <w:t>устройство пожарных гидрантов на водоводах</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16.8</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Размещение площадки для разворота пожарной техники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ул. Хуторская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Разворотная площадка размером 15х15 с усовершенствованным покрытием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16.9</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Размещение источника наружного противопожарного водоснабжения для целей пожаротушения</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Заречье</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Устройство источников наружного противопожарного водоснабжения:</w:t>
            </w:r>
          </w:p>
          <w:p>
            <w:pPr>
              <w:pStyle w:val="Normal"/>
              <w:widowControl w:val="false"/>
              <w:jc w:val="center"/>
              <w:rPr>
                <w:sz w:val="22"/>
                <w:szCs w:val="22"/>
              </w:rPr>
            </w:pPr>
            <w:r>
              <w:rPr>
                <w:sz w:val="22"/>
                <w:szCs w:val="22"/>
              </w:rPr>
              <w:t>- пожарные гидранты на планируемых водоводах;</w:t>
            </w:r>
          </w:p>
          <w:p>
            <w:pPr>
              <w:pStyle w:val="Normal"/>
              <w:widowControl w:val="false"/>
              <w:jc w:val="center"/>
              <w:rPr>
                <w:sz w:val="22"/>
                <w:szCs w:val="22"/>
              </w:rPr>
            </w:pPr>
            <w:r>
              <w:rPr>
                <w:sz w:val="22"/>
                <w:szCs w:val="22"/>
              </w:rPr>
              <w:t>- пожарный водоисточник</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 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p>
            <w:pPr>
              <w:pStyle w:val="Normal"/>
              <w:widowControl w:val="false"/>
              <w:jc w:val="center"/>
              <w:rPr>
                <w:sz w:val="22"/>
                <w:szCs w:val="22"/>
              </w:rPr>
            </w:pPr>
            <w:r>
              <w:rPr>
                <w:sz w:val="22"/>
                <w:szCs w:val="22"/>
              </w:rPr>
              <w:t>- для водоисточника – зоны рекреационного назначения.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16.10</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дороги к объекту на земельном участке в д. Заречье с кадастровым номером 40:25:000068:1229</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Заречье</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Улица в жилой застройке с усовершенствованным покрытием – 0,4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16.11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Размещение источника наружного противопожарного водоснабжения от отдельно стоящих объектов защиты</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Косарево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Устройство источников наружного противопожарного водоснабжения:</w:t>
            </w:r>
          </w:p>
          <w:p>
            <w:pPr>
              <w:pStyle w:val="Normal"/>
              <w:widowControl w:val="false"/>
              <w:jc w:val="center"/>
              <w:rPr>
                <w:sz w:val="22"/>
                <w:szCs w:val="22"/>
              </w:rPr>
            </w:pPr>
            <w:r>
              <w:rPr>
                <w:sz w:val="22"/>
                <w:szCs w:val="22"/>
              </w:rPr>
              <w:t>- пожарные гидранты на планируемых водоводах;</w:t>
            </w:r>
          </w:p>
          <w:p>
            <w:pPr>
              <w:pStyle w:val="Normal"/>
              <w:widowControl w:val="false"/>
              <w:jc w:val="center"/>
              <w:rPr>
                <w:sz w:val="22"/>
                <w:szCs w:val="22"/>
              </w:rPr>
            </w:pPr>
            <w:r>
              <w:rPr>
                <w:sz w:val="22"/>
                <w:szCs w:val="22"/>
              </w:rPr>
              <w:t>- пожарный водоисточник</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 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p>
            <w:pPr>
              <w:pStyle w:val="Normal"/>
              <w:widowControl w:val="false"/>
              <w:jc w:val="center"/>
              <w:rPr>
                <w:sz w:val="22"/>
                <w:szCs w:val="22"/>
              </w:rPr>
            </w:pPr>
            <w:r>
              <w:rPr>
                <w:sz w:val="22"/>
                <w:szCs w:val="22"/>
              </w:rPr>
              <w:t>- для водоисточника – зоны рекреационного назначения.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16.12</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Размещение источника наружного противопожарного водоснабжения от отдельно стоящих объектов защиты</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Петрово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Устройство источников наружного противопожарного водоснабжения:</w:t>
            </w:r>
          </w:p>
          <w:p>
            <w:pPr>
              <w:pStyle w:val="Normal"/>
              <w:widowControl w:val="false"/>
              <w:jc w:val="center"/>
              <w:rPr>
                <w:sz w:val="22"/>
                <w:szCs w:val="22"/>
              </w:rPr>
            </w:pPr>
            <w:r>
              <w:rPr>
                <w:sz w:val="22"/>
                <w:szCs w:val="22"/>
              </w:rPr>
              <w:t>- пожарные гидранты на планируемых водоводах</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16.13</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дороги к объектам на земельных участках в районе д. Петрово с кадастровыми номерами 40:25:000068:1289-1316</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Петрово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Улица в жилой застройке с усовершенствованным покрытием 0,3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16.14</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Размещение источника наружного противопожарного водоснабжения от отдельно стоящих объектов защиты</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Марьино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Устройство источников наружного противопожарного водоснабжения:</w:t>
            </w:r>
          </w:p>
          <w:p>
            <w:pPr>
              <w:pStyle w:val="Normal"/>
              <w:widowControl w:val="false"/>
              <w:jc w:val="center"/>
              <w:rPr>
                <w:sz w:val="22"/>
                <w:szCs w:val="22"/>
              </w:rPr>
            </w:pPr>
            <w:r>
              <w:rPr>
                <w:sz w:val="22"/>
                <w:szCs w:val="22"/>
              </w:rPr>
              <w:t>- пожарные гидранты на планируемых водоводах</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16.15</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Реконструкция дороги к объекту на земельном участке в д. Марьино с кадастровым номером 40:25:000007:512</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Марьино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Улица в жилой застройке с усовершенствованным покрытием 1,8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16.16</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Реконструкция дороги и улицы</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Макаровка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Улица в жилой застройке с усовершенствованным покрытием 1,5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16.17</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Размещение источника наружного противопожарного водоснабжения от отдельно стоящих объектов защиты</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Лихун (старый)</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Устройство источников наружного противопожарного водоснабжения:</w:t>
            </w:r>
          </w:p>
          <w:p>
            <w:pPr>
              <w:pStyle w:val="Normal"/>
              <w:widowControl w:val="false"/>
              <w:jc w:val="center"/>
              <w:rPr>
                <w:sz w:val="22"/>
                <w:szCs w:val="22"/>
              </w:rPr>
            </w:pPr>
            <w:r>
              <w:rPr>
                <w:sz w:val="22"/>
                <w:szCs w:val="22"/>
              </w:rPr>
              <w:t>- пожарные гидранты на планируемых водоводах</w:t>
            </w:r>
          </w:p>
          <w:p>
            <w:pPr>
              <w:pStyle w:val="Normal"/>
              <w:widowControl w:val="false"/>
              <w:jc w:val="center"/>
              <w:rPr>
                <w:sz w:val="22"/>
                <w:szCs w:val="22"/>
              </w:rPr>
            </w:pPr>
            <w:r>
              <w:rPr>
                <w:sz w:val="22"/>
                <w:szCs w:val="22"/>
              </w:rPr>
              <w:t>- пожарный водоисточник</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 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p>
            <w:pPr>
              <w:pStyle w:val="Normal"/>
              <w:widowControl w:val="false"/>
              <w:jc w:val="center"/>
              <w:rPr>
                <w:sz w:val="22"/>
                <w:szCs w:val="22"/>
              </w:rPr>
            </w:pPr>
            <w:r>
              <w:rPr>
                <w:sz w:val="22"/>
                <w:szCs w:val="22"/>
              </w:rPr>
              <w:t>- для водоисточника – зоны рекреационного назначения.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16.18</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дороги к объектам на земельных участках в районе д.</w:t>
            </w:r>
            <w:r>
              <w:rPr>
                <w:sz w:val="22"/>
                <w:szCs w:val="22"/>
                <w:lang w:val="en-US"/>
              </w:rPr>
              <w:t> </w:t>
            </w:r>
            <w:r>
              <w:rPr>
                <w:sz w:val="22"/>
                <w:szCs w:val="22"/>
              </w:rPr>
              <w:t>Лихун с кадастровыми номерами 40:25:000007:470-1247</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Лихун</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Улица в жилой застройке с усовершенствованным покрытием протяженностью 2,0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16.19</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Размещение источника наружного противопожарного водоснабжения от отдельно стоящих объектов защиты</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Починки</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Устройство источников наружного противопожарного водоснабжения:</w:t>
            </w:r>
          </w:p>
          <w:p>
            <w:pPr>
              <w:pStyle w:val="Normal"/>
              <w:widowControl w:val="false"/>
              <w:jc w:val="center"/>
              <w:rPr>
                <w:sz w:val="22"/>
                <w:szCs w:val="22"/>
              </w:rPr>
            </w:pPr>
            <w:r>
              <w:rPr>
                <w:sz w:val="22"/>
                <w:szCs w:val="22"/>
              </w:rPr>
              <w:t>- пожарные гидранты на водоводах</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 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16.20</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дороги к объектам на земельных участках в районе д.</w:t>
            </w:r>
            <w:r>
              <w:rPr>
                <w:sz w:val="22"/>
                <w:szCs w:val="22"/>
                <w:lang w:val="en-US"/>
              </w:rPr>
              <w:t> </w:t>
            </w:r>
            <w:r>
              <w:rPr>
                <w:sz w:val="22"/>
                <w:szCs w:val="22"/>
              </w:rPr>
              <w:t>Уварово с кадастровыми номерами 40:25:000005:757-1054</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Уварово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Улица в жилой застройке с усовершенствованным покрытием протяженностью 1,5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16.21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Размещение источника наружного противопожарного водоснабжения от отдельно стоящих объектов защиты</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Матюнино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Устройство источников наружного противопожарного водоснабжения:</w:t>
            </w:r>
          </w:p>
          <w:p>
            <w:pPr>
              <w:pStyle w:val="Normal"/>
              <w:widowControl w:val="false"/>
              <w:jc w:val="center"/>
              <w:rPr>
                <w:sz w:val="22"/>
                <w:szCs w:val="22"/>
              </w:rPr>
            </w:pPr>
            <w:r>
              <w:rPr>
                <w:sz w:val="22"/>
                <w:szCs w:val="22"/>
              </w:rPr>
              <w:t>- пожарный водоисточник</w:t>
            </w:r>
          </w:p>
          <w:p>
            <w:pPr>
              <w:pStyle w:val="Normal"/>
              <w:widowControl w:val="false"/>
              <w:jc w:val="center"/>
              <w:rPr>
                <w:sz w:val="22"/>
                <w:szCs w:val="22"/>
              </w:rPr>
            </w:pPr>
            <w:r>
              <w:rPr>
                <w:sz w:val="22"/>
                <w:szCs w:val="22"/>
              </w:rPr>
              <w:t>(2 ед.)</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 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p>
            <w:pPr>
              <w:pStyle w:val="Normal"/>
              <w:widowControl w:val="false"/>
              <w:jc w:val="center"/>
              <w:rPr/>
            </w:pPr>
            <w:r>
              <w:rPr>
                <w:sz w:val="22"/>
                <w:szCs w:val="22"/>
              </w:rPr>
              <w:t>- для водоисточника – зоны рекреационного назначения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16.22</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Реконструкция дороги к объекту на земельном участке в д.</w:t>
            </w:r>
            <w:r>
              <w:rPr>
                <w:sz w:val="22"/>
                <w:szCs w:val="22"/>
                <w:lang w:val="en-US"/>
              </w:rPr>
              <w:t> </w:t>
            </w:r>
            <w:r>
              <w:rPr>
                <w:sz w:val="22"/>
                <w:szCs w:val="22"/>
              </w:rPr>
              <w:t>Лобаново с кадастровым номером 40:25:000042:72</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Лобаново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Улица в жилой застройке с усовершенствованным покрытием протяженностью 0,6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16.23</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Размещение источника наружного противопожарного водоснабжения для целей пожаротушения</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Аргуново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Устройство источников наружного противопожарного водоснабжения:</w:t>
            </w:r>
          </w:p>
          <w:p>
            <w:pPr>
              <w:pStyle w:val="Normal"/>
              <w:widowControl w:val="false"/>
              <w:jc w:val="center"/>
              <w:rPr>
                <w:sz w:val="22"/>
                <w:szCs w:val="22"/>
              </w:rPr>
            </w:pPr>
            <w:r>
              <w:rPr>
                <w:sz w:val="22"/>
                <w:szCs w:val="22"/>
              </w:rPr>
              <w:t>- пожарные гидранты на водоводах</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 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p>
            <w:pPr>
              <w:pStyle w:val="Normal"/>
              <w:widowControl w:val="false"/>
              <w:jc w:val="center"/>
              <w:rPr>
                <w:sz w:val="22"/>
                <w:szCs w:val="22"/>
              </w:rPr>
            </w:pPr>
            <w:r>
              <w:rPr>
                <w:sz w:val="22"/>
                <w:szCs w:val="22"/>
              </w:rPr>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16.24</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дороги к объектам на земельных участках в районе д.</w:t>
            </w:r>
            <w:r>
              <w:rPr>
                <w:sz w:val="22"/>
                <w:szCs w:val="22"/>
                <w:lang w:val="en-US"/>
              </w:rPr>
              <w:t> </w:t>
            </w:r>
            <w:r>
              <w:rPr>
                <w:sz w:val="22"/>
                <w:szCs w:val="22"/>
              </w:rPr>
              <w:t>Аргуново с кадастровыми номерами 40:25:000005:258-261</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Аргуново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Улица в жилой застройке с усовершенствованным покрытием протяженностью 1,0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16.25</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Реконструкция дороги к объектам на земельных участках в районе д.</w:t>
            </w:r>
            <w:r>
              <w:rPr>
                <w:sz w:val="22"/>
                <w:szCs w:val="22"/>
                <w:lang w:val="en-US"/>
              </w:rPr>
              <w:t> </w:t>
            </w:r>
            <w:r>
              <w:rPr>
                <w:sz w:val="22"/>
                <w:szCs w:val="22"/>
              </w:rPr>
              <w:t>Малая Каменка с кадастровыми номерами 40:25:000071:180-181</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Малая Каменка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Улица в жилой застройке с усовершенствованным покрытием протяженностью 0,1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16.26</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Размещение источника наружного противопожарного водоснабжения от отдельно стоящих объектов защиты</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с.</w:t>
            </w:r>
            <w:r>
              <w:rPr>
                <w:sz w:val="22"/>
                <w:szCs w:val="22"/>
                <w:lang w:val="en-US"/>
              </w:rPr>
              <w:t> </w:t>
            </w:r>
            <w:r>
              <w:rPr>
                <w:sz w:val="22"/>
                <w:szCs w:val="22"/>
              </w:rPr>
              <w:t>Рябинки</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Устройство источников наружного противопожарного водоснабжения:</w:t>
            </w:r>
          </w:p>
          <w:p>
            <w:pPr>
              <w:pStyle w:val="Normal"/>
              <w:widowControl w:val="false"/>
              <w:jc w:val="center"/>
              <w:rPr>
                <w:sz w:val="22"/>
                <w:szCs w:val="22"/>
              </w:rPr>
            </w:pPr>
            <w:r>
              <w:rPr>
                <w:sz w:val="22"/>
                <w:szCs w:val="22"/>
              </w:rPr>
              <w:t>- пожарный водоисточник</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w:t>
            </w:r>
          </w:p>
          <w:p>
            <w:pPr>
              <w:pStyle w:val="Normal"/>
              <w:widowControl w:val="false"/>
              <w:jc w:val="center"/>
              <w:rPr>
                <w:sz w:val="22"/>
                <w:szCs w:val="22"/>
              </w:rPr>
            </w:pPr>
            <w:r>
              <w:rPr>
                <w:sz w:val="22"/>
                <w:szCs w:val="22"/>
              </w:rPr>
              <w:t>Максимальный процент застройки – не регламентируется. Предельное количество этажей – не регламентируется,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16.27</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дороги к объекту на земельном участке в с.</w:t>
            </w:r>
            <w:r>
              <w:rPr>
                <w:sz w:val="22"/>
                <w:szCs w:val="22"/>
                <w:lang w:val="en-US"/>
              </w:rPr>
              <w:t> </w:t>
            </w:r>
            <w:r>
              <w:rPr>
                <w:sz w:val="22"/>
                <w:szCs w:val="22"/>
              </w:rPr>
              <w:t>Рябинки с кадастровым номером 40:25:000055:531</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с.</w:t>
            </w:r>
            <w:r>
              <w:rPr>
                <w:sz w:val="22"/>
                <w:szCs w:val="22"/>
                <w:lang w:val="en-US"/>
              </w:rPr>
              <w:t> </w:t>
            </w:r>
            <w:r>
              <w:rPr>
                <w:sz w:val="22"/>
                <w:szCs w:val="22"/>
              </w:rPr>
              <w:t>Рябинки</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Улица в жилой застройке с усовершенствованным покрытием протяженностью 1,0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16.28</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Размещение источника наружного противопожарного водоснабжения от отдельно стоящих объектов защиты</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lang w:eastAsia="en-US"/>
              </w:rPr>
              <w:t>городской округ город Калуга Калужской области,</w:t>
            </w:r>
          </w:p>
          <w:p>
            <w:pPr>
              <w:pStyle w:val="Normal"/>
              <w:widowControl w:val="false"/>
              <w:jc w:val="center"/>
              <w:rPr/>
            </w:pPr>
            <w:r>
              <w:rPr>
                <w:sz w:val="22"/>
                <w:szCs w:val="22"/>
              </w:rPr>
              <w:t>ж/д ст. Тихонова Пустынь</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Устройство источников наружного противопожарного водоснабжения:</w:t>
            </w:r>
          </w:p>
          <w:p>
            <w:pPr>
              <w:pStyle w:val="Normal"/>
              <w:widowControl w:val="false"/>
              <w:jc w:val="center"/>
              <w:rPr>
                <w:sz w:val="22"/>
                <w:szCs w:val="22"/>
              </w:rPr>
            </w:pPr>
            <w:r>
              <w:rPr>
                <w:sz w:val="22"/>
                <w:szCs w:val="22"/>
              </w:rPr>
              <w:t>- устройство пожарных гидрантов на водоводах</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16.29</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Размещение источника наружного противопожарного водоснабжения от отдельно стоящих объектов защиты</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Большая Каменка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Устройство источников наружного противопожарного водоснабжения:</w:t>
            </w:r>
          </w:p>
          <w:p>
            <w:pPr>
              <w:pStyle w:val="Normal"/>
              <w:widowControl w:val="false"/>
              <w:jc w:val="center"/>
              <w:rPr>
                <w:sz w:val="22"/>
                <w:szCs w:val="22"/>
              </w:rPr>
            </w:pPr>
            <w:r>
              <w:rPr>
                <w:sz w:val="22"/>
                <w:szCs w:val="22"/>
              </w:rPr>
              <w:t>- пожарные гидранты на водоводах;</w:t>
            </w:r>
          </w:p>
          <w:p>
            <w:pPr>
              <w:pStyle w:val="Normal"/>
              <w:widowControl w:val="false"/>
              <w:jc w:val="center"/>
              <w:rPr>
                <w:sz w:val="22"/>
                <w:szCs w:val="22"/>
              </w:rPr>
            </w:pPr>
            <w:r>
              <w:rPr>
                <w:sz w:val="22"/>
                <w:szCs w:val="22"/>
              </w:rPr>
              <w:t>- пожарный водоисточник</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 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p>
            <w:pPr>
              <w:pStyle w:val="Normal"/>
              <w:widowControl w:val="false"/>
              <w:jc w:val="center"/>
              <w:rPr/>
            </w:pPr>
            <w:r>
              <w:rPr>
                <w:sz w:val="22"/>
                <w:szCs w:val="22"/>
              </w:rPr>
              <w:t>- для водоисточника – зоны рекреационного назначения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16.30</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дороги к объектам на земельных участках в районе д.</w:t>
            </w:r>
            <w:r>
              <w:rPr>
                <w:sz w:val="22"/>
                <w:szCs w:val="22"/>
                <w:lang w:val="en-US"/>
              </w:rPr>
              <w:t> </w:t>
            </w:r>
            <w:r>
              <w:rPr>
                <w:sz w:val="22"/>
                <w:szCs w:val="22"/>
              </w:rPr>
              <w:t>Большая Каменка с кадастровыми номерами 40:25:000061:644-868</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Большая Каменка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Улица в жилой застройке с усовершенствованным покрытием протяженностью 1,0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16.31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Размещение источника наружного противопожарного водоснабжения от отдельно стоящих объектов защиты</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Груздово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Устройство источников наружного противопожарного водоснабжения:</w:t>
            </w:r>
          </w:p>
          <w:p>
            <w:pPr>
              <w:pStyle w:val="Normal"/>
              <w:widowControl w:val="false"/>
              <w:jc w:val="center"/>
              <w:rPr>
                <w:sz w:val="22"/>
                <w:szCs w:val="22"/>
              </w:rPr>
            </w:pPr>
            <w:r>
              <w:rPr>
                <w:sz w:val="22"/>
                <w:szCs w:val="22"/>
              </w:rPr>
              <w:t>- пожарный водоисточник</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w:t>
            </w:r>
          </w:p>
          <w:p>
            <w:pPr>
              <w:pStyle w:val="Normal"/>
              <w:widowControl w:val="false"/>
              <w:jc w:val="center"/>
              <w:rPr>
                <w:sz w:val="22"/>
                <w:szCs w:val="22"/>
              </w:rPr>
            </w:pPr>
            <w:r>
              <w:rPr>
                <w:sz w:val="22"/>
                <w:szCs w:val="22"/>
              </w:rPr>
              <w:t>Максимальный процент застройки – не регламентируется. Предельное количество этажей – не регламентируется,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16.32</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Строительство дороги к объектам на земельных участках в районе д.</w:t>
            </w:r>
            <w:r>
              <w:rPr>
                <w:sz w:val="22"/>
                <w:szCs w:val="22"/>
                <w:lang w:val="en-US"/>
              </w:rPr>
              <w:t> </w:t>
            </w:r>
            <w:r>
              <w:rPr>
                <w:sz w:val="22"/>
                <w:szCs w:val="22"/>
              </w:rPr>
              <w:t>Груздово с кадастровыми номерами 40:25:000005:725-888</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Груздово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Улица в жилой застройке с усовершенствованным покрытием протяженностью 1,0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16.33</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Размещение источника наружного противопожарного водоснабжения от отдельно стоящих объектов защиты</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Галкино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Устройство источников наружного противопожарного водоснабжения:</w:t>
            </w:r>
          </w:p>
          <w:p>
            <w:pPr>
              <w:pStyle w:val="Normal"/>
              <w:widowControl w:val="false"/>
              <w:jc w:val="center"/>
              <w:rPr>
                <w:sz w:val="22"/>
                <w:szCs w:val="22"/>
              </w:rPr>
            </w:pPr>
            <w:r>
              <w:rPr>
                <w:sz w:val="22"/>
                <w:szCs w:val="22"/>
              </w:rPr>
              <w:t>- устройство пожарных гидрантов на водоводах</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16.34</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Размещение источника наружного противопожарного водоснабжения от отдельно стоящих объектов защиты</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w:t>
            </w:r>
            <w:r>
              <w:rPr>
                <w:sz w:val="22"/>
                <w:szCs w:val="22"/>
                <w:lang w:val="en-US"/>
              </w:rPr>
              <w:t> </w:t>
            </w:r>
            <w:r>
              <w:rPr>
                <w:sz w:val="22"/>
                <w:szCs w:val="22"/>
              </w:rPr>
              <w:t>Мстихино, ул. Горная, ул. Центральная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Устройство источников наружного противопожарного водоснабжения:</w:t>
            </w:r>
          </w:p>
          <w:p>
            <w:pPr>
              <w:pStyle w:val="Normal"/>
              <w:widowControl w:val="false"/>
              <w:jc w:val="center"/>
              <w:rPr>
                <w:sz w:val="22"/>
                <w:szCs w:val="22"/>
              </w:rPr>
            </w:pPr>
            <w:r>
              <w:rPr>
                <w:sz w:val="22"/>
                <w:szCs w:val="22"/>
              </w:rPr>
              <w:t>- устройство пожарных гидрантов на водоводах</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16.35</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Размещение площадки для разворота пожарной техники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w:t>
            </w:r>
            <w:r>
              <w:rPr>
                <w:sz w:val="22"/>
                <w:szCs w:val="22"/>
                <w:lang w:val="en-US"/>
              </w:rPr>
              <w:t> </w:t>
            </w:r>
            <w:r>
              <w:rPr>
                <w:sz w:val="22"/>
                <w:szCs w:val="22"/>
              </w:rPr>
              <w:t>Мстихино, пер. Прудный</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Разворотная площадка размером 15х15 с усовершенствованным покрытием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16.36</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Размещение источника наружного противопожарного водоснабжения от отдельно стоящих объектов защиты</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с. Росва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Устройство источников наружного противопожарного водоснабжения:</w:t>
            </w:r>
          </w:p>
          <w:p>
            <w:pPr>
              <w:pStyle w:val="Normal"/>
              <w:widowControl w:val="false"/>
              <w:jc w:val="center"/>
              <w:rPr>
                <w:sz w:val="22"/>
                <w:szCs w:val="22"/>
              </w:rPr>
            </w:pPr>
            <w:r>
              <w:rPr>
                <w:sz w:val="22"/>
                <w:szCs w:val="22"/>
              </w:rPr>
              <w:t>- устройство пожарных гидрантов на водоводах</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16.37</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Размещение источника наружного противопожарного водоснабжения от отдельно стоящих объектов защиты</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w:t>
            </w:r>
            <w:r>
              <w:rPr>
                <w:sz w:val="22"/>
                <w:szCs w:val="22"/>
                <w:lang w:val="en-US"/>
              </w:rPr>
              <w:t> </w:t>
            </w:r>
            <w:r>
              <w:rPr>
                <w:sz w:val="22"/>
                <w:szCs w:val="22"/>
              </w:rPr>
              <w:t>Яглово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Устройство источников наружного противопожарного водоснабжения:</w:t>
            </w:r>
          </w:p>
          <w:p>
            <w:pPr>
              <w:pStyle w:val="Normal"/>
              <w:widowControl w:val="false"/>
              <w:jc w:val="center"/>
              <w:rPr>
                <w:sz w:val="22"/>
                <w:szCs w:val="22"/>
              </w:rPr>
            </w:pPr>
            <w:r>
              <w:rPr>
                <w:sz w:val="22"/>
                <w:szCs w:val="22"/>
              </w:rPr>
              <w:t>- пожарные гидранты на водоводах;</w:t>
            </w:r>
          </w:p>
          <w:p>
            <w:pPr>
              <w:pStyle w:val="Normal"/>
              <w:widowControl w:val="false"/>
              <w:jc w:val="center"/>
              <w:rPr>
                <w:sz w:val="22"/>
                <w:szCs w:val="22"/>
              </w:rPr>
            </w:pPr>
            <w:r>
              <w:rPr>
                <w:sz w:val="22"/>
                <w:szCs w:val="22"/>
              </w:rPr>
              <w:t>- пожарный водоисточник</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 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p>
            <w:pPr>
              <w:pStyle w:val="Normal"/>
              <w:widowControl w:val="false"/>
              <w:jc w:val="center"/>
              <w:rPr>
                <w:sz w:val="22"/>
                <w:szCs w:val="22"/>
              </w:rPr>
            </w:pPr>
            <w:r>
              <w:rPr>
                <w:sz w:val="22"/>
                <w:szCs w:val="22"/>
              </w:rPr>
              <w:t>- для водоисточника – зоны рекреационного назначения.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16.38</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Реконструкция дороги к объекту на земельном участке в с.</w:t>
            </w:r>
            <w:r>
              <w:rPr>
                <w:sz w:val="22"/>
                <w:szCs w:val="22"/>
                <w:lang w:val="en-US"/>
              </w:rPr>
              <w:t> </w:t>
            </w:r>
            <w:r>
              <w:rPr>
                <w:sz w:val="22"/>
                <w:szCs w:val="22"/>
              </w:rPr>
              <w:t>Николо-Лапиносово с кадастровым номером 40:25:000161:125</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Николо-Лапиносово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Улица в жилой застройке с усовершенствованным покрытием, протяженностью 0,5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16.39</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Размещение источника наружного противопожарного водоснабжения от отдельно стоящих объектов защиты</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lang w:eastAsia="en-US"/>
              </w:rPr>
              <w:t xml:space="preserve">городской округ город Калуга Калужской области, </w:t>
            </w:r>
            <w:r>
              <w:rPr>
                <w:sz w:val="22"/>
                <w:szCs w:val="22"/>
              </w:rPr>
              <w:t>с.</w:t>
            </w:r>
            <w:r>
              <w:rPr>
                <w:sz w:val="22"/>
                <w:szCs w:val="22"/>
                <w:lang w:val="en-US"/>
              </w:rPr>
              <w:t> </w:t>
            </w:r>
            <w:r>
              <w:rPr>
                <w:sz w:val="22"/>
                <w:szCs w:val="22"/>
              </w:rPr>
              <w:t>Муратовского Щебзавода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Устройство источников наружного противопожарного водоснабжения:</w:t>
            </w:r>
          </w:p>
          <w:p>
            <w:pPr>
              <w:pStyle w:val="Normal"/>
              <w:widowControl w:val="false"/>
              <w:jc w:val="center"/>
              <w:rPr>
                <w:sz w:val="22"/>
                <w:szCs w:val="22"/>
              </w:rPr>
            </w:pPr>
            <w:r>
              <w:rPr>
                <w:sz w:val="22"/>
                <w:szCs w:val="22"/>
              </w:rPr>
              <w:t>- устройство пожарных гидрантов на водоводах</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16.40</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Размещение источника наружного противопожарного водоснабжения от отдельно стоящих объектов защиты</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w:t>
            </w:r>
            <w:r>
              <w:rPr>
                <w:sz w:val="22"/>
                <w:szCs w:val="22"/>
                <w:lang w:val="en-US"/>
              </w:rPr>
              <w:t> </w:t>
            </w:r>
            <w:r>
              <w:rPr>
                <w:sz w:val="22"/>
                <w:szCs w:val="22"/>
              </w:rPr>
              <w:t>Карачево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Устройство источников наружного противопожарного водоснабжения:</w:t>
            </w:r>
          </w:p>
          <w:p>
            <w:pPr>
              <w:pStyle w:val="Normal"/>
              <w:widowControl w:val="false"/>
              <w:jc w:val="center"/>
              <w:rPr>
                <w:sz w:val="22"/>
                <w:szCs w:val="22"/>
              </w:rPr>
            </w:pPr>
            <w:r>
              <w:rPr>
                <w:sz w:val="22"/>
                <w:szCs w:val="22"/>
              </w:rPr>
              <w:t>- пожарные гидранты на водоводах;</w:t>
            </w:r>
          </w:p>
          <w:p>
            <w:pPr>
              <w:pStyle w:val="Normal"/>
              <w:widowControl w:val="false"/>
              <w:jc w:val="center"/>
              <w:rPr>
                <w:sz w:val="22"/>
                <w:szCs w:val="22"/>
              </w:rPr>
            </w:pPr>
            <w:r>
              <w:rPr>
                <w:sz w:val="22"/>
                <w:szCs w:val="22"/>
              </w:rPr>
              <w:t>- пожарный водоисточник</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 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p>
            <w:pPr>
              <w:pStyle w:val="Normal"/>
              <w:widowControl w:val="false"/>
              <w:jc w:val="center"/>
              <w:rPr>
                <w:sz w:val="22"/>
                <w:szCs w:val="22"/>
              </w:rPr>
            </w:pPr>
            <w:r>
              <w:rPr>
                <w:sz w:val="22"/>
                <w:szCs w:val="22"/>
              </w:rPr>
              <w:t>- для водоисточника – зоны рекреационного назначения.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16.41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Размещение источника наружного противопожарного водоснабжения от отдельно стоящих объектов защиты</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w:t>
            </w:r>
            <w:r>
              <w:rPr>
                <w:sz w:val="22"/>
                <w:szCs w:val="22"/>
                <w:lang w:val="en-US"/>
              </w:rPr>
              <w:t> </w:t>
            </w:r>
            <w:r>
              <w:rPr>
                <w:sz w:val="22"/>
                <w:szCs w:val="22"/>
              </w:rPr>
              <w:t>Воровая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Устройство источников наружного противопожарного водоснабжения:</w:t>
            </w:r>
          </w:p>
          <w:p>
            <w:pPr>
              <w:pStyle w:val="Normal"/>
              <w:widowControl w:val="false"/>
              <w:jc w:val="center"/>
              <w:rPr>
                <w:sz w:val="22"/>
                <w:szCs w:val="22"/>
              </w:rPr>
            </w:pPr>
            <w:r>
              <w:rPr>
                <w:sz w:val="22"/>
                <w:szCs w:val="22"/>
              </w:rPr>
              <w:t>- пожарный водоисточник</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Зоны рекреационного назначения.</w:t>
            </w:r>
          </w:p>
          <w:p>
            <w:pPr>
              <w:pStyle w:val="Normal"/>
              <w:widowControl w:val="false"/>
              <w:jc w:val="center"/>
              <w:rPr>
                <w:sz w:val="22"/>
                <w:szCs w:val="22"/>
              </w:rPr>
            </w:pPr>
            <w:r>
              <w:rPr>
                <w:sz w:val="22"/>
                <w:szCs w:val="22"/>
              </w:rPr>
              <w:t>Максимальный процент застройки – не регламентируется. Предельное количество этажей – не регламентируется,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16.42</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Размещение источника наружного противопожарного водоснабжения от отдельно стоящих объектов защиты</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w:t>
            </w:r>
            <w:r>
              <w:rPr>
                <w:sz w:val="22"/>
                <w:szCs w:val="22"/>
                <w:lang w:val="en-US"/>
              </w:rPr>
              <w:t> </w:t>
            </w:r>
            <w:r>
              <w:rPr>
                <w:sz w:val="22"/>
                <w:szCs w:val="22"/>
              </w:rPr>
              <w:t>Нижняя Вырка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Устройство источников наружного противопожарного водоснабжения:</w:t>
            </w:r>
          </w:p>
          <w:p>
            <w:pPr>
              <w:pStyle w:val="Normal"/>
              <w:widowControl w:val="false"/>
              <w:jc w:val="center"/>
              <w:rPr>
                <w:sz w:val="22"/>
                <w:szCs w:val="22"/>
              </w:rPr>
            </w:pPr>
            <w:r>
              <w:rPr>
                <w:sz w:val="22"/>
                <w:szCs w:val="22"/>
              </w:rPr>
              <w:t>- пожарные гидранты на водоводах</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16.43</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Реконструкция улицы</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Переселенец</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Улица в жилой застройке с усовершенствованным покрытием протяженностью 0,4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16.44</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Размещение источника наружного противопожарного водоснабжения от отдельно стоящих объектов защиты</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Андреевское</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Устройство источников наружного противопожарного водоснабжения:</w:t>
            </w:r>
          </w:p>
          <w:p>
            <w:pPr>
              <w:pStyle w:val="Normal"/>
              <w:widowControl w:val="false"/>
              <w:jc w:val="center"/>
              <w:rPr>
                <w:sz w:val="22"/>
                <w:szCs w:val="22"/>
              </w:rPr>
            </w:pPr>
            <w:r>
              <w:rPr>
                <w:sz w:val="22"/>
                <w:szCs w:val="22"/>
              </w:rPr>
              <w:t>- пожарный водоисточник</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- 8, рекомендуемая плотность населения - 435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16.45</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Размещение источника наружного противопожарного водоснабжения от отдельно стоящих объектов защиты</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д. Колюпаново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Устройство источников наружного противопожарного водоснабжения:</w:t>
            </w:r>
          </w:p>
          <w:p>
            <w:pPr>
              <w:pStyle w:val="Normal"/>
              <w:widowControl w:val="false"/>
              <w:jc w:val="center"/>
              <w:rPr>
                <w:sz w:val="22"/>
                <w:szCs w:val="22"/>
              </w:rPr>
            </w:pPr>
            <w:r>
              <w:rPr>
                <w:sz w:val="22"/>
                <w:szCs w:val="22"/>
              </w:rPr>
              <w:t>- пожарные гидранты на водоводах;</w:t>
            </w:r>
          </w:p>
          <w:p>
            <w:pPr>
              <w:pStyle w:val="Normal"/>
              <w:widowControl w:val="false"/>
              <w:jc w:val="center"/>
              <w:rPr>
                <w:sz w:val="22"/>
                <w:szCs w:val="22"/>
              </w:rPr>
            </w:pPr>
            <w:r>
              <w:rPr>
                <w:sz w:val="22"/>
                <w:szCs w:val="22"/>
              </w:rPr>
              <w:t>- пожарный водоисточник</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 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p>
            <w:pPr>
              <w:pStyle w:val="Normal"/>
              <w:widowControl w:val="false"/>
              <w:jc w:val="center"/>
              <w:rPr>
                <w:sz w:val="22"/>
                <w:szCs w:val="22"/>
              </w:rPr>
            </w:pPr>
            <w:r>
              <w:rPr>
                <w:sz w:val="22"/>
                <w:szCs w:val="22"/>
              </w:rPr>
              <w:t>- для водоисточника – зоны рекреационного назначения.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16.46</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Размещение источника наружного противопожарного водоснабжения для целей пожаротушения</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lang w:eastAsia="en-US"/>
              </w:rPr>
              <w:t xml:space="preserve">городской округ город Калуга Калужской области, </w:t>
            </w:r>
            <w:r>
              <w:rPr>
                <w:sz w:val="22"/>
                <w:szCs w:val="22"/>
              </w:rPr>
              <w:t>с. Приокское лесничество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Устройство источников наружного противопожарного водоснабжения:</w:t>
            </w:r>
          </w:p>
          <w:p>
            <w:pPr>
              <w:pStyle w:val="Normal"/>
              <w:widowControl w:val="false"/>
              <w:jc w:val="center"/>
              <w:rPr>
                <w:sz w:val="22"/>
                <w:szCs w:val="22"/>
              </w:rPr>
            </w:pPr>
            <w:r>
              <w:rPr>
                <w:sz w:val="22"/>
                <w:szCs w:val="22"/>
              </w:rPr>
              <w:t>- пожарный водоисточник</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w:t>
            </w:r>
          </w:p>
          <w:p>
            <w:pPr>
              <w:pStyle w:val="Normal"/>
              <w:widowControl w:val="false"/>
              <w:jc w:val="center"/>
              <w:rPr>
                <w:sz w:val="22"/>
                <w:szCs w:val="22"/>
              </w:rPr>
            </w:pPr>
            <w:r>
              <w:rPr>
                <w:sz w:val="22"/>
                <w:szCs w:val="22"/>
              </w:rPr>
              <w:t>Максимальный процент застройки – 50%. Предельное количество этажей – 3, рекомендуемая плотность населения – 60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16.47</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Размещение подразделения пожарной охраны</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lang w:eastAsia="en-US"/>
              </w:rPr>
              <w:t>городской округ город Калуга Калужской области,</w:t>
            </w:r>
          </w:p>
          <w:p>
            <w:pPr>
              <w:pStyle w:val="Normal"/>
              <w:widowControl w:val="false"/>
              <w:jc w:val="center"/>
              <w:rPr/>
            </w:pPr>
            <w:r>
              <w:rPr>
                <w:sz w:val="22"/>
                <w:szCs w:val="22"/>
              </w:rPr>
              <w:t>ж/д ст. Тихонова Пустынь</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Пожарное депо,</w:t>
            </w:r>
          </w:p>
          <w:p>
            <w:pPr>
              <w:pStyle w:val="Normal"/>
              <w:widowControl w:val="false"/>
              <w:jc w:val="center"/>
              <w:rPr>
                <w:sz w:val="22"/>
                <w:szCs w:val="22"/>
              </w:rPr>
            </w:pPr>
            <w:r>
              <w:rPr>
                <w:sz w:val="22"/>
                <w:szCs w:val="22"/>
              </w:rPr>
              <w:t>5 класса, на 2 автомобиля</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Общественно-деловые зоны.</w:t>
            </w:r>
          </w:p>
          <w:p>
            <w:pPr>
              <w:pStyle w:val="Normal"/>
              <w:widowControl w:val="false"/>
              <w:jc w:val="center"/>
              <w:rPr>
                <w:sz w:val="22"/>
                <w:szCs w:val="22"/>
              </w:rPr>
            </w:pPr>
            <w:r>
              <w:rPr>
                <w:sz w:val="22"/>
                <w:szCs w:val="22"/>
              </w:rPr>
              <w:t>Максимальный процент застройки – 50 %. Предельное количество этажей – 4,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16.48</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Размещение подразделения пожарной охраны</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правый берег район мкр. Кошелев</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Пожарное депо на</w:t>
            </w:r>
          </w:p>
          <w:p>
            <w:pPr>
              <w:pStyle w:val="Normal"/>
              <w:widowControl w:val="false"/>
              <w:jc w:val="center"/>
              <w:rPr>
                <w:sz w:val="22"/>
                <w:szCs w:val="22"/>
              </w:rPr>
            </w:pPr>
            <w:r>
              <w:rPr>
                <w:sz w:val="22"/>
                <w:szCs w:val="22"/>
              </w:rPr>
              <w:t>6 автомобилей с производственными и учебно-тренировочными объектами</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- 435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16.49</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Формирование пожарной дружины</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en-US"/>
              </w:rPr>
            </w:pPr>
            <w:r>
              <w:rPr>
                <w:sz w:val="22"/>
                <w:szCs w:val="22"/>
                <w:lang w:eastAsia="en-US"/>
              </w:rPr>
              <w:t>городской округ город Калуга Калужской области,</w:t>
            </w:r>
          </w:p>
          <w:p>
            <w:pPr>
              <w:pStyle w:val="Normal"/>
              <w:widowControl w:val="false"/>
              <w:jc w:val="center"/>
              <w:rPr>
                <w:sz w:val="22"/>
                <w:szCs w:val="22"/>
              </w:rPr>
            </w:pPr>
            <w:r>
              <w:rPr>
                <w:sz w:val="22"/>
                <w:szCs w:val="22"/>
              </w:rPr>
              <w:t>д. Андреевское</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Пожарная дружина с мобильными средствами пожаротушения на базе дома культуры</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Жилые зоны. Максимальный процент застройки - 50%. Предельное количество этажей - 4, рекомендуемая плотность населения - 60 чел./га</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22"/>
                <w:szCs w:val="22"/>
              </w:rPr>
            </w:pPr>
            <w:r>
              <w:rPr>
                <w:b/>
                <w:sz w:val="20"/>
                <w:szCs w:val="20"/>
              </w:rPr>
              <w:t>17</w:t>
            </w:r>
          </w:p>
        </w:tc>
        <w:tc>
          <w:tcPr>
            <w:tcW w:w="15082" w:type="dxa"/>
            <w:gridSpan w:val="7"/>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b/>
                <w:sz w:val="22"/>
                <w:szCs w:val="22"/>
                <w:lang w:eastAsia="en-US"/>
              </w:rPr>
            </w:pPr>
            <w:r>
              <w:rPr>
                <w:b/>
                <w:sz w:val="22"/>
                <w:szCs w:val="22"/>
                <w:lang w:eastAsia="en-US"/>
              </w:rPr>
              <w:t>Создание инфраструктуры для велосипедов и средств индивидуальной мобильности</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Организация велодорожки совместно с тротуаром</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Ленина от ул. Вокзальная до</w:t>
            </w:r>
          </w:p>
          <w:p>
            <w:pPr>
              <w:pStyle w:val="Normal"/>
              <w:widowControl w:val="false"/>
              <w:jc w:val="center"/>
              <w:rPr>
                <w:sz w:val="22"/>
                <w:szCs w:val="22"/>
              </w:rPr>
            </w:pPr>
            <w:r>
              <w:rPr>
                <w:sz w:val="22"/>
                <w:szCs w:val="22"/>
              </w:rPr>
              <w:t>ул. Луначарского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 усовершенствованным покрытием протяженность 2,8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17.2</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Организация велодорожки совместно с тротуаром</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Кирова от пл. Победы до пл. Мира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 усовершенствованным покрытием протяженность 1,7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17.3</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Организация велодорожки совместно с тротуаром</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Степана Разина (в пределах существующей бульвара) от пл. Победы до ул. Никитина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 усовершенствованным покрытием протяженность 0,67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17.4</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Организация велодорожки совместно с тротуаром</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Луначарского от</w:t>
            </w:r>
          </w:p>
          <w:p>
            <w:pPr>
              <w:pStyle w:val="Normal"/>
              <w:widowControl w:val="false"/>
              <w:jc w:val="center"/>
              <w:rPr>
                <w:sz w:val="22"/>
                <w:szCs w:val="22"/>
              </w:rPr>
            </w:pPr>
            <w:r>
              <w:rPr>
                <w:sz w:val="22"/>
                <w:szCs w:val="22"/>
              </w:rPr>
              <w:t>ул. Ленина до ул. Кутузова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 усовершенствованным покрытием протяженность 1,1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17.5</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Организация велодорожки/велополо-сы</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ул. Кутузова от ул. Луначарского до</w:t>
            </w:r>
          </w:p>
          <w:p>
            <w:pPr>
              <w:pStyle w:val="Normal"/>
              <w:widowControl w:val="false"/>
              <w:jc w:val="center"/>
              <w:rPr>
                <w:sz w:val="22"/>
                <w:szCs w:val="22"/>
              </w:rPr>
            </w:pPr>
            <w:r>
              <w:rPr>
                <w:sz w:val="22"/>
                <w:szCs w:val="22"/>
              </w:rPr>
              <w:t>ул. Ленина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 усовершенствованным покрытием протяженность 0,7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415"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17.6</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Организация велодорожки совместно с тротуаром</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rPr>
              <w:t>г. Калуга, пл. Старый торг, организация велодорожек на территории Сквера</w:t>
            </w:r>
          </w:p>
          <w:p>
            <w:pPr>
              <w:pStyle w:val="Normal"/>
              <w:widowControl w:val="false"/>
              <w:jc w:val="center"/>
              <w:rPr>
                <w:sz w:val="22"/>
                <w:szCs w:val="22"/>
              </w:rPr>
            </w:pPr>
            <w:r>
              <w:rPr>
                <w:sz w:val="22"/>
                <w:szCs w:val="22"/>
              </w:rPr>
              <w:t>им. Ленина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 усовершенствованным покрытием протяженность 0,96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994"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17.7</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Организация велодорожки/велополо-сы</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Рылеева от ул. Труда до</w:t>
            </w:r>
          </w:p>
          <w:p>
            <w:pPr>
              <w:pStyle w:val="Normal"/>
              <w:widowControl w:val="false"/>
              <w:jc w:val="center"/>
              <w:rPr>
                <w:sz w:val="22"/>
                <w:szCs w:val="22"/>
              </w:rPr>
            </w:pPr>
            <w:r>
              <w:rPr>
                <w:sz w:val="22"/>
                <w:szCs w:val="22"/>
              </w:rPr>
              <w:t>ул. Достоевского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 усовершенствованным покрытием протяженность 1,1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076"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17.8</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Организация велодорожки/велополосы</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Плеханова от ул. Труда</w:t>
            </w:r>
          </w:p>
          <w:p>
            <w:pPr>
              <w:pStyle w:val="Normal"/>
              <w:widowControl w:val="false"/>
              <w:jc w:val="center"/>
              <w:rPr>
                <w:sz w:val="22"/>
                <w:szCs w:val="22"/>
              </w:rPr>
            </w:pPr>
            <w:r>
              <w:rPr>
                <w:sz w:val="22"/>
                <w:szCs w:val="22"/>
              </w:rPr>
              <w:t>до ул. Кирова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 усовершенствованным покрытием протяженность 0,7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892"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17.9</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Организация велодорожек</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на территории городского парка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 усовершенствованным покрытием протяженность 1,5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115"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17.10</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Организация велодорожки совместно с тротуаром</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Московской от</w:t>
            </w:r>
          </w:p>
          <w:p>
            <w:pPr>
              <w:pStyle w:val="Normal"/>
              <w:widowControl w:val="false"/>
              <w:jc w:val="center"/>
              <w:rPr>
                <w:sz w:val="22"/>
                <w:szCs w:val="22"/>
              </w:rPr>
            </w:pPr>
            <w:r>
              <w:rPr>
                <w:sz w:val="22"/>
                <w:szCs w:val="22"/>
              </w:rPr>
              <w:t>пер. Северный до ул. Кирова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 усовершенствованным покрытием протяженность 4,5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088"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17.11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Организация велодорожки совместно с тротуаром</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Карла Либкнехта от Грабцевского шоссе до ул. Телевизионная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 усовершенствованным покрытием протяженность 1,6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17.12</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Организация велодорожки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Баррикад от ул. Ленина до ул. Воронина, по ул. Воронина от ул. Баррикад до ул. Труда, по ул. Труда от ул. Воронина до ул. Плеханова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 усовершенствованным покрытием протяженность 1,2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17.13</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Организация велодорожки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на территории Сквера войнам интернационалистам</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 усовершенствованным покрытием протяженность 0,2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17.14</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Организация велодорожки совместно с тротуаром</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Суворова от Сквера войнам интернационалистам до ул. Рылеева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 усовершенствованным покрытием протяженность 1,45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17.15</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Организации велодорожки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пер. Теренинский от ул. Суворова до ул. Чижевского, по ул. Чижевского от пер. Теренинский до ул. Московская, по ул. Огарева от ул. Московская до ул. Рылеева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 усовершенствованным покрытием протяженность 1,58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17.16</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Организации велодорожки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Телевизионная от ул. Социалистическая до ул. Труда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 усовершенствованным покрытием протяженность 1,47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2832"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17.17</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Организация велодорожек совместно с тротуаром</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по ул. Социалистической от ул. Телевизионная до</w:t>
            </w:r>
          </w:p>
          <w:p>
            <w:pPr>
              <w:pStyle w:val="Normal"/>
              <w:widowControl w:val="false"/>
              <w:jc w:val="center"/>
              <w:rPr>
                <w:sz w:val="22"/>
                <w:szCs w:val="22"/>
              </w:rPr>
            </w:pPr>
            <w:r>
              <w:rPr>
                <w:sz w:val="22"/>
                <w:szCs w:val="22"/>
              </w:rPr>
              <w:t>ул. Чичерина, по ул. Пухова от ул. Телевизионная до</w:t>
            </w:r>
          </w:p>
          <w:p>
            <w:pPr>
              <w:pStyle w:val="Normal"/>
              <w:widowControl w:val="false"/>
              <w:jc w:val="center"/>
              <w:rPr>
                <w:sz w:val="22"/>
                <w:szCs w:val="22"/>
              </w:rPr>
            </w:pPr>
            <w:r>
              <w:rPr>
                <w:sz w:val="22"/>
                <w:szCs w:val="22"/>
              </w:rPr>
              <w:t>ул. Чичерина, по ул. Чичерина от ул. Социалистической до ул. Пухова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 усовершенствованным покрытием протяженность 1,1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17.18</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Организация велодорожек совместно с тротуаром</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по Грабцевскому шоссе от Грабцевское шоссе д.110 до</w:t>
            </w:r>
          </w:p>
          <w:p>
            <w:pPr>
              <w:pStyle w:val="Normal"/>
              <w:widowControl w:val="false"/>
              <w:jc w:val="center"/>
              <w:rPr>
                <w:sz w:val="22"/>
                <w:szCs w:val="22"/>
              </w:rPr>
            </w:pPr>
            <w:r>
              <w:rPr>
                <w:sz w:val="22"/>
                <w:szCs w:val="22"/>
              </w:rPr>
              <w:t>ул. Моторная, по</w:t>
            </w:r>
          </w:p>
          <w:p>
            <w:pPr>
              <w:pStyle w:val="Normal"/>
              <w:widowControl w:val="false"/>
              <w:jc w:val="center"/>
              <w:rPr>
                <w:sz w:val="22"/>
                <w:szCs w:val="22"/>
              </w:rPr>
            </w:pPr>
            <w:r>
              <w:rPr>
                <w:sz w:val="22"/>
                <w:szCs w:val="22"/>
              </w:rPr>
              <w:t>ул. Моторная от Грабцевского шоссе до ул. Новаторская, по</w:t>
            </w:r>
          </w:p>
          <w:p>
            <w:pPr>
              <w:pStyle w:val="Normal"/>
              <w:widowControl w:val="false"/>
              <w:jc w:val="center"/>
              <w:rPr/>
            </w:pPr>
            <w:r>
              <w:rPr>
                <w:sz w:val="22"/>
                <w:szCs w:val="22"/>
              </w:rPr>
              <w:t>ул. Новаторская от</w:t>
            </w:r>
          </w:p>
          <w:p>
            <w:pPr>
              <w:pStyle w:val="Normal"/>
              <w:widowControl w:val="false"/>
              <w:jc w:val="center"/>
              <w:rPr>
                <w:sz w:val="22"/>
                <w:szCs w:val="22"/>
              </w:rPr>
            </w:pPr>
            <w:r>
              <w:rPr>
                <w:sz w:val="22"/>
                <w:szCs w:val="22"/>
              </w:rPr>
              <w:t xml:space="preserve"> </w:t>
            </w:r>
            <w:r>
              <w:rPr>
                <w:sz w:val="22"/>
                <w:szCs w:val="22"/>
              </w:rPr>
              <w:t>ул. Моторная до ул. Заводская, по ул. Заводская до ул. Маяковского, по ул. Маяковского от ул. Заводская до Грабцевского шоссе, по Грабцевскому шоссе от ул. Маяковского до ул. Карла Либкнехта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 усовершенствованным покрытием протяженность 2,9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17.19</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Организация велодорожки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Маршала Жукова от ул. Чапаева до пл. Победы</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 усовершенствованным покрытием протяженность 1,8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17.20</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Организация велодорожки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Тульская от пер. Малый до ул. Степана Разина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 усовершенствованным покрытием протяженность 0,9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17.21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Организация велодорожки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по ул. Болдина от проектируемой транспортно-пешеходной набережной вдоль р. Ока до ул. Никитина, по ул. Никитина от ул. Болдина до ул. Степана Разина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 усовершенствованным покрытием протяженность 2,17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17.22</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Организация велодорожки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Максима Горького от ул. Болдина до ул. Маршала Жукова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 усовершенствованным покрытием протяженность 0,7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17.23</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Организация велодорожки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Театральная (в районе пешеходной зоны) и по пл. Старый торг</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 усовершенствованным покрытием протяженность 1,8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17.24</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Организация велодорожки/велополо-сы (в зависимости от участка проектирования)</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Гагарина от пл. Мира до ул. Космонавта Волкова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 усовершенствованным покрытием протяженность 0,83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17.25</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Организация велодорожки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Космонавта Волкова от ул. Гагарина до сквера Волкова, по территории сквера Волкова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 усовершенствованным покрытием протяженность 3,2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17.26</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Организация веломаршрутов</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по проектируемой набережной в районе Яченского водохранилища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 усовершенствованным покрытием протяженность 2,5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17.27</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Организация велодорожки совместно с тротуаром</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наб. Яченского водохранилища от проектируемой пешеходной набережной до пер. Лаврентьевский, по пер. Лаврентьевский, по ул. Садовая от пер. Лаврентьевский до ул. Широкая, по ул. Широкая от ул. Садовая до проектируемой велодорожки по ул. Социалистическая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 усовершенствованным покрытием протяженность 2,2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17.28</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Организация велодорожки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Академика Королева от ул. Гагарина до парка</w:t>
            </w:r>
          </w:p>
          <w:p>
            <w:pPr>
              <w:pStyle w:val="Normal"/>
              <w:widowControl w:val="false"/>
              <w:jc w:val="center"/>
              <w:rPr>
                <w:sz w:val="22"/>
                <w:szCs w:val="22"/>
              </w:rPr>
            </w:pPr>
            <w:r>
              <w:rPr>
                <w:sz w:val="22"/>
                <w:szCs w:val="22"/>
              </w:rPr>
              <w:t>им. К. Э. Циолковского, по территории парка им. К. Э. Циолковского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 усовершенствованным покрытием протяженность 2,5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17.29</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pPr>
            <w:r>
              <w:rPr>
                <w:sz w:val="22"/>
                <w:szCs w:val="22"/>
              </w:rPr>
              <w:t>Организация велополос</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по Гагаринскому мосту от ул. Гагарина до Тульского шоссе, по Тульскому шоссе от Гагаринского моста до ул.</w:t>
            </w:r>
            <w:r>
              <w:rPr>
                <w:sz w:val="22"/>
                <w:szCs w:val="22"/>
                <w:lang w:val="en-US"/>
              </w:rPr>
              <w:t> </w:t>
            </w:r>
            <w:r>
              <w:rPr>
                <w:sz w:val="22"/>
                <w:szCs w:val="22"/>
              </w:rPr>
              <w:t>Генерала Попова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 усовершенствованным покрытием протяженность 1,8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17.30</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Организация велодорожек совместно с тротуаром</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по ул. Генерала Попова от Тульского шоссе до</w:t>
            </w:r>
          </w:p>
          <w:p>
            <w:pPr>
              <w:pStyle w:val="Normal"/>
              <w:widowControl w:val="false"/>
              <w:jc w:val="center"/>
              <w:rPr>
                <w:sz w:val="22"/>
                <w:szCs w:val="22"/>
              </w:rPr>
            </w:pPr>
            <w:r>
              <w:rPr>
                <w:sz w:val="22"/>
                <w:szCs w:val="22"/>
              </w:rPr>
              <w:t>ул. Фомушина, по</w:t>
            </w:r>
          </w:p>
          <w:p>
            <w:pPr>
              <w:pStyle w:val="Normal"/>
              <w:widowControl w:val="false"/>
              <w:jc w:val="center"/>
              <w:rPr>
                <w:sz w:val="22"/>
                <w:szCs w:val="22"/>
              </w:rPr>
            </w:pPr>
            <w:r>
              <w:rPr>
                <w:sz w:val="22"/>
                <w:szCs w:val="22"/>
              </w:rPr>
              <w:t>ул. Фомушина от ул. Генерала Попова до ул. Минская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 усовершенствованным покрытием протяженность 3,4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852"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17.31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Организация велодорожек совместно с тротуаром</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65 лет Победы</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 усовершенствованным покрытием протяженность 2,3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823"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17.32</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Организация велодорожек совместно с тротуаром</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Серафима Туликова от ул. 65 лет Победы до</w:t>
            </w:r>
          </w:p>
          <w:p>
            <w:pPr>
              <w:pStyle w:val="Normal"/>
              <w:widowControl w:val="false"/>
              <w:jc w:val="center"/>
              <w:rPr>
                <w:sz w:val="22"/>
                <w:szCs w:val="22"/>
              </w:rPr>
            </w:pPr>
            <w:r>
              <w:rPr>
                <w:sz w:val="22"/>
                <w:szCs w:val="22"/>
              </w:rPr>
              <w:t>ул. Фомушина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 усовершенствованным покрытием протяженность 0,53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17.33</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Организация велосипедных дорожек на территории мкр. Кошелев проект</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Петра Тарасова от ул. Фомушина до ул. Андрея Алешина, по ул. Андрея Алешина до ул. Владимира Козлова, по ул. Владимира Козлова от ул. Андрея Алешина до ул. Бориса Литвинчука, по ул. Бориса Литвинчука от Владимира Козлова до Братьев Луканиных, по Братьев Луканиных от ул. Бориса Литвинчука до ул. Петра Тарасова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 усовершенствованным покрытием протяженность</w:t>
            </w:r>
          </w:p>
          <w:p>
            <w:pPr>
              <w:pStyle w:val="Normal"/>
              <w:widowControl w:val="false"/>
              <w:jc w:val="center"/>
              <w:rPr>
                <w:sz w:val="22"/>
                <w:szCs w:val="22"/>
              </w:rPr>
            </w:pPr>
            <w:r>
              <w:rPr>
                <w:sz w:val="22"/>
                <w:szCs w:val="22"/>
              </w:rPr>
              <w:t>4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17.34</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Организация велодорожек</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rPr>
              <w:t>г. Калуга, б-р Сиреневый от ул. Генерала Попова до ул. Комфортная по</w:t>
            </w:r>
          </w:p>
          <w:p>
            <w:pPr>
              <w:pStyle w:val="Normal"/>
              <w:widowControl w:val="false"/>
              <w:jc w:val="center"/>
              <w:rPr>
                <w:sz w:val="22"/>
                <w:szCs w:val="22"/>
              </w:rPr>
            </w:pPr>
            <w:r>
              <w:rPr>
                <w:sz w:val="22"/>
                <w:szCs w:val="22"/>
              </w:rPr>
              <w:t>ул. Комфортная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 усовершенствованным покрытием протяженность 2,5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17.35</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Организация велодорожки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ул. Платова от ул. Пригородная до Грабцевского шоссе (по существующему бульвару)</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 усовершенствованным покрытием протяженность 0,48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706"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17.36</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Организация велодорожки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по проектируемой транспортно-пешеходной набережной вдоль реки Ока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 усовершенствованным покрытием протяженность 3,86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183"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17.37</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Организация велодорожки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по ул. Набережная от ул. Гагарина до проектируемой транспортно-пешеходной набережной вдоль реки Ока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 усовершенствованным покрытием протяженность 0,9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514"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17.38</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Создание рекреационных веломаршрутов</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на территории Комсомольской рощи</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 усовершенствованным покрытием протяженность</w:t>
            </w:r>
          </w:p>
          <w:p>
            <w:pPr>
              <w:pStyle w:val="Normal"/>
              <w:widowControl w:val="false"/>
              <w:jc w:val="center"/>
              <w:rPr>
                <w:sz w:val="22"/>
                <w:szCs w:val="22"/>
              </w:rPr>
            </w:pPr>
            <w:r>
              <w:rPr>
                <w:sz w:val="22"/>
                <w:szCs w:val="22"/>
              </w:rPr>
              <w:t>4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505"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17.39</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Создание рекреационных веломаршрутов</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на территории Губернского парка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 усовершенствованным покрытием протяженность 3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676"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17.40</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Создание рекреационных веломаршрутов</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на территории парка Яновских</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 усовершенствованным покрытием протяженность 2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134"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17.41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Создание рекреационных веломаршрутов</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берег Яченского водохранилища вне границ ООПТ «Городской бор»</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 усовершенствованным покрытием протяженность 3.5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327"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17.42</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pPr>
            <w:r>
              <w:rPr>
                <w:sz w:val="22"/>
                <w:szCs w:val="22"/>
              </w:rPr>
              <w:t>Создание рекреационно-транспортного веломаршрута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мкр. Анненки, дамба Яченского водохранилища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С усовершенствованным покрытием протяженность</w:t>
            </w:r>
          </w:p>
          <w:p>
            <w:pPr>
              <w:pStyle w:val="Normal"/>
              <w:widowControl w:val="false"/>
              <w:jc w:val="center"/>
              <w:rPr>
                <w:sz w:val="22"/>
                <w:szCs w:val="22"/>
              </w:rPr>
            </w:pPr>
            <w:r>
              <w:rPr>
                <w:sz w:val="22"/>
                <w:szCs w:val="22"/>
              </w:rPr>
              <w:t>5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984"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17.43</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Создание веломаршрута «Большое Кольцо»</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от нового корпуса МГТУ им. Н.Э.Баумана, через Пучковский мост, ул. Салтыкова-Щедрина, ул. Кутузова, понтонный мост, Ромодановские Дворики, с. Некрасово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rPr>
              <w:t>С усовершенствованным покрытием протяженность</w:t>
            </w:r>
          </w:p>
          <w:p>
            <w:pPr>
              <w:pStyle w:val="Normal"/>
              <w:widowControl w:val="false"/>
              <w:jc w:val="center"/>
              <w:rPr>
                <w:sz w:val="22"/>
                <w:szCs w:val="22"/>
              </w:rPr>
            </w:pPr>
            <w:r>
              <w:rPr>
                <w:sz w:val="22"/>
                <w:szCs w:val="22"/>
              </w:rPr>
              <w:t>13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984"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17.44</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Создание летнего рекреационно-транспортного веломаршрута</w:t>
            </w:r>
          </w:p>
          <w:p>
            <w:pPr>
              <w:pStyle w:val="Normal"/>
              <w:widowControl w:val="false"/>
              <w:rPr>
                <w:sz w:val="22"/>
                <w:szCs w:val="22"/>
              </w:rPr>
            </w:pPr>
            <w:r>
              <w:rPr>
                <w:sz w:val="22"/>
                <w:szCs w:val="22"/>
              </w:rPr>
              <w:t>«Правый Берег»</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кольцевой маршрут от понтонного моста, по правому берегу реки Оки, МГТУ им. Н,Э. Баумана, с. Некрасово, Ромодановские Дворики</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rPr>
              <w:t>С усовершенствованным покрытием протяженность</w:t>
            </w:r>
          </w:p>
          <w:p>
            <w:pPr>
              <w:pStyle w:val="Normal"/>
              <w:widowControl w:val="false"/>
              <w:jc w:val="center"/>
              <w:rPr>
                <w:sz w:val="22"/>
                <w:szCs w:val="22"/>
              </w:rPr>
            </w:pPr>
            <w:r>
              <w:rPr>
                <w:sz w:val="22"/>
                <w:szCs w:val="22"/>
              </w:rPr>
              <w:t>10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trHeight w:val="1617"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17.45</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Создание летнего рекреационно-транспортного веломаршрута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кольцевой маршрут Пучковский мост, ул. Болдина, ул. Салтыкова-Щедрина, ул. Кутузова, Понтонный мост, правый берег реки Оки</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rPr>
              <w:t>С усовершенствованным покрытием протяженность</w:t>
            </w:r>
          </w:p>
          <w:p>
            <w:pPr>
              <w:pStyle w:val="Normal"/>
              <w:widowControl w:val="false"/>
              <w:jc w:val="center"/>
              <w:rPr>
                <w:sz w:val="22"/>
                <w:szCs w:val="22"/>
              </w:rPr>
            </w:pPr>
            <w:r>
              <w:rPr>
                <w:sz w:val="22"/>
                <w:szCs w:val="22"/>
              </w:rPr>
              <w:t>10 км</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Для линейного объекта местного значения – не указывается</w:t>
            </w:r>
          </w:p>
          <w:p>
            <w:pPr>
              <w:pStyle w:val="Normal"/>
              <w:widowControl w:val="false"/>
              <w:jc w:val="center"/>
              <w:rPr>
                <w:sz w:val="22"/>
                <w:szCs w:val="22"/>
              </w:rPr>
            </w:pPr>
            <w:r>
              <w:rPr>
                <w:sz w:val="22"/>
                <w:szCs w:val="22"/>
              </w:rPr>
              <w:t>(ГрК РФ ст. 23)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22"/>
                <w:szCs w:val="22"/>
                <w:lang w:eastAsia="ru-RU"/>
              </w:rPr>
            </w:pPr>
            <w:r>
              <w:rPr>
                <w:b/>
                <w:sz w:val="20"/>
                <w:szCs w:val="20"/>
                <w:lang w:eastAsia="ru-RU"/>
              </w:rPr>
              <w:t>18</w:t>
            </w:r>
          </w:p>
        </w:tc>
        <w:tc>
          <w:tcPr>
            <w:tcW w:w="15082" w:type="dxa"/>
            <w:gridSpan w:val="7"/>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b/>
                <w:sz w:val="22"/>
                <w:szCs w:val="22"/>
              </w:rPr>
            </w:pPr>
            <w:r>
              <w:rPr>
                <w:b/>
                <w:sz w:val="22"/>
                <w:szCs w:val="22"/>
                <w:lang w:eastAsia="en-US"/>
              </w:rPr>
              <w:t>Объекты рекреации, отдыха и туризма</w:t>
            </w:r>
          </w:p>
        </w:tc>
      </w:tr>
      <w:tr>
        <w:trPr>
          <w:trHeight w:val="3568"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eastAsia="ru-RU"/>
              </w:rPr>
              <w:t>18.1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Туристический комплекс</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 район ул. Можайская</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Объекты физкультурно-досугового назначения и активного отдыха, вместимостью до 50 мест, мощность объектов, не предусматривающих пребывания, число обслуживаемых лиц в сутки до 100 человек. Единовременная пропускная способность до 60 человек, Вместимость объектов зрелищного назначения,</w:t>
            </w:r>
          </w:p>
          <w:p>
            <w:pPr>
              <w:pStyle w:val="Normal"/>
              <w:widowControl w:val="false"/>
              <w:jc w:val="center"/>
              <w:rPr>
                <w:sz w:val="22"/>
                <w:szCs w:val="22"/>
              </w:rPr>
            </w:pPr>
            <w:r>
              <w:rPr>
                <w:sz w:val="22"/>
                <w:szCs w:val="22"/>
              </w:rPr>
              <w:t>50 зрительских мест</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16"/>
              <w:jc w:val="center"/>
              <w:rPr>
                <w:sz w:val="22"/>
                <w:szCs w:val="22"/>
              </w:rPr>
            </w:pPr>
            <w:r>
              <w:rPr>
                <w:sz w:val="22"/>
                <w:szCs w:val="22"/>
              </w:rPr>
              <w:t>Зоны рекреационного назначения.</w:t>
            </w:r>
          </w:p>
          <w:p>
            <w:pPr>
              <w:pStyle w:val="Normal"/>
              <w:widowControl w:val="false"/>
              <w:jc w:val="center"/>
              <w:rPr>
                <w:sz w:val="22"/>
                <w:szCs w:val="22"/>
              </w:rPr>
            </w:pPr>
            <w:r>
              <w:rPr>
                <w:sz w:val="22"/>
                <w:szCs w:val="22"/>
              </w:rPr>
              <w:t>Максимальный процент застройки – не регламентируется. Предельное количество этажей – не регламентируется,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22"/>
                <w:szCs w:val="22"/>
                <w:lang w:eastAsia="ru-RU"/>
              </w:rPr>
            </w:pPr>
            <w:r>
              <w:rPr>
                <w:b/>
                <w:sz w:val="20"/>
                <w:szCs w:val="20"/>
                <w:lang w:eastAsia="ru-RU"/>
              </w:rPr>
              <w:t>19</w:t>
            </w:r>
          </w:p>
        </w:tc>
        <w:tc>
          <w:tcPr>
            <w:tcW w:w="15082" w:type="dxa"/>
            <w:gridSpan w:val="7"/>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b/>
                <w:sz w:val="22"/>
                <w:szCs w:val="22"/>
                <w:lang w:eastAsia="ru-RU"/>
              </w:rPr>
            </w:pPr>
            <w:r>
              <w:rPr>
                <w:b/>
                <w:sz w:val="22"/>
                <w:szCs w:val="22"/>
                <w:lang w:eastAsia="ru-RU"/>
              </w:rPr>
              <w:t>Прочие объекты обслуживания</w:t>
            </w:r>
          </w:p>
        </w:tc>
      </w:tr>
      <w:tr>
        <w:trPr>
          <w:trHeight w:val="1957" w:hRule="atLeast"/>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0"/>
                <w:szCs w:val="20"/>
                <w:lang w:val="en-US" w:eastAsia="ru-RU"/>
              </w:rPr>
              <w:t>19</w:t>
            </w:r>
            <w:r>
              <w:rPr>
                <w:sz w:val="20"/>
                <w:szCs w:val="20"/>
                <w:lang w:eastAsia="ru-RU"/>
              </w:rPr>
              <w:t>.1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rPr>
            </w:pPr>
            <w:r>
              <w:rPr>
                <w:sz w:val="22"/>
                <w:szCs w:val="22"/>
              </w:rPr>
              <w:t>Объект проведения гражданских обрядов</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г. Калуга,</w:t>
            </w:r>
          </w:p>
          <w:p>
            <w:pPr>
              <w:pStyle w:val="Normal"/>
              <w:widowControl w:val="false"/>
              <w:jc w:val="center"/>
              <w:rPr>
                <w:sz w:val="22"/>
                <w:szCs w:val="22"/>
              </w:rPr>
            </w:pPr>
            <w:r>
              <w:rPr>
                <w:sz w:val="22"/>
                <w:szCs w:val="22"/>
              </w:rPr>
              <w:t>ул. Фомушина</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Дворец бракосочетания</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16"/>
              <w:jc w:val="center"/>
              <w:rPr>
                <w:sz w:val="22"/>
                <w:szCs w:val="22"/>
              </w:rPr>
            </w:pPr>
            <w:r>
              <w:rPr>
                <w:sz w:val="22"/>
                <w:szCs w:val="22"/>
              </w:rPr>
              <w:t>Общественно-деловые зоны. Максимальный процент застройки - 50%. Предельное количество этажей - 5,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Установление ЗОУИТ не требуется</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22"/>
                <w:szCs w:val="22"/>
                <w:lang w:eastAsia="en-US"/>
              </w:rPr>
            </w:pPr>
            <w:r>
              <w:rPr>
                <w:b/>
                <w:sz w:val="20"/>
                <w:szCs w:val="20"/>
                <w:lang w:eastAsia="en-US"/>
              </w:rPr>
              <w:t>20</w:t>
            </w:r>
          </w:p>
        </w:tc>
        <w:tc>
          <w:tcPr>
            <w:tcW w:w="15082" w:type="dxa"/>
            <w:gridSpan w:val="7"/>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b/>
                <w:sz w:val="22"/>
                <w:szCs w:val="22"/>
                <w:lang w:eastAsia="en-US"/>
              </w:rPr>
            </w:pPr>
            <w:r>
              <w:rPr>
                <w:b/>
                <w:sz w:val="22"/>
                <w:szCs w:val="22"/>
                <w:lang w:eastAsia="en-US"/>
              </w:rPr>
              <w:t>Объекты в области обращения с отходами</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val="en-US" w:eastAsia="ru-RU"/>
              </w:rPr>
            </w:pPr>
            <w:r>
              <w:rPr>
                <w:sz w:val="20"/>
                <w:szCs w:val="20"/>
                <w:lang w:val="en-US" w:eastAsia="ru-RU"/>
              </w:rPr>
              <w:t>20.1</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lang w:eastAsia="ru-RU"/>
              </w:rPr>
            </w:pPr>
            <w:r>
              <w:rPr>
                <w:sz w:val="22"/>
                <w:szCs w:val="22"/>
                <w:lang w:eastAsia="ru-RU"/>
              </w:rPr>
              <w:t>Рекультивация полигона ТКО в г.</w:t>
            </w:r>
            <w:r>
              <w:rPr>
                <w:sz w:val="22"/>
                <w:szCs w:val="22"/>
                <w:lang w:val="en-US" w:eastAsia="ru-RU"/>
              </w:rPr>
              <w:t> </w:t>
            </w:r>
            <w:r>
              <w:rPr>
                <w:sz w:val="22"/>
                <w:szCs w:val="22"/>
                <w:lang w:eastAsia="ru-RU"/>
              </w:rPr>
              <w:t>Калуге (рекультивация несанкционированной свалки)</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val="en-US" w:eastAsia="ru-RU"/>
              </w:rPr>
            </w:pPr>
            <w:r>
              <w:rPr>
                <w:sz w:val="22"/>
                <w:szCs w:val="22"/>
                <w:lang w:eastAsia="ru-RU"/>
              </w:rPr>
              <w:t>г. Калуга, ул. Городенская, 27</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2"/>
                <w:szCs w:val="22"/>
                <w:lang w:eastAsia="ru-RU"/>
              </w:rPr>
              <w:t xml:space="preserve">Класс опасности объекта </w:t>
            </w:r>
            <w:r>
              <w:rPr>
                <w:sz w:val="22"/>
                <w:szCs w:val="22"/>
                <w:lang w:val="en-US" w:eastAsia="ru-RU"/>
              </w:rPr>
              <w:t>I</w:t>
            </w:r>
            <w:r>
              <w:rPr>
                <w:sz w:val="22"/>
                <w:szCs w:val="22"/>
                <w:lang w:eastAsia="ru-RU"/>
              </w:rPr>
              <w:t>.</w:t>
            </w:r>
          </w:p>
          <w:p>
            <w:pPr>
              <w:pStyle w:val="Normal"/>
              <w:widowControl w:val="false"/>
              <w:jc w:val="center"/>
              <w:rPr>
                <w:sz w:val="22"/>
                <w:szCs w:val="22"/>
                <w:lang w:eastAsia="ru-RU"/>
              </w:rPr>
            </w:pPr>
            <w:r>
              <w:rPr>
                <w:sz w:val="22"/>
                <w:szCs w:val="22"/>
                <w:lang w:eastAsia="ru-RU"/>
              </w:rPr>
              <w:t>Площадь – 7,8 га</w:t>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2"/>
                <w:szCs w:val="22"/>
                <w:lang w:eastAsia="ru-RU"/>
              </w:rPr>
              <w:t>Зона складирования и захоронения отходов.</w:t>
            </w:r>
          </w:p>
          <w:p>
            <w:pPr>
              <w:pStyle w:val="Normal"/>
              <w:widowControl w:val="false"/>
              <w:jc w:val="center"/>
              <w:rPr>
                <w:sz w:val="22"/>
                <w:szCs w:val="22"/>
                <w:lang w:eastAsia="ru-RU"/>
              </w:rPr>
            </w:pPr>
            <w:r>
              <w:rPr>
                <w:sz w:val="22"/>
                <w:szCs w:val="22"/>
                <w:lang w:eastAsia="ru-RU"/>
              </w:rPr>
              <w:t>Максимальный процент застройки - не регламентируется. Предельное количество этажей - не регламентируется.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val="en-US" w:eastAsia="ru-RU"/>
              </w:rPr>
            </w:pPr>
            <w:r>
              <w:rPr>
                <w:sz w:val="22"/>
                <w:szCs w:val="22"/>
                <w:lang w:val="en-US" w:eastAsia="ru-RU"/>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2"/>
                <w:szCs w:val="22"/>
                <w:lang w:eastAsia="ru-RU"/>
              </w:rPr>
              <w:t>Устанавливается согласно СанПиН 2.2.1/2.1.1.1200-03,</w:t>
            </w:r>
          </w:p>
          <w:p>
            <w:pPr>
              <w:pStyle w:val="Normal"/>
              <w:widowControl w:val="false"/>
              <w:jc w:val="center"/>
              <w:rPr/>
            </w:pPr>
            <w:r>
              <w:rPr>
                <w:sz w:val="22"/>
                <w:szCs w:val="22"/>
                <w:lang w:eastAsia="ru-RU"/>
              </w:rPr>
              <w:t xml:space="preserve">класс опасности </w:t>
            </w:r>
            <w:r>
              <w:rPr>
                <w:sz w:val="22"/>
                <w:szCs w:val="22"/>
                <w:lang w:val="en-US" w:eastAsia="ru-RU"/>
              </w:rPr>
              <w:t>I</w:t>
            </w:r>
            <w:r>
              <w:rPr>
                <w:sz w:val="22"/>
                <w:szCs w:val="22"/>
                <w:lang w:eastAsia="ru-RU"/>
              </w:rPr>
              <w:t xml:space="preserve"> - 1000</w:t>
            </w:r>
            <w:r>
              <w:rPr>
                <w:sz w:val="22"/>
                <w:szCs w:val="22"/>
                <w:lang w:val="en-US" w:eastAsia="ru-RU"/>
              </w:rPr>
              <w:t> </w:t>
            </w:r>
            <w:r>
              <w:rPr>
                <w:sz w:val="22"/>
                <w:szCs w:val="22"/>
                <w:lang w:eastAsia="ru-RU"/>
              </w:rPr>
              <w:t>м</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val="en-US" w:eastAsia="ru-RU"/>
              </w:rPr>
            </w:pPr>
            <w:r>
              <w:rPr>
                <w:sz w:val="20"/>
                <w:szCs w:val="20"/>
                <w:lang w:val="en-US" w:eastAsia="ru-RU"/>
              </w:rPr>
              <w:t>20.2</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lang w:val="en-US" w:eastAsia="ru-RU"/>
              </w:rPr>
            </w:pPr>
            <w:r>
              <w:rPr>
                <w:sz w:val="22"/>
                <w:szCs w:val="22"/>
                <w:lang w:val="en-US" w:eastAsia="ru-RU"/>
              </w:rPr>
              <w:t>Рекультивация полигона</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2"/>
                <w:szCs w:val="22"/>
                <w:lang w:eastAsia="ru-RU"/>
              </w:rPr>
              <w:t>г.</w:t>
            </w:r>
            <w:r>
              <w:rPr>
                <w:sz w:val="22"/>
                <w:szCs w:val="22"/>
                <w:lang w:val="en-US" w:eastAsia="ru-RU"/>
              </w:rPr>
              <w:t> </w:t>
            </w:r>
            <w:r>
              <w:rPr>
                <w:sz w:val="22"/>
                <w:szCs w:val="22"/>
                <w:lang w:eastAsia="ru-RU"/>
              </w:rPr>
              <w:t>Калуга, ул.</w:t>
            </w:r>
            <w:r>
              <w:rPr>
                <w:sz w:val="22"/>
                <w:szCs w:val="22"/>
                <w:lang w:val="en-US" w:eastAsia="ru-RU"/>
              </w:rPr>
              <w:t> </w:t>
            </w:r>
            <w:r>
              <w:rPr>
                <w:sz w:val="22"/>
                <w:szCs w:val="22"/>
                <w:lang w:eastAsia="ru-RU"/>
              </w:rPr>
              <w:t>Городенская, 27; з.у.</w:t>
            </w:r>
          </w:p>
          <w:p>
            <w:pPr>
              <w:pStyle w:val="Normal"/>
              <w:widowControl w:val="false"/>
              <w:jc w:val="center"/>
              <w:rPr>
                <w:sz w:val="22"/>
                <w:szCs w:val="22"/>
                <w:lang w:eastAsia="ru-RU"/>
              </w:rPr>
            </w:pPr>
            <w:r>
              <w:rPr>
                <w:sz w:val="22"/>
                <w:szCs w:val="22"/>
                <w:lang w:eastAsia="ru-RU"/>
              </w:rPr>
              <w:t>с КН 40:26:000106:4</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2"/>
                <w:szCs w:val="22"/>
                <w:lang w:eastAsia="ru-RU"/>
              </w:rPr>
              <w:t>Площадь – 7 га</w:t>
            </w:r>
          </w:p>
          <w:p>
            <w:pPr>
              <w:pStyle w:val="Normal"/>
              <w:widowControl w:val="false"/>
              <w:jc w:val="center"/>
              <w:rPr>
                <w:sz w:val="22"/>
                <w:szCs w:val="22"/>
                <w:lang w:eastAsia="ru-RU"/>
              </w:rPr>
            </w:pPr>
            <w:r>
              <w:rPr>
                <w:sz w:val="22"/>
                <w:szCs w:val="22"/>
                <w:lang w:eastAsia="ru-RU"/>
              </w:rPr>
              <w:t xml:space="preserve">Класс опасности объекта </w:t>
            </w:r>
            <w:r>
              <w:rPr>
                <w:sz w:val="22"/>
                <w:szCs w:val="22"/>
                <w:lang w:val="en-US" w:eastAsia="ru-RU"/>
              </w:rPr>
              <w:t>I</w:t>
            </w:r>
            <w:r>
              <w:rPr>
                <w:sz w:val="22"/>
                <w:szCs w:val="22"/>
                <w:lang w:eastAsia="ru-RU"/>
              </w:rPr>
              <w:t>.</w:t>
            </w:r>
          </w:p>
          <w:p>
            <w:pPr>
              <w:pStyle w:val="Normal"/>
              <w:widowControl w:val="false"/>
              <w:jc w:val="center"/>
              <w:rPr>
                <w:sz w:val="22"/>
                <w:szCs w:val="22"/>
                <w:lang w:eastAsia="ru-RU"/>
              </w:rPr>
            </w:pPr>
            <w:r>
              <w:rPr>
                <w:sz w:val="22"/>
                <w:szCs w:val="22"/>
                <w:lang w:eastAsia="ru-RU"/>
              </w:rPr>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2"/>
                <w:szCs w:val="22"/>
                <w:lang w:eastAsia="ru-RU"/>
              </w:rPr>
              <w:t>Зона складирования и захоронения отходов.</w:t>
            </w:r>
          </w:p>
          <w:p>
            <w:pPr>
              <w:pStyle w:val="Normal"/>
              <w:widowControl w:val="false"/>
              <w:jc w:val="center"/>
              <w:rPr>
                <w:sz w:val="22"/>
                <w:szCs w:val="22"/>
                <w:lang w:eastAsia="ru-RU"/>
              </w:rPr>
            </w:pPr>
            <w:r>
              <w:rPr>
                <w:sz w:val="22"/>
                <w:szCs w:val="22"/>
                <w:lang w:eastAsia="ru-RU"/>
              </w:rPr>
              <w:t>Максимальный процент застройки - не регламентируется. Предельное количество этажей - не регламентируется.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val="en-US" w:eastAsia="ru-RU"/>
              </w:rPr>
            </w:pPr>
            <w:r>
              <w:rPr>
                <w:sz w:val="22"/>
                <w:szCs w:val="22"/>
                <w:lang w:val="en-US" w:eastAsia="ru-RU"/>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2"/>
                <w:szCs w:val="22"/>
                <w:lang w:eastAsia="ru-RU"/>
              </w:rPr>
              <w:t>Устанавливается согласно СанПиН 2.2.1/2.1.1.1200-03,</w:t>
            </w:r>
          </w:p>
          <w:p>
            <w:pPr>
              <w:pStyle w:val="Normal"/>
              <w:widowControl w:val="false"/>
              <w:jc w:val="center"/>
              <w:rPr/>
            </w:pPr>
            <w:r>
              <w:rPr>
                <w:sz w:val="22"/>
                <w:szCs w:val="22"/>
                <w:lang w:eastAsia="ru-RU"/>
              </w:rPr>
              <w:t xml:space="preserve">класс опасности </w:t>
            </w:r>
            <w:r>
              <w:rPr>
                <w:sz w:val="22"/>
                <w:szCs w:val="22"/>
                <w:lang w:val="en-US" w:eastAsia="ru-RU"/>
              </w:rPr>
              <w:t>I</w:t>
            </w:r>
            <w:r>
              <w:rPr>
                <w:sz w:val="22"/>
                <w:szCs w:val="22"/>
                <w:lang w:eastAsia="ru-RU"/>
              </w:rPr>
              <w:t xml:space="preserve"> - 1000</w:t>
            </w:r>
            <w:r>
              <w:rPr>
                <w:sz w:val="22"/>
                <w:szCs w:val="22"/>
                <w:lang w:val="en-US" w:eastAsia="ru-RU"/>
              </w:rPr>
              <w:t> </w:t>
            </w:r>
            <w:r>
              <w:rPr>
                <w:sz w:val="22"/>
                <w:szCs w:val="22"/>
                <w:lang w:eastAsia="ru-RU"/>
              </w:rPr>
              <w:t>м</w:t>
            </w:r>
          </w:p>
        </w:tc>
      </w:tr>
      <w:tr>
        <w:trPr>
          <w:cantSplit w:val="true"/>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val="en-US" w:eastAsia="ru-RU"/>
              </w:rPr>
            </w:pPr>
            <w:r>
              <w:rPr>
                <w:sz w:val="20"/>
                <w:szCs w:val="20"/>
                <w:lang w:val="en-US" w:eastAsia="ru-RU"/>
              </w:rPr>
              <w:t>20.3</w:t>
            </w:r>
          </w:p>
        </w:tc>
        <w:tc>
          <w:tcPr>
            <w:tcW w:w="2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2"/>
                <w:szCs w:val="22"/>
                <w:lang w:val="en-US" w:eastAsia="ru-RU"/>
              </w:rPr>
            </w:pPr>
            <w:r>
              <w:rPr>
                <w:sz w:val="22"/>
                <w:szCs w:val="22"/>
                <w:lang w:val="en-US" w:eastAsia="ru-RU"/>
              </w:rPr>
              <w:t>Ликвидируемый скотомогильник</w:t>
            </w:r>
          </w:p>
        </w:tc>
        <w:tc>
          <w:tcPr>
            <w:tcW w:w="2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2"/>
                <w:szCs w:val="22"/>
                <w:lang w:eastAsia="ru-RU"/>
              </w:rPr>
              <w:t>г.</w:t>
            </w:r>
            <w:r>
              <w:rPr>
                <w:sz w:val="22"/>
                <w:szCs w:val="22"/>
                <w:lang w:val="en-US" w:eastAsia="ru-RU"/>
              </w:rPr>
              <w:t> </w:t>
            </w:r>
            <w:r>
              <w:rPr>
                <w:sz w:val="22"/>
                <w:szCs w:val="22"/>
                <w:lang w:eastAsia="ru-RU"/>
              </w:rPr>
              <w:t>Калуга, ул.</w:t>
            </w:r>
            <w:r>
              <w:rPr>
                <w:sz w:val="22"/>
                <w:szCs w:val="22"/>
                <w:lang w:val="en-US" w:eastAsia="ru-RU"/>
              </w:rPr>
              <w:t> </w:t>
            </w:r>
            <w:r>
              <w:rPr>
                <w:sz w:val="22"/>
                <w:szCs w:val="22"/>
                <w:lang w:eastAsia="ru-RU"/>
              </w:rPr>
              <w:t>Городенская, р-н закрытого полигона ТКО</w:t>
            </w:r>
          </w:p>
        </w:tc>
        <w:tc>
          <w:tcPr>
            <w:tcW w:w="30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2"/>
                <w:szCs w:val="22"/>
                <w:lang w:eastAsia="ru-RU"/>
              </w:rPr>
              <w:t xml:space="preserve">Скотомогильник с захоронениями в ямах. Класс опасности объекта </w:t>
            </w:r>
            <w:r>
              <w:rPr>
                <w:sz w:val="22"/>
                <w:szCs w:val="22"/>
                <w:lang w:val="en-US" w:eastAsia="ru-RU"/>
              </w:rPr>
              <w:t>I</w:t>
            </w:r>
            <w:r>
              <w:rPr>
                <w:sz w:val="22"/>
                <w:szCs w:val="22"/>
                <w:lang w:eastAsia="ru-RU"/>
              </w:rPr>
              <w:t>.</w:t>
            </w:r>
          </w:p>
          <w:p>
            <w:pPr>
              <w:pStyle w:val="Normal"/>
              <w:widowControl w:val="false"/>
              <w:jc w:val="center"/>
              <w:rPr>
                <w:sz w:val="22"/>
                <w:szCs w:val="22"/>
                <w:lang w:eastAsia="ru-RU"/>
              </w:rPr>
            </w:pPr>
            <w:r>
              <w:rPr>
                <w:sz w:val="22"/>
                <w:szCs w:val="22"/>
                <w:lang w:eastAsia="ru-RU"/>
              </w:rPr>
            </w:r>
          </w:p>
        </w:tc>
        <w:tc>
          <w:tcPr>
            <w:tcW w:w="3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2"/>
                <w:szCs w:val="22"/>
                <w:lang w:eastAsia="ru-RU"/>
              </w:rPr>
              <w:t>Зона складирования и захоронения отходов.</w:t>
            </w:r>
          </w:p>
          <w:p>
            <w:pPr>
              <w:pStyle w:val="Normal"/>
              <w:widowControl w:val="false"/>
              <w:jc w:val="center"/>
              <w:rPr>
                <w:sz w:val="22"/>
                <w:szCs w:val="22"/>
                <w:lang w:eastAsia="ru-RU"/>
              </w:rPr>
            </w:pPr>
            <w:r>
              <w:rPr>
                <w:sz w:val="22"/>
                <w:szCs w:val="22"/>
                <w:lang w:eastAsia="ru-RU"/>
              </w:rPr>
              <w:t>Максимальный процент застройки - не регламентируется. Предельное количество этажей - не регламентируется. рекомендуемая плотность населения - не регламентируется.</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val="en-US" w:eastAsia="ru-RU"/>
              </w:rPr>
            </w:pPr>
            <w:r>
              <w:rPr>
                <w:sz w:val="22"/>
                <w:szCs w:val="22"/>
                <w:lang w:val="en-US" w:eastAsia="ru-RU"/>
              </w:rPr>
              <w:t>Первая очередь</w:t>
            </w:r>
          </w:p>
        </w:tc>
        <w:tc>
          <w:tcPr>
            <w:tcW w:w="21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lang w:eastAsia="ru-RU"/>
              </w:rPr>
            </w:pPr>
            <w:r>
              <w:rPr>
                <w:sz w:val="22"/>
                <w:szCs w:val="22"/>
                <w:lang w:eastAsia="ru-RU"/>
              </w:rPr>
              <w:t>Устанавливается согласно СанПиН 2.2.1/2.1.1.1200-03,</w:t>
            </w:r>
          </w:p>
          <w:p>
            <w:pPr>
              <w:pStyle w:val="Normal"/>
              <w:widowControl w:val="false"/>
              <w:jc w:val="center"/>
              <w:rPr/>
            </w:pPr>
            <w:r>
              <w:rPr>
                <w:sz w:val="22"/>
                <w:szCs w:val="22"/>
                <w:lang w:eastAsia="ru-RU"/>
              </w:rPr>
              <w:t xml:space="preserve">класс опасности </w:t>
            </w:r>
            <w:r>
              <w:rPr>
                <w:sz w:val="22"/>
                <w:szCs w:val="22"/>
                <w:lang w:val="en-US" w:eastAsia="ru-RU"/>
              </w:rPr>
              <w:t>I</w:t>
            </w:r>
            <w:r>
              <w:rPr>
                <w:sz w:val="22"/>
                <w:szCs w:val="22"/>
                <w:lang w:eastAsia="ru-RU"/>
              </w:rPr>
              <w:t xml:space="preserve"> - 1000</w:t>
            </w:r>
            <w:r>
              <w:rPr>
                <w:sz w:val="22"/>
                <w:szCs w:val="22"/>
                <w:lang w:val="en-US" w:eastAsia="ru-RU"/>
              </w:rPr>
              <w:t> </w:t>
            </w:r>
            <w:r>
              <w:rPr>
                <w:sz w:val="22"/>
                <w:szCs w:val="22"/>
                <w:lang w:eastAsia="ru-RU"/>
              </w:rPr>
              <w:t>м</w:t>
            </w:r>
          </w:p>
        </w:tc>
      </w:tr>
    </w:tbl>
    <w:p>
      <w:pPr>
        <w:sectPr>
          <w:headerReference w:type="default" r:id="rId13"/>
          <w:headerReference w:type="first" r:id="rId14"/>
          <w:footerReference w:type="default" r:id="rId15"/>
          <w:footerReference w:type="first" r:id="rId16"/>
          <w:type w:val="nextPage"/>
          <w:pgSz w:orient="landscape" w:w="16838" w:h="11906"/>
          <w:pgMar w:left="1418" w:right="1134" w:gutter="0" w:header="624" w:top="1332" w:footer="0" w:bottom="493"/>
          <w:pgNumType w:fmt="decimal"/>
          <w:formProt w:val="false"/>
          <w:textDirection w:val="lrTb"/>
          <w:docGrid w:type="default" w:linePitch="360" w:charSpace="40960"/>
        </w:sectPr>
      </w:pPr>
    </w:p>
    <w:p>
      <w:pPr>
        <w:pStyle w:val="BodyText"/>
        <w:rPr>
          <w:sz w:val="24"/>
          <w:szCs w:val="24"/>
        </w:rPr>
      </w:pPr>
      <w:r>
        <w:rPr>
          <w:sz w:val="24"/>
          <w:szCs w:val="24"/>
        </w:rPr>
        <w:t>- Карта границ населенных пунктов (в том числе границ образуемых населенных пунктов), входящих в состав городского округа города Калуги Калужской области (приложение 1);</w:t>
      </w:r>
    </w:p>
    <w:p>
      <w:pPr>
        <w:pStyle w:val="BodyText"/>
        <w:rPr>
          <w:sz w:val="24"/>
          <w:szCs w:val="24"/>
        </w:rPr>
      </w:pPr>
      <w:r>
        <w:rPr>
          <w:sz w:val="24"/>
          <w:szCs w:val="24"/>
        </w:rPr>
        <w:t>- Карта функциональных зон городского округа города Калуги Калужской области (приложение 2);</w:t>
      </w:r>
    </w:p>
    <w:p>
      <w:pPr>
        <w:pStyle w:val="BodyText"/>
        <w:rPr>
          <w:sz w:val="24"/>
          <w:szCs w:val="24"/>
        </w:rPr>
      </w:pPr>
      <w:r>
        <w:rPr>
          <w:sz w:val="24"/>
          <w:szCs w:val="24"/>
        </w:rPr>
        <w:t xml:space="preserve">- Карта планируемого размещения объектов местного значения городского округа «Город Калуга» </w:t>
      </w:r>
      <w:r>
        <w:rPr>
          <w:rFonts w:eastAsia="Arial"/>
          <w:sz w:val="24"/>
          <w:szCs w:val="24"/>
        </w:rPr>
        <w:t>в</w:t>
      </w:r>
      <w:r>
        <w:rPr>
          <w:sz w:val="24"/>
          <w:szCs w:val="24"/>
        </w:rPr>
        <w:t xml:space="preserve"> област</w:t>
      </w:r>
      <w:r>
        <w:rPr>
          <w:rFonts w:eastAsia="Arial"/>
          <w:sz w:val="24"/>
          <w:szCs w:val="24"/>
        </w:rPr>
        <w:t>и</w:t>
      </w:r>
      <w:r>
        <w:rPr>
          <w:sz w:val="24"/>
          <w:szCs w:val="24"/>
        </w:rPr>
        <w:t xml:space="preserve"> физическ</w:t>
      </w:r>
      <w:r>
        <w:rPr>
          <w:rFonts w:eastAsia="Arial"/>
          <w:sz w:val="24"/>
          <w:szCs w:val="24"/>
        </w:rPr>
        <w:t>ой</w:t>
      </w:r>
      <w:r>
        <w:rPr>
          <w:sz w:val="24"/>
          <w:szCs w:val="24"/>
        </w:rPr>
        <w:t xml:space="preserve"> культур</w:t>
      </w:r>
      <w:r>
        <w:rPr>
          <w:rFonts w:eastAsia="Arial"/>
          <w:sz w:val="24"/>
          <w:szCs w:val="24"/>
        </w:rPr>
        <w:t>ы</w:t>
      </w:r>
      <w:r>
        <w:rPr>
          <w:sz w:val="24"/>
          <w:szCs w:val="24"/>
        </w:rPr>
        <w:t xml:space="preserve"> и массов</w:t>
      </w:r>
      <w:r>
        <w:rPr>
          <w:rFonts w:eastAsia="Arial"/>
          <w:sz w:val="24"/>
          <w:szCs w:val="24"/>
        </w:rPr>
        <w:t>ого</w:t>
      </w:r>
      <w:r>
        <w:rPr>
          <w:sz w:val="24"/>
          <w:szCs w:val="24"/>
        </w:rPr>
        <w:t xml:space="preserve"> спорта, образовани</w:t>
      </w:r>
      <w:r>
        <w:rPr>
          <w:rFonts w:eastAsia="Arial"/>
          <w:sz w:val="24"/>
          <w:szCs w:val="24"/>
        </w:rPr>
        <w:t>я</w:t>
      </w:r>
      <w:r>
        <w:rPr>
          <w:sz w:val="24"/>
          <w:szCs w:val="24"/>
        </w:rPr>
        <w:t>, здравоохранени</w:t>
      </w:r>
      <w:r>
        <w:rPr>
          <w:rFonts w:eastAsia="Arial"/>
          <w:sz w:val="24"/>
          <w:szCs w:val="24"/>
        </w:rPr>
        <w:t>я</w:t>
      </w:r>
      <w:r>
        <w:rPr>
          <w:sz w:val="24"/>
          <w:szCs w:val="24"/>
        </w:rPr>
        <w:t>, обработк</w:t>
      </w:r>
      <w:r>
        <w:rPr>
          <w:rFonts w:eastAsia="Arial"/>
          <w:sz w:val="24"/>
          <w:szCs w:val="24"/>
        </w:rPr>
        <w:t>и</w:t>
      </w:r>
      <w:r>
        <w:rPr>
          <w:sz w:val="24"/>
          <w:szCs w:val="24"/>
        </w:rPr>
        <w:t>, утилизаци</w:t>
      </w:r>
      <w:r>
        <w:rPr>
          <w:rFonts w:eastAsia="Arial"/>
          <w:sz w:val="24"/>
          <w:szCs w:val="24"/>
        </w:rPr>
        <w:t>и</w:t>
      </w:r>
      <w:r>
        <w:rPr>
          <w:sz w:val="24"/>
          <w:szCs w:val="24"/>
        </w:rPr>
        <w:t>, обезвреживани</w:t>
      </w:r>
      <w:r>
        <w:rPr>
          <w:rFonts w:eastAsia="Arial"/>
          <w:sz w:val="24"/>
          <w:szCs w:val="24"/>
        </w:rPr>
        <w:t>я</w:t>
      </w:r>
      <w:r>
        <w:rPr>
          <w:sz w:val="24"/>
          <w:szCs w:val="24"/>
        </w:rPr>
        <w:t>, размещени</w:t>
      </w:r>
      <w:r>
        <w:rPr>
          <w:rFonts w:eastAsia="Arial"/>
          <w:sz w:val="24"/>
          <w:szCs w:val="24"/>
        </w:rPr>
        <w:t>я</w:t>
      </w:r>
      <w:r>
        <w:rPr>
          <w:sz w:val="24"/>
          <w:szCs w:val="24"/>
        </w:rPr>
        <w:t xml:space="preserve"> твердых коммунальных отходов и в иных областях в связи с решением вопросов местного значения городского округа (приложение 3);</w:t>
      </w:r>
    </w:p>
    <w:p>
      <w:pPr>
        <w:pStyle w:val="BodyText"/>
        <w:rPr>
          <w:sz w:val="24"/>
          <w:szCs w:val="24"/>
        </w:rPr>
      </w:pPr>
      <w:r>
        <w:rPr>
          <w:sz w:val="24"/>
          <w:szCs w:val="24"/>
        </w:rPr>
        <w:t>- Карта планируемого размещения объектов местного значения городского округа города Калуги Калужской области в области автомобильных дорог местного значения (приложение 4);</w:t>
      </w:r>
    </w:p>
    <w:p>
      <w:pPr>
        <w:pStyle w:val="BodyText"/>
        <w:rPr>
          <w:sz w:val="24"/>
          <w:szCs w:val="24"/>
        </w:rPr>
      </w:pPr>
      <w:r>
        <w:rPr>
          <w:sz w:val="24"/>
          <w:szCs w:val="24"/>
        </w:rPr>
        <w:t xml:space="preserve">- Карта планируемого размещения объектов местного значения городского округа города Калуги Калужской области, </w:t>
      </w:r>
      <w:r>
        <w:rPr>
          <w:rFonts w:eastAsia="Arial"/>
          <w:sz w:val="24"/>
          <w:szCs w:val="24"/>
        </w:rPr>
        <w:t>в</w:t>
      </w:r>
      <w:r>
        <w:rPr>
          <w:sz w:val="24"/>
          <w:szCs w:val="24"/>
        </w:rPr>
        <w:t xml:space="preserve"> области электро-, тепло-, газо- и водоснабжения населения, водоотведения (приложение 5);</w:t>
      </w:r>
    </w:p>
    <w:p>
      <w:pPr>
        <w:pStyle w:val="BodyText"/>
        <w:rPr>
          <w:color w:val="C9211E"/>
          <w:sz w:val="24"/>
          <w:szCs w:val="24"/>
        </w:rPr>
      </w:pPr>
      <w:r>
        <w:rPr>
          <w:sz w:val="24"/>
          <w:szCs w:val="24"/>
        </w:rPr>
        <w:t>- Материалы по обоснованию. Анализ современного состояния территории, возможных направлений развития и прогнозируемых ограничений ее использования (комплексный градостроительный анализ) (приложение 6);</w:t>
      </w:r>
    </w:p>
    <w:p>
      <w:pPr>
        <w:pStyle w:val="BodyText"/>
        <w:rPr>
          <w:color w:val="C9211E"/>
          <w:sz w:val="24"/>
          <w:szCs w:val="24"/>
        </w:rPr>
      </w:pPr>
      <w:r>
        <w:rPr>
          <w:sz w:val="24"/>
          <w:szCs w:val="24"/>
        </w:rPr>
        <w:t>- Материалы по обоснованию. Концепция градостроительного развития территории городского округа (приложение 7);</w:t>
      </w:r>
    </w:p>
    <w:p>
      <w:pPr>
        <w:pStyle w:val="BodyText"/>
        <w:spacing w:before="0" w:after="60"/>
        <w:rPr/>
      </w:pPr>
      <w:r>
        <w:rPr>
          <w:sz w:val="24"/>
          <w:szCs w:val="24"/>
        </w:rPr>
        <w:t>- Материалы по обоснованию. Перечень земельных участков, которые включаются в границы населенных пунктов, входящих в состав городского округа, или исключаются из границ с указанием категорий земель, к которым планируется отнести эти земельные участки и целей их планируемого использования (приложение 8).</w:t>
      </w:r>
    </w:p>
    <w:sectPr>
      <w:headerReference w:type="default" r:id="rId17"/>
      <w:headerReference w:type="first" r:id="rId18"/>
      <w:footerReference w:type="default" r:id="rId19"/>
      <w:footerReference w:type="first" r:id="rId20"/>
      <w:type w:val="nextPage"/>
      <w:pgSz w:w="11906" w:h="16838"/>
      <w:pgMar w:left="1418" w:right="1134" w:gutter="0" w:header="1134" w:top="1650" w:footer="0" w:bottom="1134"/>
      <w:pgNumType w:fmt="decimal"/>
      <w:formProt w:val="false"/>
      <w:textDirection w:val="lrTb"/>
      <w:docGrid w:type="default" w:linePitch="360" w:charSpace="4096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mbria">
    <w:charset w:val="cc"/>
    <w:family w:val="roman"/>
    <w:pitch w:val="variable"/>
  </w:font>
  <w:font w:name="Calibri">
    <w:charset w:val="cc"/>
    <w:family w:val="roman"/>
    <w:pitch w:val="variable"/>
  </w:font>
  <w:font w:name="Wingdings">
    <w:charset w:val="cc"/>
    <w:family w:val="roman"/>
    <w:pitch w:val="variable"/>
  </w:font>
  <w:font w:name="Symbol">
    <w:charset w:val="cc"/>
    <w:family w:val="roman"/>
    <w:pitch w:val="variable"/>
  </w:font>
  <w:font w:name="Courier New">
    <w:charset w:val="cc"/>
    <w:family w:val="roman"/>
    <w:pitch w:val="variable"/>
  </w:font>
  <w:font w:name="Tahoma">
    <w:charset w:val="cc"/>
    <w:family w:val="roman"/>
    <w:pitch w:val="variable"/>
  </w:font>
  <w:font w:name="Consolas">
    <w:charset w:val="cc"/>
    <w:family w:val="roman"/>
    <w:pitch w:val="variable"/>
  </w:font>
  <w:font w:name="Arial">
    <w:charset w:val="cc"/>
    <w:family w:val="roman"/>
    <w:pitch w:val="variable"/>
  </w:font>
  <w:font w:name="Segoe UI">
    <w:charset w:val="cc"/>
    <w:family w:val="roman"/>
    <w:pitch w:val="variable"/>
  </w:font>
  <w:font w:name="Verdana">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cen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53"/>
      <w:jc w:val="cent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53"/>
      <w:jc w:val="center"/>
      <w:rPr/>
    </w:pPr>
    <w:bookmarkStart w:id="3" w:name="_GoBack6"/>
    <w:bookmarkEnd w:id="3"/>
    <w:r>
      <w:rPr/>
      <w:fldChar w:fldCharType="begin"/>
    </w:r>
    <w:r>
      <w:rPr/>
      <w:instrText xml:space="preserve"> PAGE </w:instrText>
    </w:r>
    <w:r>
      <w:rPr/>
      <w:fldChar w:fldCharType="separate"/>
    </w:r>
    <w:r>
      <w:rPr/>
      <w:t>2</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53"/>
      <w:jc w:val="center"/>
      <w:rPr/>
    </w:pPr>
    <w:r>
      <w:rPr/>
      <w:fldChar w:fldCharType="begin"/>
    </w:r>
    <w:r>
      <w:rPr/>
      <w:instrText xml:space="preserve"> PAGE </w:instrText>
    </w:r>
    <w:r>
      <w:rPr/>
      <w:fldChar w:fldCharType="separate"/>
    </w:r>
    <w:r>
      <w:rPr/>
      <w:t>39</w:t>
    </w:r>
    <w:r>
      <w:rPr/>
      <w:fldChar w:fldCharType="end"/>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53"/>
      <w:jc w:val="center"/>
      <w:rPr/>
    </w:pPr>
    <w:bookmarkStart w:id="7" w:name="_GoBack657"/>
    <w:bookmarkEnd w:id="7"/>
    <w:r>
      <w:rPr/>
      <w:fldChar w:fldCharType="begin"/>
    </w:r>
    <w:r>
      <w:rPr/>
      <w:instrText xml:space="preserve"> PAGE </w:instrText>
    </w:r>
    <w:r>
      <w:rPr/>
      <w:fldChar w:fldCharType="separate"/>
    </w:r>
    <w:r>
      <w:rPr/>
      <w:t>116</w:t>
    </w:r>
    <w:r>
      <w:rPr/>
      <w:fldChar w:fldCharType="end"/>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53"/>
      <w:jc w:val="center"/>
      <w:rPr/>
    </w:pPr>
    <w:r>
      <w:rPr/>
      <w:fldChar w:fldCharType="begin"/>
    </w:r>
    <w:r>
      <w:rPr/>
      <w:instrText xml:space="preserve"> PAGE </w:instrText>
    </w:r>
    <w:r>
      <w:rPr/>
      <w:fldChar w:fldCharType="separate"/>
    </w:r>
    <w:r>
      <w:rPr/>
      <w:t>117</w:t>
    </w:r>
    <w:r>
      <w:rPr/>
      <w:fldChar w:fldCharType="end"/>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644" w:hanging="360"/>
      </w:pPr>
      <w:rPr/>
    </w:lvl>
    <w:lvl w:ilvl="1">
      <w:start w:val="2"/>
      <w:numFmt w:val="decimal"/>
      <w:lvlText w:val="%1.%2."/>
      <w:lvlJc w:val="left"/>
      <w:pPr>
        <w:tabs>
          <w:tab w:val="num" w:pos="0"/>
        </w:tabs>
        <w:ind w:left="720" w:hanging="360"/>
      </w:pPr>
      <w:rPr/>
    </w:lvl>
    <w:lvl w:ilvl="2">
      <w:start w:val="1"/>
      <w:numFmt w:val="decimal"/>
      <w:lvlText w:val="%1.%2.%3."/>
      <w:lvlJc w:val="left"/>
      <w:pPr>
        <w:tabs>
          <w:tab w:val="num" w:pos="0"/>
        </w:tabs>
        <w:ind w:left="1080" w:hanging="720"/>
      </w:pPr>
      <w:rPr/>
    </w:lvl>
    <w:lvl w:ilvl="3">
      <w:start w:val="1"/>
      <w:numFmt w:val="decimal"/>
      <w:lvlText w:val="%1.%2.%3.%4."/>
      <w:lvlJc w:val="left"/>
      <w:pPr>
        <w:tabs>
          <w:tab w:val="num" w:pos="0"/>
        </w:tabs>
        <w:ind w:left="1080" w:hanging="72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440" w:hanging="1080"/>
      </w:pPr>
      <w:rPr/>
    </w:lvl>
    <w:lvl w:ilvl="6">
      <w:start w:val="1"/>
      <w:numFmt w:val="decimal"/>
      <w:lvlText w:val="%1.%2.%3.%4.%5.%6.%7."/>
      <w:lvlJc w:val="left"/>
      <w:pPr>
        <w:tabs>
          <w:tab w:val="num" w:pos="0"/>
        </w:tabs>
        <w:ind w:left="1800" w:hanging="1440"/>
      </w:pPr>
      <w:rPr/>
    </w:lvl>
    <w:lvl w:ilvl="7">
      <w:start w:val="1"/>
      <w:numFmt w:val="decimal"/>
      <w:lvlText w:val="%1.%2.%3.%4.%5.%6.%7.%8."/>
      <w:lvlJc w:val="left"/>
      <w:pPr>
        <w:tabs>
          <w:tab w:val="num" w:pos="0"/>
        </w:tabs>
        <w:ind w:left="1800" w:hanging="1440"/>
      </w:pPr>
      <w:rPr/>
    </w:lvl>
    <w:lvl w:ilvl="8">
      <w:start w:val="1"/>
      <w:numFmt w:val="decimal"/>
      <w:lvlText w:val="%1.%2.%3.%4.%5.%6.%7.%8.%9."/>
      <w:lvlJc w:val="left"/>
      <w:pPr>
        <w:tabs>
          <w:tab w:val="num" w:pos="0"/>
        </w:tabs>
        <w:ind w:left="2160" w:hanging="180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embedSystemFonts/>
  <w:defaultTabStop w:val="397"/>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Heading1">
    <w:name w:val="Heading 1"/>
    <w:basedOn w:val="Normal"/>
    <w:next w:val="Style50"/>
    <w:qFormat/>
    <w:pPr>
      <w:keepNext w:val="true"/>
      <w:pageBreakBefore/>
      <w:tabs>
        <w:tab w:val="clear" w:pos="397"/>
        <w:tab w:val="left" w:pos="851" w:leader="none"/>
      </w:tabs>
      <w:spacing w:before="240" w:after="120"/>
      <w:jc w:val="center"/>
      <w:outlineLvl w:val="0"/>
    </w:pPr>
    <w:rPr>
      <w:b/>
      <w:bCs/>
      <w:caps/>
      <w:kern w:val="2"/>
      <w:sz w:val="28"/>
      <w:szCs w:val="28"/>
    </w:rPr>
  </w:style>
  <w:style w:type="paragraph" w:styleId="Heading2">
    <w:name w:val="Heading 2"/>
    <w:basedOn w:val="Normal"/>
    <w:next w:val="Style50"/>
    <w:qFormat/>
    <w:pPr>
      <w:keepNext w:val="true"/>
      <w:tabs>
        <w:tab w:val="clear" w:pos="397"/>
        <w:tab w:val="left" w:pos="1134" w:leader="none"/>
        <w:tab w:val="left" w:pos="1276" w:leader="none"/>
      </w:tabs>
      <w:spacing w:before="180" w:after="60"/>
      <w:jc w:val="center"/>
      <w:outlineLvl w:val="1"/>
    </w:pPr>
    <w:rPr>
      <w:b/>
      <w:bCs/>
      <w:sz w:val="28"/>
      <w:szCs w:val="28"/>
    </w:rPr>
  </w:style>
  <w:style w:type="paragraph" w:styleId="Heading3">
    <w:name w:val="Heading 3"/>
    <w:basedOn w:val="Normal"/>
    <w:next w:val="Style50"/>
    <w:qFormat/>
    <w:pPr>
      <w:keepNext w:val="true"/>
      <w:tabs>
        <w:tab w:val="clear" w:pos="397"/>
        <w:tab w:val="left" w:pos="1276" w:leader="none"/>
      </w:tabs>
      <w:spacing w:before="120" w:after="60"/>
      <w:ind w:hanging="0" w:left="567"/>
      <w:jc w:val="center"/>
      <w:outlineLvl w:val="2"/>
    </w:pPr>
    <w:rPr>
      <w:rFonts w:ascii="Cambria" w:hAnsi="Cambria" w:cs="Cambria"/>
      <w:b/>
      <w:bCs/>
      <w:sz w:val="26"/>
      <w:szCs w:val="26"/>
    </w:rPr>
  </w:style>
  <w:style w:type="paragraph" w:styleId="Heading4">
    <w:name w:val="Heading 4"/>
    <w:basedOn w:val="Normal"/>
    <w:next w:val="Style50"/>
    <w:qFormat/>
    <w:pPr>
      <w:keepNext w:val="true"/>
      <w:tabs>
        <w:tab w:val="clear" w:pos="397"/>
        <w:tab w:val="left" w:pos="1418" w:leader="none"/>
      </w:tabs>
      <w:spacing w:before="120" w:after="60"/>
      <w:outlineLvl w:val="3"/>
    </w:pPr>
    <w:rPr>
      <w:rFonts w:ascii="Calibri" w:hAnsi="Calibri" w:cs="Calibri"/>
      <w:b/>
      <w:bCs/>
      <w:sz w:val="28"/>
      <w:szCs w:val="28"/>
    </w:rPr>
  </w:style>
  <w:style w:type="paragraph" w:styleId="Heading5">
    <w:name w:val="Heading 5"/>
    <w:basedOn w:val="Normal"/>
    <w:next w:val="Style50"/>
    <w:qFormat/>
    <w:pPr>
      <w:tabs>
        <w:tab w:val="clear" w:pos="397"/>
        <w:tab w:val="left" w:pos="1701" w:leader="none"/>
      </w:tabs>
      <w:spacing w:before="240" w:after="60"/>
      <w:outlineLvl w:val="4"/>
    </w:pPr>
    <w:rPr>
      <w:rFonts w:ascii="Calibri" w:hAnsi="Calibri" w:cs="Calibri"/>
      <w:b/>
      <w:bCs/>
      <w:i/>
      <w:iCs/>
      <w:sz w:val="26"/>
      <w:szCs w:val="26"/>
    </w:rPr>
  </w:style>
  <w:style w:type="paragraph" w:styleId="Heading6">
    <w:name w:val="Heading 6"/>
    <w:basedOn w:val="Normal"/>
    <w:next w:val="Normal"/>
    <w:qFormat/>
    <w:pPr>
      <w:spacing w:before="240" w:after="60"/>
      <w:outlineLvl w:val="5"/>
    </w:pPr>
    <w:rPr>
      <w:rFonts w:ascii="Calibri" w:hAnsi="Calibri" w:cs="Calibri"/>
      <w:b/>
      <w:bCs/>
    </w:rPr>
  </w:style>
  <w:style w:type="paragraph" w:styleId="Heading7">
    <w:name w:val="Heading 7"/>
    <w:basedOn w:val="Normal"/>
    <w:next w:val="Normal"/>
    <w:qFormat/>
    <w:pPr>
      <w:spacing w:before="240" w:after="60"/>
      <w:outlineLvl w:val="6"/>
    </w:pPr>
    <w:rPr>
      <w:rFonts w:ascii="Calibri" w:hAnsi="Calibri" w:cs="Calibri"/>
    </w:rPr>
  </w:style>
  <w:style w:type="paragraph" w:styleId="Heading8">
    <w:name w:val="Heading 8"/>
    <w:basedOn w:val="Normal"/>
    <w:next w:val="Normal"/>
    <w:qFormat/>
    <w:pPr>
      <w:spacing w:before="240" w:after="60"/>
      <w:outlineLvl w:val="7"/>
    </w:pPr>
    <w:rPr>
      <w:rFonts w:ascii="Calibri" w:hAnsi="Calibri" w:cs="Calibri"/>
      <w:i/>
      <w:iCs/>
    </w:rPr>
  </w:style>
  <w:style w:type="paragraph" w:styleId="Heading9">
    <w:name w:val="Heading 9"/>
    <w:basedOn w:val="Normal"/>
    <w:next w:val="Normal"/>
    <w:qFormat/>
    <w:pPr>
      <w:spacing w:before="240" w:after="60"/>
      <w:outlineLvl w:val="8"/>
    </w:pPr>
    <w:rPr>
      <w:rFonts w:ascii="Cambria" w:hAnsi="Cambria" w:cs="Cambria"/>
    </w:rPr>
  </w:style>
  <w:style w:type="character" w:styleId="DefaultParagraphFont" w:default="1">
    <w:name w:val="Default Paragraph Font"/>
    <w:uiPriority w:val="1"/>
    <w:semiHidden/>
    <w:unhideWhenUsed/>
    <w:qFormat/>
    <w:rPr/>
  </w:style>
  <w:style w:type="character" w:styleId="WW8Num1z0" w:customStyle="1">
    <w:name w:val="WW8Num1z0"/>
    <w:qFormat/>
    <w:rPr>
      <w:rFonts w:cs="Times New Roman"/>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rFonts w:ascii="Wingdings" w:hAnsi="Wingdings" w:cs="Wingdings"/>
    </w:rPr>
  </w:style>
  <w:style w:type="character" w:styleId="WW8Num3z0" w:customStyle="1">
    <w:name w:val="WW8Num3z0"/>
    <w:qFormat/>
    <w:rPr>
      <w:rFonts w:ascii="Wingdings" w:hAnsi="Wingdings" w:cs="Wingdings"/>
    </w:rPr>
  </w:style>
  <w:style w:type="character" w:styleId="WW8Num4z0" w:customStyle="1">
    <w:name w:val="WW8Num4z0"/>
    <w:qFormat/>
    <w:rPr>
      <w:rFonts w:cs="Times New Roman"/>
    </w:rPr>
  </w:style>
  <w:style w:type="character" w:styleId="WW8Num4z1" w:customStyle="1">
    <w:name w:val="WW8Num4z1"/>
    <w:qFormat/>
    <w:rPr>
      <w:rFonts w:ascii="Times New Roman" w:hAnsi="Times New Roman" w:cs="Times New Roman"/>
      <w:b/>
      <w:bCs/>
      <w:i w:val="false"/>
      <w:iCs w:val="false"/>
      <w:spacing w:val="0"/>
      <w:w w:val="100"/>
      <w:position w:val="0"/>
      <w:sz w:val="28"/>
      <w:sz w:val="28"/>
      <w:szCs w:val="28"/>
      <w:vertAlign w:val="baseline"/>
    </w:rPr>
  </w:style>
  <w:style w:type="character" w:styleId="WW8Num4z2" w:customStyle="1">
    <w:name w:val="WW8Num4z2"/>
    <w:qFormat/>
    <w:rPr>
      <w:bCs/>
      <w:i w:val="false"/>
      <w:iCs w:val="false"/>
      <w:color w:val="000000"/>
    </w:rPr>
  </w:style>
  <w:style w:type="character" w:styleId="WW8Num4z3" w:customStyle="1">
    <w:name w:val="WW8Num4z3"/>
    <w:qFormat/>
    <w:rPr>
      <w:bCs/>
      <w:i w:val="false"/>
      <w:iCs w:val="false"/>
      <w:color w:val="000000"/>
      <w:spacing w:val="0"/>
      <w:w w:val="100"/>
      <w:position w:val="0"/>
      <w:sz w:val="24"/>
      <w:sz w:val="24"/>
      <w:vertAlign w:val="baseline"/>
    </w:rPr>
  </w:style>
  <w:style w:type="character" w:styleId="WW8Num5z0" w:customStyle="1">
    <w:name w:val="WW8Num5z0"/>
    <w:qFormat/>
    <w:rPr>
      <w:rFonts w:ascii="Times New Roman" w:hAnsi="Times New Roman" w:cs="Times New Roman"/>
    </w:rPr>
  </w:style>
  <w:style w:type="character" w:styleId="WW8Num5z2" w:customStyle="1">
    <w:name w:val="WW8Num5z2"/>
    <w:qFormat/>
    <w:rPr>
      <w:rFonts w:ascii="Symbol" w:hAnsi="Symbol" w:cs="Symbol"/>
    </w:rPr>
  </w:style>
  <w:style w:type="character" w:styleId="WW8Num6z0" w:customStyle="1">
    <w:name w:val="WW8Num6z0"/>
    <w:qFormat/>
    <w:rPr>
      <w:rFonts w:ascii="Symbol" w:hAnsi="Symbol" w:cs="Symbol"/>
      <w:color w:val="000000"/>
      <w:sz w:val="24"/>
      <w:szCs w:val="24"/>
      <w:lang w:eastAsia="en-US"/>
    </w:rPr>
  </w:style>
  <w:style w:type="character" w:styleId="WW8Num6z1" w:customStyle="1">
    <w:name w:val="WW8Num6z1"/>
    <w:qFormat/>
    <w:rPr>
      <w:rFonts w:ascii="Symbol" w:hAnsi="Symbol" w:cs="Symbol"/>
      <w:sz w:val="24"/>
      <w:szCs w:val="28"/>
    </w:rPr>
  </w:style>
  <w:style w:type="character" w:styleId="WW8Num6z3" w:customStyle="1">
    <w:name w:val="WW8Num6z3"/>
    <w:qFormat/>
    <w:rPr>
      <w:rFonts w:ascii="Times New Roman" w:hAnsi="Times New Roman" w:cs="Times New Roman"/>
    </w:rPr>
  </w:style>
  <w:style w:type="character" w:styleId="WW8Num7z0" w:customStyle="1">
    <w:name w:val="WW8Num7z0"/>
    <w:qFormat/>
    <w:rPr>
      <w:rFonts w:ascii="Wingdings" w:hAnsi="Wingdings" w:cs="Wingdings"/>
    </w:rPr>
  </w:style>
  <w:style w:type="character" w:styleId="WW8Num8z0" w:customStyle="1">
    <w:name w:val="WW8Num8z0"/>
    <w:qFormat/>
    <w:rPr>
      <w:rFonts w:cs="Times New Roman"/>
    </w:rPr>
  </w:style>
  <w:style w:type="character" w:styleId="WW8Num9z0" w:customStyle="1">
    <w:name w:val="WW8Num9z0"/>
    <w:qFormat/>
    <w:rPr>
      <w:rFonts w:cs="Times New Roman"/>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1" w:customStyle="1">
    <w:name w:val="WW8Num5z1"/>
    <w:qFormat/>
    <w:rPr>
      <w:rFonts w:ascii="Times New Roman" w:hAnsi="Times New Roman" w:cs="Times New Roman"/>
      <w:b/>
      <w:bCs/>
      <w:i w:val="false"/>
      <w:iCs w:val="false"/>
      <w:spacing w:val="0"/>
      <w:w w:val="100"/>
      <w:position w:val="0"/>
      <w:sz w:val="28"/>
      <w:sz w:val="28"/>
      <w:szCs w:val="28"/>
      <w:vertAlign w:val="baseline"/>
    </w:rPr>
  </w:style>
  <w:style w:type="character" w:styleId="WW8Num5z3" w:customStyle="1">
    <w:name w:val="WW8Num5z3"/>
    <w:qFormat/>
    <w:rPr>
      <w:bCs/>
      <w:i w:val="false"/>
      <w:iCs w:val="false"/>
      <w:color w:val="000000"/>
      <w:spacing w:val="0"/>
      <w:w w:val="100"/>
      <w:position w:val="0"/>
      <w:sz w:val="24"/>
      <w:sz w:val="24"/>
      <w:vertAlign w:val="baseline"/>
    </w:rPr>
  </w:style>
  <w:style w:type="character" w:styleId="WW8Num6z2" w:customStyle="1">
    <w:name w:val="WW8Num6z2"/>
    <w:qFormat/>
    <w:rPr>
      <w:rFonts w:ascii="Symbol" w:hAnsi="Symbol" w:cs="Symbol"/>
    </w:rPr>
  </w:style>
  <w:style w:type="character" w:styleId="WW8Num7z1" w:customStyle="1">
    <w:name w:val="WW8Num7z1"/>
    <w:qFormat/>
    <w:rPr>
      <w:rFonts w:ascii="Symbol" w:hAnsi="Symbol" w:cs="Symbol"/>
      <w:sz w:val="24"/>
      <w:szCs w:val="28"/>
    </w:rPr>
  </w:style>
  <w:style w:type="character" w:styleId="WW8Num7z3" w:customStyle="1">
    <w:name w:val="WW8Num7z3"/>
    <w:qFormat/>
    <w:rPr>
      <w:rFonts w:ascii="Times New Roman" w:hAnsi="Times New Roman" w:cs="Times New Roman"/>
    </w:rPr>
  </w:style>
  <w:style w:type="character" w:styleId="WW8Num10z0" w:customStyle="1">
    <w:name w:val="WW8Num10z0"/>
    <w:qFormat/>
    <w:rPr/>
  </w:style>
  <w:style w:type="character" w:styleId="WW8Num11z0" w:customStyle="1">
    <w:name w:val="WW8Num11z0"/>
    <w:qFormat/>
    <w:rPr>
      <w:rFonts w:cs="Times New Roman"/>
    </w:rPr>
  </w:style>
  <w:style w:type="character" w:styleId="3" w:customStyle="1">
    <w:name w:val="Основной шрифт абзаца3"/>
    <w:qFormat/>
    <w:rPr/>
  </w:style>
  <w:style w:type="character" w:styleId="2" w:customStyle="1">
    <w:name w:val="Основной шрифт абзаца2"/>
    <w:qFormat/>
    <w:rPr/>
  </w:style>
  <w:style w:type="character" w:styleId="7" w:customStyle="1">
    <w:name w:val="Заголовок 7 Знак"/>
    <w:qFormat/>
    <w:rPr>
      <w:rFonts w:ascii="Calibri" w:hAnsi="Calibri" w:cs="Calibri"/>
      <w:sz w:val="24"/>
      <w:szCs w:val="24"/>
    </w:rPr>
  </w:style>
  <w:style w:type="character" w:styleId="1" w:customStyle="1">
    <w:name w:val="Список_маркерный_1_уровень Знак"/>
    <w:qFormat/>
    <w:rPr>
      <w:sz w:val="24"/>
      <w:szCs w:val="24"/>
      <w:lang w:val="ru-RU" w:bidi="ar-SA"/>
    </w:rPr>
  </w:style>
  <w:style w:type="character" w:styleId="WW8Num34z1" w:customStyle="1">
    <w:name w:val="WW8Num34z1"/>
    <w:qFormat/>
    <w:rPr>
      <w:rFonts w:ascii="Courier New" w:hAnsi="Courier New" w:cs="Courier New"/>
    </w:rPr>
  </w:style>
  <w:style w:type="character" w:styleId="Style5" w:customStyle="1">
    <w:name w:val="Таблица_номер_таблицы Знак"/>
    <w:qFormat/>
    <w:rPr>
      <w:sz w:val="24"/>
      <w:szCs w:val="24"/>
      <w:lang w:val="ru-RU" w:bidi="ar-SA"/>
    </w:rPr>
  </w:style>
  <w:style w:type="character" w:styleId="Style6" w:customStyle="1">
    <w:name w:val="Список Знак"/>
    <w:qFormat/>
    <w:rPr>
      <w:sz w:val="24"/>
      <w:szCs w:val="24"/>
    </w:rPr>
  </w:style>
  <w:style w:type="character" w:styleId="WW8Num35z0" w:customStyle="1">
    <w:name w:val="WW8Num35z0"/>
    <w:qFormat/>
    <w:rPr>
      <w:rFonts w:ascii="Wingdings" w:hAnsi="Wingdings" w:cs="Wingdings"/>
    </w:rPr>
  </w:style>
  <w:style w:type="character" w:styleId="11" w:customStyle="1">
    <w:name w:val="Знак примечания1"/>
    <w:qFormat/>
    <w:rPr>
      <w:rFonts w:cs="Times New Roman"/>
      <w:sz w:val="16"/>
      <w:szCs w:val="16"/>
    </w:rPr>
  </w:style>
  <w:style w:type="character" w:styleId="21" w:customStyle="1">
    <w:name w:val="Список_маркерный_2_уровень Знак"/>
    <w:basedOn w:val="Style6"/>
    <w:qFormat/>
    <w:rPr>
      <w:sz w:val="24"/>
      <w:szCs w:val="24"/>
    </w:rPr>
  </w:style>
  <w:style w:type="character" w:styleId="Style7" w:customStyle="1">
    <w:name w:val="Основной текст Знак"/>
    <w:qFormat/>
    <w:rPr>
      <w:rFonts w:cs="Times New Roman"/>
      <w:sz w:val="24"/>
      <w:szCs w:val="24"/>
      <w:lang w:val="ru-RU"/>
    </w:rPr>
  </w:style>
  <w:style w:type="character" w:styleId="WW8Num30z1" w:customStyle="1">
    <w:name w:val="WW8Num30z1"/>
    <w:qFormat/>
    <w:rPr>
      <w:rFonts w:ascii="Courier New" w:hAnsi="Courier New" w:cs="Courier New"/>
    </w:rPr>
  </w:style>
  <w:style w:type="character" w:styleId="9" w:customStyle="1">
    <w:name w:val="Заголовок 9 Знак"/>
    <w:qFormat/>
    <w:rPr>
      <w:rFonts w:ascii="Cambria" w:hAnsi="Cambria" w:cs="Cambria"/>
    </w:rPr>
  </w:style>
  <w:style w:type="character" w:styleId="22" w:customStyle="1">
    <w:name w:val="Заголовок 2 Знак"/>
    <w:qFormat/>
    <w:rPr>
      <w:b/>
      <w:bCs/>
      <w:sz w:val="28"/>
      <w:szCs w:val="28"/>
    </w:rPr>
  </w:style>
  <w:style w:type="character" w:styleId="Style8" w:customStyle="1">
    <w:name w:val="Символ сноски"/>
    <w:qFormat/>
    <w:rPr>
      <w:vertAlign w:val="superscript"/>
    </w:rPr>
  </w:style>
  <w:style w:type="character" w:styleId="Strong">
    <w:name w:val="Strong"/>
    <w:qFormat/>
    <w:rPr>
      <w:rFonts w:cs="Times New Roman"/>
      <w:b/>
      <w:bCs/>
    </w:rPr>
  </w:style>
  <w:style w:type="character" w:styleId="Pagenumber">
    <w:name w:val="page number"/>
    <w:qFormat/>
    <w:rPr>
      <w:rFonts w:cs="Times New Roman"/>
    </w:rPr>
  </w:style>
  <w:style w:type="character" w:styleId="Style9">
    <w:name w:val="Выделение"/>
    <w:qFormat/>
    <w:rPr>
      <w:rFonts w:cs="Times New Roman"/>
      <w:i/>
      <w:iCs/>
    </w:rPr>
  </w:style>
  <w:style w:type="character" w:styleId="Style10" w:customStyle="1">
    <w:name w:val="Символы концевой сноски"/>
    <w:qFormat/>
    <w:rPr>
      <w:vertAlign w:val="superscript"/>
    </w:rPr>
  </w:style>
  <w:style w:type="character" w:styleId="Hyperlink" w:customStyle="1">
    <w:name w:val="Hyperlink"/>
    <w:basedOn w:val="DefaultParagraphFont"/>
    <w:uiPriority w:val="99"/>
    <w:unhideWhenUsed/>
    <w:rPr>
      <w:color w:themeColor="hyperlink" w:val="0563C1"/>
      <w:u w:val="single"/>
    </w:rPr>
  </w:style>
  <w:style w:type="character" w:styleId="FollowedHyperlink" w:customStyle="1">
    <w:name w:val="FollowedHyperlink"/>
    <w:qFormat/>
    <w:rPr>
      <w:color w:val="800080"/>
    </w:rPr>
  </w:style>
  <w:style w:type="character" w:styleId="WW8Num24z3" w:customStyle="1">
    <w:name w:val="WW8Num24z3"/>
    <w:qFormat/>
    <w:rPr>
      <w:bCs/>
      <w:i w:val="false"/>
      <w:iCs w:val="false"/>
      <w:color w:val="000000"/>
      <w:spacing w:val="0"/>
      <w:w w:val="100"/>
      <w:position w:val="0"/>
      <w:sz w:val="24"/>
      <w:sz w:val="24"/>
      <w:vertAlign w:val="baseline"/>
    </w:rPr>
  </w:style>
  <w:style w:type="character" w:styleId="31" w:customStyle="1">
    <w:name w:val="Заголовок_подзаголовок_3 Знак"/>
    <w:qFormat/>
    <w:rPr>
      <w:b/>
      <w:bCs/>
      <w:sz w:val="24"/>
      <w:szCs w:val="24"/>
      <w:u w:val="single"/>
      <w:lang w:val="ru-RU" w:bidi="ar-SA"/>
    </w:rPr>
  </w:style>
  <w:style w:type="character" w:styleId="WW8Num12z0" w:customStyle="1">
    <w:name w:val="WW8Num12z0"/>
    <w:qFormat/>
    <w:rPr>
      <w:rFonts w:ascii="Symbol" w:hAnsi="Symbol" w:cs="Symbol"/>
    </w:rPr>
  </w:style>
  <w:style w:type="character" w:styleId="111" w:customStyle="1">
    <w:name w:val="Табличный_нумерация_11 Знак"/>
    <w:qFormat/>
    <w:rPr>
      <w:sz w:val="22"/>
      <w:szCs w:val="22"/>
      <w:lang w:val="ru-RU" w:bidi="ar-SA"/>
    </w:rPr>
  </w:style>
  <w:style w:type="character" w:styleId="112" w:customStyle="1">
    <w:name w:val="Табличный_боковик_11 Знак"/>
    <w:qFormat/>
    <w:rPr>
      <w:sz w:val="22"/>
      <w:szCs w:val="22"/>
      <w:lang w:val="ru-RU" w:bidi="ar-SA"/>
    </w:rPr>
  </w:style>
  <w:style w:type="character" w:styleId="WW8Num19z2" w:customStyle="1">
    <w:name w:val="WW8Num19z2"/>
    <w:qFormat/>
    <w:rPr>
      <w:rFonts w:ascii="Wingdings" w:hAnsi="Wingdings" w:cs="Wingdings"/>
    </w:rPr>
  </w:style>
  <w:style w:type="character" w:styleId="WW8Num18z2" w:customStyle="1">
    <w:name w:val="WW8Num18z2"/>
    <w:qFormat/>
    <w:rPr>
      <w:rFonts w:ascii="Wingdings" w:hAnsi="Wingdings" w:cs="Wingdings"/>
    </w:rPr>
  </w:style>
  <w:style w:type="character" w:styleId="WW8Num25z0" w:customStyle="1">
    <w:name w:val="WW8Num25z0"/>
    <w:qFormat/>
    <w:rPr>
      <w:rFonts w:ascii="Times New Roman" w:hAnsi="Times New Roman" w:cs="Times New Roman"/>
    </w:rPr>
  </w:style>
  <w:style w:type="character" w:styleId="WW8Num20z0" w:customStyle="1">
    <w:name w:val="WW8Num20z0"/>
    <w:qFormat/>
    <w:rPr>
      <w:rFonts w:ascii="Symbol" w:hAnsi="Symbol" w:cs="Symbol"/>
    </w:rPr>
  </w:style>
  <w:style w:type="character" w:styleId="WW8Num26z1" w:customStyle="1">
    <w:name w:val="WW8Num26z1"/>
    <w:qFormat/>
    <w:rPr>
      <w:rFonts w:ascii="Courier New" w:hAnsi="Courier New" w:cs="Courier New"/>
    </w:rPr>
  </w:style>
  <w:style w:type="character" w:styleId="WW8Num24z2" w:customStyle="1">
    <w:name w:val="WW8Num24z2"/>
    <w:qFormat/>
    <w:rPr>
      <w:bCs/>
      <w:i w:val="false"/>
      <w:iCs w:val="false"/>
      <w:color w:val="000000"/>
    </w:rPr>
  </w:style>
  <w:style w:type="character" w:styleId="WW8Num22z0" w:customStyle="1">
    <w:name w:val="WW8Num22z0"/>
    <w:qFormat/>
    <w:rPr>
      <w:rFonts w:ascii="Symbol" w:hAnsi="Symbol" w:cs="Symbol"/>
    </w:rPr>
  </w:style>
  <w:style w:type="character" w:styleId="WW8Num1z1" w:customStyle="1">
    <w:name w:val="WW8Num1z1"/>
    <w:qFormat/>
    <w:rPr>
      <w:rFonts w:ascii="Courier New" w:hAnsi="Courier New" w:cs="Courier New"/>
    </w:rPr>
  </w:style>
  <w:style w:type="character" w:styleId="WW8Num3z1" w:customStyle="1">
    <w:name w:val="WW8Num3z1"/>
    <w:qFormat/>
    <w:rPr>
      <w:rFonts w:ascii="Courier New" w:hAnsi="Courier New" w:cs="Courier New"/>
    </w:rPr>
  </w:style>
  <w:style w:type="character" w:styleId="WW8Num24z0" w:customStyle="1">
    <w:name w:val="WW8Num24z0"/>
    <w:qFormat/>
    <w:rPr>
      <w:rFonts w:cs="Times New Roman"/>
    </w:rPr>
  </w:style>
  <w:style w:type="character" w:styleId="WW8Num19z0" w:customStyle="1">
    <w:name w:val="WW8Num19z0"/>
    <w:qFormat/>
    <w:rPr>
      <w:color w:val="000000"/>
    </w:rPr>
  </w:style>
  <w:style w:type="character" w:styleId="WW8Num11z3" w:customStyle="1">
    <w:name w:val="WW8Num11z3"/>
    <w:qFormat/>
    <w:rPr/>
  </w:style>
  <w:style w:type="character" w:styleId="WW8Num11z4" w:customStyle="1">
    <w:name w:val="WW8Num11z4"/>
    <w:qFormat/>
    <w:rPr/>
  </w:style>
  <w:style w:type="character" w:styleId="WW8Num11z6" w:customStyle="1">
    <w:name w:val="WW8Num11z6"/>
    <w:qFormat/>
    <w:rPr/>
  </w:style>
  <w:style w:type="character" w:styleId="WW8Num26z2" w:customStyle="1">
    <w:name w:val="WW8Num26z2"/>
    <w:qFormat/>
    <w:rPr>
      <w:rFonts w:ascii="Wingdings" w:hAnsi="Wingdings" w:cs="Wingdings"/>
    </w:rPr>
  </w:style>
  <w:style w:type="character" w:styleId="WW8Num2z2" w:customStyle="1">
    <w:name w:val="WW8Num2z2"/>
    <w:qFormat/>
    <w:rPr>
      <w:rFonts w:ascii="Wingdings" w:hAnsi="Wingdings" w:cs="Wingdings"/>
    </w:rPr>
  </w:style>
  <w:style w:type="character" w:styleId="Style11" w:customStyle="1">
    <w:name w:val="Заголовок записки Знак"/>
    <w:qFormat/>
    <w:rPr>
      <w:rFonts w:cs="Times New Roman"/>
      <w:sz w:val="24"/>
      <w:szCs w:val="24"/>
    </w:rPr>
  </w:style>
  <w:style w:type="character" w:styleId="Style12" w:customStyle="1">
    <w:name w:val="Текст_обычный"/>
    <w:qFormat/>
    <w:rPr>
      <w:rFonts w:ascii="Times New Roman" w:hAnsi="Times New Roman" w:cs="Times New Roman"/>
      <w:b/>
      <w:bCs/>
      <w:sz w:val="24"/>
      <w:szCs w:val="24"/>
      <w:lang w:val="ru-RU" w:bidi="ar-SA"/>
    </w:rPr>
  </w:style>
  <w:style w:type="character" w:styleId="Style13" w:customStyle="1">
    <w:name w:val="Абзац списка Знак"/>
    <w:qFormat/>
    <w:rPr>
      <w:sz w:val="24"/>
      <w:szCs w:val="24"/>
    </w:rPr>
  </w:style>
  <w:style w:type="character" w:styleId="CharAttribute18" w:customStyle="1">
    <w:name w:val="CharAttribute18"/>
    <w:qFormat/>
    <w:rPr>
      <w:rFonts w:ascii="Times New Roman" w:hAnsi="Times New Roman" w:eastAsia="Batang" w:cs="Times New Roman"/>
      <w:sz w:val="24"/>
    </w:rPr>
  </w:style>
  <w:style w:type="character" w:styleId="WW8Num9z2" w:customStyle="1">
    <w:name w:val="WW8Num9z2"/>
    <w:qFormat/>
    <w:rPr>
      <w:rFonts w:ascii="Wingdings" w:hAnsi="Wingdings" w:cs="Wingdings"/>
    </w:rPr>
  </w:style>
  <w:style w:type="character" w:styleId="WW8Num7z2" w:customStyle="1">
    <w:name w:val="WW8Num7z2"/>
    <w:qFormat/>
    <w:rPr>
      <w:rFonts w:ascii="Wingdings" w:hAnsi="Wingdings" w:cs="Wingdings"/>
    </w:rPr>
  </w:style>
  <w:style w:type="character" w:styleId="WW8Num11z1" w:customStyle="1">
    <w:name w:val="WW8Num11z1"/>
    <w:qFormat/>
    <w:rPr/>
  </w:style>
  <w:style w:type="character" w:styleId="Style14" w:customStyle="1">
    <w:name w:val="Узел"/>
    <w:qFormat/>
    <w:rPr>
      <w:i/>
      <w:iCs/>
    </w:rPr>
  </w:style>
  <w:style w:type="character" w:styleId="Style15" w:customStyle="1">
    <w:name w:val="Гипертекстовая ссылка"/>
    <w:qFormat/>
    <w:rPr>
      <w:color w:val="008080"/>
    </w:rPr>
  </w:style>
  <w:style w:type="character" w:styleId="PlaceholderText">
    <w:name w:val="Placeholder Text"/>
    <w:qFormat/>
    <w:rPr>
      <w:color w:val="808080"/>
    </w:rPr>
  </w:style>
  <w:style w:type="character" w:styleId="12" w:customStyle="1">
    <w:name w:val="Замещающий текст1"/>
    <w:qFormat/>
    <w:rPr>
      <w:color w:val="808080"/>
    </w:rPr>
  </w:style>
  <w:style w:type="character" w:styleId="WW8Num14z0" w:customStyle="1">
    <w:name w:val="WW8Num14z0"/>
    <w:qFormat/>
    <w:rPr>
      <w:rFonts w:cs="Times New Roman"/>
    </w:rPr>
  </w:style>
  <w:style w:type="character" w:styleId="WW-" w:customStyle="1">
    <w:name w:val="WW-Символ сноски"/>
    <w:qFormat/>
    <w:rPr>
      <w:rFonts w:ascii="Times New Roman" w:hAnsi="Times New Roman" w:cs="Times New Roman"/>
      <w:sz w:val="22"/>
      <w:szCs w:val="22"/>
      <w:vertAlign w:val="superscript"/>
    </w:rPr>
  </w:style>
  <w:style w:type="character" w:styleId="WW8Num15z1" w:customStyle="1">
    <w:name w:val="WW8Num15z1"/>
    <w:qFormat/>
    <w:rPr>
      <w:rFonts w:ascii="Times New Roman" w:hAnsi="Times New Roman" w:cs="Times New Roman"/>
      <w:b/>
      <w:bCs/>
      <w:i w:val="false"/>
      <w:iCs w:val="false"/>
      <w:spacing w:val="0"/>
      <w:w w:val="100"/>
      <w:position w:val="0"/>
      <w:sz w:val="28"/>
      <w:sz w:val="28"/>
      <w:szCs w:val="28"/>
      <w:vertAlign w:val="baseline"/>
    </w:rPr>
  </w:style>
  <w:style w:type="character" w:styleId="WW8Num32z0" w:customStyle="1">
    <w:name w:val="WW8Num32z0"/>
    <w:qFormat/>
    <w:rPr>
      <w:rFonts w:ascii="Symbol" w:hAnsi="Symbol" w:cs="Symbol"/>
    </w:rPr>
  </w:style>
  <w:style w:type="character" w:styleId="WW8Num33z0" w:customStyle="1">
    <w:name w:val="WW8Num33z0"/>
    <w:qFormat/>
    <w:rPr>
      <w:rFonts w:cs="Times New Roman"/>
    </w:rPr>
  </w:style>
  <w:style w:type="character" w:styleId="WW8Num34z2" w:customStyle="1">
    <w:name w:val="WW8Num34z2"/>
    <w:qFormat/>
    <w:rPr>
      <w:rFonts w:ascii="Wingdings" w:hAnsi="Wingdings" w:cs="Wingdings"/>
    </w:rPr>
  </w:style>
  <w:style w:type="character" w:styleId="WW8Num35z1" w:customStyle="1">
    <w:name w:val="WW8Num35z1"/>
    <w:qFormat/>
    <w:rPr>
      <w:rFonts w:ascii="Courier New" w:hAnsi="Courier New" w:cs="Courier New"/>
    </w:rPr>
  </w:style>
  <w:style w:type="character" w:styleId="13" w:customStyle="1">
    <w:name w:val="Основной шрифт абзаца1"/>
    <w:qFormat/>
    <w:rPr/>
  </w:style>
  <w:style w:type="character" w:styleId="Style16" w:customStyle="1">
    <w:name w:val="Текст_Красный"/>
    <w:qFormat/>
    <w:rPr>
      <w:color w:val="FF0000"/>
    </w:rPr>
  </w:style>
  <w:style w:type="character" w:styleId="113" w:customStyle="1">
    <w:name w:val="Табличный_маркированный_11 Знак"/>
    <w:qFormat/>
    <w:rPr>
      <w:sz w:val="22"/>
      <w:szCs w:val="22"/>
      <w:lang w:bidi="ar-SA"/>
    </w:rPr>
  </w:style>
  <w:style w:type="character" w:styleId="Style17" w:customStyle="1">
    <w:name w:val="Текст_Скрытый"/>
    <w:qFormat/>
    <w:rPr>
      <w:rFonts w:cs="Times New Roman"/>
      <w:vanish/>
    </w:rPr>
  </w:style>
  <w:style w:type="character" w:styleId="WW8Num28z1" w:customStyle="1">
    <w:name w:val="WW8Num28z1"/>
    <w:qFormat/>
    <w:rPr>
      <w:rFonts w:ascii="Symbol" w:hAnsi="Symbol" w:cs="Symbol"/>
      <w:szCs w:val="28"/>
    </w:rPr>
  </w:style>
  <w:style w:type="character" w:styleId="WW8Num27z2" w:customStyle="1">
    <w:name w:val="WW8Num27z2"/>
    <w:qFormat/>
    <w:rPr>
      <w:rFonts w:ascii="Wingdings" w:hAnsi="Wingdings" w:cs="Wingdings"/>
    </w:rPr>
  </w:style>
  <w:style w:type="character" w:styleId="WW8Num29z0" w:customStyle="1">
    <w:name w:val="WW8Num29z0"/>
    <w:qFormat/>
    <w:rPr/>
  </w:style>
  <w:style w:type="character" w:styleId="WW8Num27z1" w:customStyle="1">
    <w:name w:val="WW8Num27z1"/>
    <w:qFormat/>
    <w:rPr>
      <w:rFonts w:ascii="Courier New" w:hAnsi="Courier New" w:cs="Courier New"/>
    </w:rPr>
  </w:style>
  <w:style w:type="character" w:styleId="WW8Num28z3" w:customStyle="1">
    <w:name w:val="WW8Num28z3"/>
    <w:qFormat/>
    <w:rPr>
      <w:rFonts w:ascii="Times New Roman" w:hAnsi="Times New Roman" w:cs="Times New Roman"/>
    </w:rPr>
  </w:style>
  <w:style w:type="character" w:styleId="WW8Num27z0" w:customStyle="1">
    <w:name w:val="WW8Num27z0"/>
    <w:qFormat/>
    <w:rPr>
      <w:rFonts w:ascii="Symbol" w:hAnsi="Symbol" w:cs="Symbol"/>
    </w:rPr>
  </w:style>
  <w:style w:type="character" w:styleId="WW8Num35z3" w:customStyle="1">
    <w:name w:val="WW8Num35z3"/>
    <w:qFormat/>
    <w:rPr>
      <w:rFonts w:ascii="Symbol" w:hAnsi="Symbol" w:cs="Symbol"/>
    </w:rPr>
  </w:style>
  <w:style w:type="character" w:styleId="14" w:customStyle="1">
    <w:name w:val="Заголовок 1 Знак"/>
    <w:qFormat/>
    <w:rPr>
      <w:b/>
      <w:bCs/>
      <w:caps/>
      <w:kern w:val="2"/>
      <w:sz w:val="28"/>
      <w:szCs w:val="28"/>
    </w:rPr>
  </w:style>
  <w:style w:type="character" w:styleId="WW8Num32z1" w:customStyle="1">
    <w:name w:val="WW8Num32z1"/>
    <w:qFormat/>
    <w:rPr>
      <w:rFonts w:ascii="Courier New" w:hAnsi="Courier New" w:cs="Courier New"/>
    </w:rPr>
  </w:style>
  <w:style w:type="character" w:styleId="WW8Num32z2" w:customStyle="1">
    <w:name w:val="WW8Num32z2"/>
    <w:qFormat/>
    <w:rPr>
      <w:rFonts w:ascii="Wingdings" w:hAnsi="Wingdings" w:cs="Wingdings"/>
    </w:rPr>
  </w:style>
  <w:style w:type="character" w:styleId="WW8Num34z0" w:customStyle="1">
    <w:name w:val="WW8Num34z0"/>
    <w:qFormat/>
    <w:rPr>
      <w:rFonts w:ascii="Symbol" w:hAnsi="Symbol" w:cs="Symbol"/>
    </w:rPr>
  </w:style>
  <w:style w:type="character" w:styleId="WW8Num13z0" w:customStyle="1">
    <w:name w:val="WW8Num13z0"/>
    <w:qFormat/>
    <w:rPr>
      <w:rFonts w:ascii="Symbol" w:hAnsi="Symbol" w:cs="Symbol"/>
    </w:rPr>
  </w:style>
  <w:style w:type="character" w:styleId="Style18" w:customStyle="1">
    <w:name w:val="Текст сноски Знак"/>
    <w:qFormat/>
    <w:rPr>
      <w:rFonts w:cs="Times New Roman"/>
    </w:rPr>
  </w:style>
  <w:style w:type="character" w:styleId="WW8Num15z0" w:customStyle="1">
    <w:name w:val="WW8Num15z0"/>
    <w:qFormat/>
    <w:rPr>
      <w:rFonts w:cs="Times New Roman"/>
    </w:rPr>
  </w:style>
  <w:style w:type="character" w:styleId="23" w:customStyle="1">
    <w:name w:val="Основной текст с отступом 2 Знак"/>
    <w:qFormat/>
    <w:rPr>
      <w:rFonts w:cs="Times New Roman"/>
      <w:sz w:val="24"/>
      <w:szCs w:val="24"/>
    </w:rPr>
  </w:style>
  <w:style w:type="character" w:styleId="WW8Num15z2" w:customStyle="1">
    <w:name w:val="WW8Num15z2"/>
    <w:qFormat/>
    <w:rPr>
      <w:bCs/>
      <w:i w:val="false"/>
      <w:iCs w:val="false"/>
      <w:color w:val="000000"/>
    </w:rPr>
  </w:style>
  <w:style w:type="character" w:styleId="WW-1" w:customStyle="1">
    <w:name w:val="WW-Символы концевой сноски"/>
    <w:qFormat/>
    <w:rPr>
      <w:rFonts w:cs="Times New Roman"/>
      <w:vertAlign w:val="superscript"/>
    </w:rPr>
  </w:style>
  <w:style w:type="character" w:styleId="WW8Num15z3" w:customStyle="1">
    <w:name w:val="WW8Num15z3"/>
    <w:qFormat/>
    <w:rPr>
      <w:bCs/>
      <w:i w:val="false"/>
      <w:iCs w:val="false"/>
      <w:color w:val="000000"/>
      <w:spacing w:val="0"/>
      <w:w w:val="100"/>
      <w:position w:val="0"/>
      <w:sz w:val="24"/>
      <w:sz w:val="24"/>
      <w:vertAlign w:val="baseline"/>
    </w:rPr>
  </w:style>
  <w:style w:type="character" w:styleId="WW8Num16z0" w:customStyle="1">
    <w:name w:val="WW8Num16z0"/>
    <w:qFormat/>
    <w:rPr>
      <w:rFonts w:ascii="Times New Roman" w:hAnsi="Times New Roman" w:cs="Times New Roman"/>
    </w:rPr>
  </w:style>
  <w:style w:type="character" w:styleId="WW8Num16z2" w:customStyle="1">
    <w:name w:val="WW8Num16z2"/>
    <w:qFormat/>
    <w:rPr>
      <w:rFonts w:ascii="Symbol" w:hAnsi="Symbol" w:cs="Symbol"/>
    </w:rPr>
  </w:style>
  <w:style w:type="character" w:styleId="WW8Num17z0" w:customStyle="1">
    <w:name w:val="WW8Num17z0"/>
    <w:qFormat/>
    <w:rPr>
      <w:rFonts w:ascii="Symbol" w:hAnsi="Symbol" w:cs="Symbol"/>
    </w:rPr>
  </w:style>
  <w:style w:type="character" w:styleId="WW8Num18z0" w:customStyle="1">
    <w:name w:val="WW8Num18z0"/>
    <w:qFormat/>
    <w:rPr>
      <w:rFonts w:ascii="Symbol" w:hAnsi="Symbol" w:cs="Symbol"/>
    </w:rPr>
  </w:style>
  <w:style w:type="character" w:styleId="WW8Num19z1" w:customStyle="1">
    <w:name w:val="WW8Num19z1"/>
    <w:qFormat/>
    <w:rPr>
      <w:rFonts w:ascii="Symbol" w:hAnsi="Symbol" w:cs="Symbol"/>
      <w:szCs w:val="28"/>
    </w:rPr>
  </w:style>
  <w:style w:type="character" w:styleId="WW8Num19z3" w:customStyle="1">
    <w:name w:val="WW8Num19z3"/>
    <w:qFormat/>
    <w:rPr>
      <w:rFonts w:ascii="Times New Roman" w:hAnsi="Times New Roman" w:cs="Times New Roman"/>
    </w:rPr>
  </w:style>
  <w:style w:type="character" w:styleId="WW8Num21z0" w:customStyle="1">
    <w:name w:val="WW8Num21z0"/>
    <w:qFormat/>
    <w:rPr>
      <w:rFonts w:ascii="Symbol" w:hAnsi="Symbol" w:cs="Symbol"/>
    </w:rPr>
  </w:style>
  <w:style w:type="character" w:styleId="WW8Num23z0" w:customStyle="1">
    <w:name w:val="WW8Num23z0"/>
    <w:qFormat/>
    <w:rPr>
      <w:rFonts w:ascii="Wingdings" w:hAnsi="Wingdings" w:cs="Wingdings"/>
    </w:rPr>
  </w:style>
  <w:style w:type="character" w:styleId="WW8Num2z1" w:customStyle="1">
    <w:name w:val="WW8Num2z1"/>
    <w:qFormat/>
    <w:rPr>
      <w:rFonts w:ascii="Courier New" w:hAnsi="Courier New" w:cs="Courier New"/>
    </w:rPr>
  </w:style>
  <w:style w:type="character" w:styleId="WW8Num3z3" w:customStyle="1">
    <w:name w:val="WW8Num3z3"/>
    <w:qFormat/>
    <w:rPr>
      <w:rFonts w:ascii="Symbol" w:hAnsi="Symbol" w:cs="Symbol"/>
    </w:rPr>
  </w:style>
  <w:style w:type="character" w:styleId="WW8Num9z1" w:customStyle="1">
    <w:name w:val="WW8Num9z1"/>
    <w:qFormat/>
    <w:rPr>
      <w:rFonts w:ascii="Courier New" w:hAnsi="Courier New" w:cs="Courier New"/>
    </w:rPr>
  </w:style>
  <w:style w:type="character" w:styleId="WW8Num11z2" w:customStyle="1">
    <w:name w:val="WW8Num11z2"/>
    <w:qFormat/>
    <w:rPr/>
  </w:style>
  <w:style w:type="character" w:styleId="WW8Num11z5" w:customStyle="1">
    <w:name w:val="WW8Num11z5"/>
    <w:qFormat/>
    <w:rPr/>
  </w:style>
  <w:style w:type="character" w:styleId="WW8Num11z7" w:customStyle="1">
    <w:name w:val="WW8Num11z7"/>
    <w:qFormat/>
    <w:rPr/>
  </w:style>
  <w:style w:type="character" w:styleId="WW8Num11z8" w:customStyle="1">
    <w:name w:val="WW8Num11z8"/>
    <w:qFormat/>
    <w:rPr/>
  </w:style>
  <w:style w:type="character" w:styleId="WW8Num13z1" w:customStyle="1">
    <w:name w:val="WW8Num13z1"/>
    <w:qFormat/>
    <w:rPr>
      <w:rFonts w:ascii="Courier New" w:hAnsi="Courier New" w:cs="Courier New"/>
    </w:rPr>
  </w:style>
  <w:style w:type="character" w:styleId="WW8Num13z2" w:customStyle="1">
    <w:name w:val="WW8Num13z2"/>
    <w:qFormat/>
    <w:rPr>
      <w:rFonts w:ascii="Wingdings" w:hAnsi="Wingdings" w:cs="Wingdings"/>
    </w:rPr>
  </w:style>
  <w:style w:type="character" w:styleId="WW8Num14z1" w:customStyle="1">
    <w:name w:val="WW8Num14z1"/>
    <w:qFormat/>
    <w:rPr>
      <w:rFonts w:ascii="Courier New" w:hAnsi="Courier New" w:cs="Courier New"/>
    </w:rPr>
  </w:style>
  <w:style w:type="character" w:styleId="WW8Num14z2" w:customStyle="1">
    <w:name w:val="WW8Num14z2"/>
    <w:qFormat/>
    <w:rPr>
      <w:rFonts w:ascii="Wingdings" w:hAnsi="Wingdings" w:cs="Wingdings"/>
    </w:rPr>
  </w:style>
  <w:style w:type="character" w:styleId="WW8Num17z1" w:customStyle="1">
    <w:name w:val="WW8Num17z1"/>
    <w:qFormat/>
    <w:rPr>
      <w:rFonts w:ascii="Courier New" w:hAnsi="Courier New" w:cs="Courier New"/>
    </w:rPr>
  </w:style>
  <w:style w:type="character" w:styleId="WW8Num17z3" w:customStyle="1">
    <w:name w:val="WW8Num17z3"/>
    <w:qFormat/>
    <w:rPr>
      <w:rFonts w:ascii="Symbol" w:hAnsi="Symbol" w:cs="Symbol"/>
    </w:rPr>
  </w:style>
  <w:style w:type="character" w:styleId="WW8Num18z1" w:customStyle="1">
    <w:name w:val="WW8Num18z1"/>
    <w:qFormat/>
    <w:rPr>
      <w:rFonts w:ascii="Courier New" w:hAnsi="Courier New" w:cs="Courier New"/>
    </w:rPr>
  </w:style>
  <w:style w:type="character" w:styleId="WW8Num21z1" w:customStyle="1">
    <w:name w:val="WW8Num21z1"/>
    <w:qFormat/>
    <w:rPr>
      <w:rFonts w:ascii="Courier New" w:hAnsi="Courier New" w:cs="Courier New"/>
    </w:rPr>
  </w:style>
  <w:style w:type="character" w:styleId="WW8Num21z2" w:customStyle="1">
    <w:name w:val="WW8Num21z2"/>
    <w:qFormat/>
    <w:rPr>
      <w:rFonts w:ascii="Wingdings" w:hAnsi="Wingdings" w:cs="Wingdings"/>
    </w:rPr>
  </w:style>
  <w:style w:type="character" w:styleId="WW8Num24z1" w:customStyle="1">
    <w:name w:val="WW8Num24z1"/>
    <w:qFormat/>
    <w:rPr>
      <w:rFonts w:ascii="Times New Roman" w:hAnsi="Times New Roman" w:cs="Times New Roman"/>
      <w:b/>
      <w:bCs/>
      <w:i w:val="false"/>
      <w:iCs w:val="false"/>
      <w:spacing w:val="0"/>
      <w:w w:val="100"/>
      <w:position w:val="0"/>
      <w:sz w:val="28"/>
      <w:sz w:val="28"/>
      <w:szCs w:val="28"/>
      <w:vertAlign w:val="baseline"/>
    </w:rPr>
  </w:style>
  <w:style w:type="character" w:styleId="WW8Num25z2" w:customStyle="1">
    <w:name w:val="WW8Num25z2"/>
    <w:qFormat/>
    <w:rPr>
      <w:rFonts w:ascii="Symbol" w:hAnsi="Symbol" w:cs="Symbol"/>
    </w:rPr>
  </w:style>
  <w:style w:type="character" w:styleId="WW8Num26z0" w:customStyle="1">
    <w:name w:val="WW8Num26z0"/>
    <w:qFormat/>
    <w:rPr>
      <w:rFonts w:ascii="Symbol" w:hAnsi="Symbol" w:cs="Symbol"/>
    </w:rPr>
  </w:style>
  <w:style w:type="character" w:styleId="WW8Num28z0" w:customStyle="1">
    <w:name w:val="WW8Num28z0"/>
    <w:qFormat/>
    <w:rPr>
      <w:color w:val="000000"/>
    </w:rPr>
  </w:style>
  <w:style w:type="character" w:styleId="WW8Num30z0" w:customStyle="1">
    <w:name w:val="WW8Num30z0"/>
    <w:qFormat/>
    <w:rPr>
      <w:rFonts w:ascii="Symbol" w:hAnsi="Symbol" w:cs="Symbol"/>
    </w:rPr>
  </w:style>
  <w:style w:type="character" w:styleId="WW8Num30z2" w:customStyle="1">
    <w:name w:val="WW8Num30z2"/>
    <w:qFormat/>
    <w:rPr>
      <w:rFonts w:ascii="Wingdings" w:hAnsi="Wingdings" w:cs="Wingdings"/>
    </w:rPr>
  </w:style>
  <w:style w:type="character" w:styleId="WW8Num31z0" w:customStyle="1">
    <w:name w:val="WW8Num31z0"/>
    <w:qFormat/>
    <w:rPr>
      <w:rFonts w:ascii="Symbol" w:hAnsi="Symbol" w:cs="Symbol"/>
    </w:rPr>
  </w:style>
  <w:style w:type="character" w:styleId="WW8Num31z1" w:customStyle="1">
    <w:name w:val="WW8Num31z1"/>
    <w:qFormat/>
    <w:rPr>
      <w:rFonts w:ascii="Courier New" w:hAnsi="Courier New" w:cs="Courier New"/>
    </w:rPr>
  </w:style>
  <w:style w:type="character" w:styleId="WW8Num31z2" w:customStyle="1">
    <w:name w:val="WW8Num31z2"/>
    <w:qFormat/>
    <w:rPr>
      <w:rFonts w:ascii="Wingdings" w:hAnsi="Wingdings" w:cs="Wingdings"/>
    </w:rPr>
  </w:style>
  <w:style w:type="character" w:styleId="32" w:customStyle="1">
    <w:name w:val="Заголовок 3 Знак"/>
    <w:qFormat/>
    <w:rPr>
      <w:rFonts w:ascii="Cambria" w:hAnsi="Cambria" w:cs="Cambria"/>
      <w:b/>
      <w:bCs/>
      <w:sz w:val="26"/>
      <w:szCs w:val="26"/>
    </w:rPr>
  </w:style>
  <w:style w:type="character" w:styleId="4" w:customStyle="1">
    <w:name w:val="Заголовок 4 Знак"/>
    <w:qFormat/>
    <w:rPr>
      <w:rFonts w:ascii="Calibri" w:hAnsi="Calibri" w:cs="Calibri"/>
      <w:b/>
      <w:bCs/>
      <w:sz w:val="28"/>
      <w:szCs w:val="28"/>
    </w:rPr>
  </w:style>
  <w:style w:type="character" w:styleId="5" w:customStyle="1">
    <w:name w:val="Заголовок 5 Знак"/>
    <w:qFormat/>
    <w:rPr>
      <w:rFonts w:ascii="Calibri" w:hAnsi="Calibri" w:cs="Calibri"/>
      <w:b/>
      <w:bCs/>
      <w:i/>
      <w:iCs/>
      <w:sz w:val="26"/>
      <w:szCs w:val="26"/>
    </w:rPr>
  </w:style>
  <w:style w:type="character" w:styleId="6" w:customStyle="1">
    <w:name w:val="Заголовок 6 Знак"/>
    <w:qFormat/>
    <w:rPr>
      <w:rFonts w:ascii="Calibri" w:hAnsi="Calibri" w:cs="Calibri"/>
      <w:b/>
      <w:bCs/>
    </w:rPr>
  </w:style>
  <w:style w:type="character" w:styleId="8" w:customStyle="1">
    <w:name w:val="Заголовок 8 Знак"/>
    <w:qFormat/>
    <w:rPr>
      <w:rFonts w:ascii="Calibri" w:hAnsi="Calibri" w:cs="Calibri"/>
      <w:i/>
      <w:iCs/>
      <w:sz w:val="24"/>
      <w:szCs w:val="24"/>
    </w:rPr>
  </w:style>
  <w:style w:type="character" w:styleId="Style19" w:customStyle="1">
    <w:name w:val="Абзац Знак"/>
    <w:qFormat/>
    <w:rPr>
      <w:sz w:val="24"/>
      <w:szCs w:val="24"/>
      <w:lang w:val="ru-RU" w:bidi="ar-SA"/>
    </w:rPr>
  </w:style>
  <w:style w:type="character" w:styleId="Style20" w:customStyle="1">
    <w:name w:val="Верхний колонтитул Знак"/>
    <w:uiPriority w:val="99"/>
    <w:qFormat/>
    <w:rPr>
      <w:color w:val="808080"/>
    </w:rPr>
  </w:style>
  <w:style w:type="character" w:styleId="Style21" w:customStyle="1">
    <w:name w:val="Текст выноски Знак"/>
    <w:qFormat/>
    <w:rPr>
      <w:rFonts w:ascii="Tahoma" w:hAnsi="Tahoma" w:cs="Tahoma"/>
      <w:sz w:val="16"/>
      <w:szCs w:val="16"/>
    </w:rPr>
  </w:style>
  <w:style w:type="character" w:styleId="51" w:customStyle="1">
    <w:name w:val="Пункт 5 Знак"/>
    <w:qFormat/>
    <w:rPr>
      <w:rFonts w:cs="Times New Roman"/>
      <w:sz w:val="24"/>
      <w:szCs w:val="24"/>
    </w:rPr>
  </w:style>
  <w:style w:type="character" w:styleId="Style22" w:customStyle="1">
    <w:name w:val="Оглавление Знак"/>
    <w:qFormat/>
    <w:rPr>
      <w:b/>
      <w:bCs/>
      <w:caps/>
      <w:sz w:val="28"/>
      <w:szCs w:val="28"/>
      <w:lang w:val="ru-RU" w:bidi="ar-SA"/>
    </w:rPr>
  </w:style>
  <w:style w:type="character" w:styleId="15" w:customStyle="1">
    <w:name w:val="Примечания Знак1"/>
    <w:qFormat/>
    <w:rPr>
      <w:rFonts w:cs="Times New Roman"/>
      <w:spacing w:val="80"/>
      <w:sz w:val="24"/>
      <w:szCs w:val="24"/>
      <w:lang w:val="ru-RU"/>
    </w:rPr>
  </w:style>
  <w:style w:type="character" w:styleId="24" w:customStyle="1">
    <w:name w:val="Заголовок_подзаголовок_2 Знак"/>
    <w:qFormat/>
    <w:rPr>
      <w:b/>
      <w:bCs/>
      <w:sz w:val="24"/>
      <w:szCs w:val="24"/>
      <w:lang w:val="ru-RU" w:bidi="ar-SA"/>
    </w:rPr>
  </w:style>
  <w:style w:type="character" w:styleId="Style23" w:customStyle="1">
    <w:name w:val="Схема документа Знак"/>
    <w:qFormat/>
    <w:rPr>
      <w:szCs w:val="2"/>
      <w:shd w:fill="000080" w:val="clear"/>
    </w:rPr>
  </w:style>
  <w:style w:type="character" w:styleId="Style24" w:customStyle="1">
    <w:name w:val="Нижний колонтитул Знак"/>
    <w:uiPriority w:val="99"/>
    <w:qFormat/>
    <w:rPr>
      <w:rFonts w:cs="Times New Roman"/>
      <w:sz w:val="24"/>
      <w:szCs w:val="24"/>
    </w:rPr>
  </w:style>
  <w:style w:type="character" w:styleId="Style25" w:customStyle="1">
    <w:name w:val="Текст_Жирный"/>
    <w:qFormat/>
    <w:rPr>
      <w:rFonts w:ascii="Times New Roman" w:hAnsi="Times New Roman" w:cs="Times New Roman"/>
      <w:b/>
      <w:bCs/>
    </w:rPr>
  </w:style>
  <w:style w:type="character" w:styleId="Style26" w:customStyle="1">
    <w:name w:val="Текст_Подчеркнутый"/>
    <w:qFormat/>
    <w:rPr>
      <w:rFonts w:ascii="Times New Roman" w:hAnsi="Times New Roman" w:cs="Times New Roman"/>
      <w:u w:val="single"/>
    </w:rPr>
  </w:style>
  <w:style w:type="character" w:styleId="Style27" w:customStyle="1">
    <w:name w:val="Таблица_название_таблицы Знак"/>
    <w:qFormat/>
    <w:rPr>
      <w:sz w:val="24"/>
      <w:szCs w:val="24"/>
      <w:lang w:val="ru-RU" w:bidi="ar-SA"/>
    </w:rPr>
  </w:style>
  <w:style w:type="character" w:styleId="16" w:customStyle="1">
    <w:name w:val="Заголовок_подзаголовок_1 Знак"/>
    <w:qFormat/>
    <w:rPr>
      <w:b/>
      <w:bCs/>
      <w:sz w:val="24"/>
      <w:szCs w:val="24"/>
      <w:u w:val="single"/>
      <w:lang w:val="ru-RU" w:bidi="ar-SA"/>
    </w:rPr>
  </w:style>
  <w:style w:type="character" w:styleId="01" w:customStyle="1">
    <w:name w:val="Заголовок 01 Знак"/>
    <w:qFormat/>
    <w:rPr>
      <w:b/>
      <w:bCs/>
      <w:caps/>
      <w:kern w:val="2"/>
      <w:sz w:val="28"/>
      <w:szCs w:val="28"/>
      <w:lang w:val="ru-RU" w:bidi="ar-SA"/>
    </w:rPr>
  </w:style>
  <w:style w:type="character" w:styleId="17" w:customStyle="1">
    <w:name w:val="Список_нумерованный_1_уровень Знак"/>
    <w:qFormat/>
    <w:rPr>
      <w:sz w:val="24"/>
      <w:szCs w:val="24"/>
      <w:lang w:val="ru-RU" w:bidi="ar-SA"/>
    </w:rPr>
  </w:style>
  <w:style w:type="character" w:styleId="25" w:customStyle="1">
    <w:name w:val="Список_нумерованный_2_уровень Знак"/>
    <w:basedOn w:val="17"/>
    <w:qFormat/>
    <w:rPr>
      <w:sz w:val="24"/>
      <w:szCs w:val="24"/>
      <w:lang w:val="ru-RU" w:bidi="ar-SA"/>
    </w:rPr>
  </w:style>
  <w:style w:type="character" w:styleId="33" w:customStyle="1">
    <w:name w:val="Список_нумерованный_3_уровень Знак"/>
    <w:basedOn w:val="17"/>
    <w:qFormat/>
    <w:rPr>
      <w:sz w:val="24"/>
      <w:szCs w:val="24"/>
      <w:lang w:val="ru-RU" w:bidi="ar-SA"/>
    </w:rPr>
  </w:style>
  <w:style w:type="character" w:styleId="Style28" w:customStyle="1">
    <w:name w:val="Текст_Желтый"/>
    <w:qFormat/>
    <w:rPr>
      <w:color w:val="000000"/>
    </w:rPr>
  </w:style>
  <w:style w:type="character" w:styleId="114" w:customStyle="1">
    <w:name w:val="Табличный_таблица_11 Знак"/>
    <w:qFormat/>
    <w:rPr>
      <w:sz w:val="22"/>
      <w:szCs w:val="22"/>
      <w:lang w:val="ru-RU" w:bidi="ar-SA"/>
    </w:rPr>
  </w:style>
  <w:style w:type="character" w:styleId="115" w:customStyle="1">
    <w:name w:val="Табличный_боковик_правый_11 Знак"/>
    <w:qFormat/>
    <w:rPr>
      <w:sz w:val="22"/>
      <w:szCs w:val="22"/>
      <w:lang w:val="ru-RU" w:bidi="ar-SA"/>
    </w:rPr>
  </w:style>
  <w:style w:type="character" w:styleId="Style29" w:customStyle="1">
    <w:name w:val="Текст_Обычный"/>
    <w:qFormat/>
    <w:rPr>
      <w:rFonts w:cs="Times New Roman"/>
    </w:rPr>
  </w:style>
  <w:style w:type="character" w:styleId="Style30" w:customStyle="1">
    <w:name w:val="Примечание Знак"/>
    <w:qFormat/>
    <w:rPr>
      <w:sz w:val="22"/>
      <w:szCs w:val="22"/>
      <w:lang w:val="ru-RU" w:bidi="ar-SA"/>
    </w:rPr>
  </w:style>
  <w:style w:type="character" w:styleId="Style31" w:customStyle="1">
    <w:name w:val="Текст концевой сноски Знак"/>
    <w:qFormat/>
    <w:rPr>
      <w:rFonts w:cs="Times New Roman"/>
    </w:rPr>
  </w:style>
  <w:style w:type="character" w:styleId="26" w:customStyle="1">
    <w:name w:val="Основной текст 2 Знак"/>
    <w:qFormat/>
    <w:rPr>
      <w:rFonts w:cs="Times New Roman"/>
      <w:sz w:val="24"/>
      <w:szCs w:val="24"/>
    </w:rPr>
  </w:style>
  <w:style w:type="character" w:styleId="Style32" w:customStyle="1">
    <w:name w:val="Основной текст с отступом Знак"/>
    <w:qFormat/>
    <w:rPr>
      <w:rFonts w:cs="Times New Roman"/>
      <w:sz w:val="24"/>
      <w:szCs w:val="24"/>
    </w:rPr>
  </w:style>
  <w:style w:type="character" w:styleId="34" w:customStyle="1">
    <w:name w:val="Основной текст 3 Знак"/>
    <w:qFormat/>
    <w:rPr>
      <w:rFonts w:cs="Times New Roman"/>
      <w:sz w:val="16"/>
      <w:szCs w:val="16"/>
    </w:rPr>
  </w:style>
  <w:style w:type="character" w:styleId="Style33" w:customStyle="1">
    <w:name w:val="Название Знак"/>
    <w:qFormat/>
    <w:rPr>
      <w:color w:val="000080"/>
    </w:rPr>
  </w:style>
  <w:style w:type="character" w:styleId="HTML" w:customStyle="1">
    <w:name w:val="Стандартный HTML Знак"/>
    <w:qFormat/>
    <w:rPr>
      <w:rFonts w:ascii="Consolas" w:hAnsi="Consolas" w:cs="Consolas"/>
    </w:rPr>
  </w:style>
  <w:style w:type="character" w:styleId="Style34" w:customStyle="1">
    <w:name w:val="Текст Знак"/>
    <w:qFormat/>
    <w:rPr>
      <w:rFonts w:ascii="Consolas" w:hAnsi="Consolas" w:cs="Consolas"/>
      <w:sz w:val="21"/>
      <w:szCs w:val="21"/>
    </w:rPr>
  </w:style>
  <w:style w:type="character" w:styleId="Style35" w:customStyle="1">
    <w:name w:val="Текст примечания Знак"/>
    <w:qFormat/>
    <w:rPr>
      <w:rFonts w:cs="Times New Roman"/>
    </w:rPr>
  </w:style>
  <w:style w:type="character" w:styleId="Style36" w:customStyle="1">
    <w:name w:val="Подзаголовок Знак"/>
    <w:qFormat/>
    <w:rPr>
      <w:iCs/>
      <w:color w:val="808080"/>
      <w:spacing w:val="15"/>
    </w:rPr>
  </w:style>
  <w:style w:type="character" w:styleId="Style37" w:customStyle="1">
    <w:name w:val="Знак Знак"/>
    <w:qFormat/>
    <w:rPr>
      <w:rFonts w:ascii="Times New Roman" w:hAnsi="Times New Roman" w:cs="Times New Roman"/>
      <w:b/>
      <w:bCs/>
      <w:i/>
      <w:iCs/>
      <w:sz w:val="24"/>
      <w:szCs w:val="24"/>
    </w:rPr>
  </w:style>
  <w:style w:type="character" w:styleId="Style38" w:customStyle="1">
    <w:name w:val="Тема примечания Знак"/>
    <w:qFormat/>
    <w:rPr>
      <w:rFonts w:cs="Times New Roman"/>
      <w:b/>
      <w:bCs/>
    </w:rPr>
  </w:style>
  <w:style w:type="character" w:styleId="35" w:customStyle="1">
    <w:name w:val="Основной текст с отступом 3 Знак"/>
    <w:qFormat/>
    <w:rPr>
      <w:rFonts w:cs="Times New Roman"/>
      <w:sz w:val="16"/>
      <w:szCs w:val="16"/>
    </w:rPr>
  </w:style>
  <w:style w:type="character" w:styleId="93" w:customStyle="1">
    <w:name w:val="Основной текст + 93"/>
    <w:qFormat/>
    <w:rPr>
      <w:rFonts w:ascii="Times New Roman" w:hAnsi="Times New Roman" w:cs="Times New Roman"/>
      <w:b/>
      <w:bCs/>
      <w:sz w:val="19"/>
      <w:szCs w:val="19"/>
      <w:u w:val="none"/>
    </w:rPr>
  </w:style>
  <w:style w:type="character" w:styleId="211" w:customStyle="1">
    <w:name w:val="Основной текст 2 Знак1"/>
    <w:qFormat/>
    <w:rPr>
      <w:sz w:val="24"/>
      <w:szCs w:val="24"/>
    </w:rPr>
  </w:style>
  <w:style w:type="character" w:styleId="Apple-converted-space" w:customStyle="1">
    <w:name w:val="apple-converted-space"/>
    <w:basedOn w:val="13"/>
    <w:qFormat/>
    <w:rPr/>
  </w:style>
  <w:style w:type="character" w:styleId="Iceouttxt" w:customStyle="1">
    <w:name w:val="iceouttxt"/>
    <w:basedOn w:val="13"/>
    <w:qFormat/>
    <w:rPr/>
  </w:style>
  <w:style w:type="character" w:styleId="Style39" w:customStyle="1">
    <w:name w:val="Основной текст_"/>
    <w:qFormat/>
    <w:rPr>
      <w:sz w:val="27"/>
      <w:szCs w:val="27"/>
      <w:shd w:fill="FFFFFF" w:val="clear"/>
    </w:rPr>
  </w:style>
  <w:style w:type="character" w:styleId="18" w:customStyle="1">
    <w:name w:val="Список 1) Знак"/>
    <w:qFormat/>
    <w:rPr>
      <w:rFonts w:ascii="Calibri" w:hAnsi="Calibri" w:cs="Calibri"/>
      <w:sz w:val="26"/>
    </w:rPr>
  </w:style>
  <w:style w:type="character" w:styleId="Style40" w:customStyle="1">
    <w:name w:val="Абзац_Желтая_заливка Знак"/>
    <w:qFormat/>
    <w:rPr>
      <w:sz w:val="24"/>
      <w:szCs w:val="24"/>
    </w:rPr>
  </w:style>
  <w:style w:type="character" w:styleId="Style41" w:customStyle="1">
    <w:name w:val="Приветствие Знак"/>
    <w:qFormat/>
    <w:rPr>
      <w:rFonts w:ascii="Calibri" w:hAnsi="Calibri" w:cs="Calibri"/>
    </w:rPr>
  </w:style>
  <w:style w:type="character" w:styleId="Absatz-Standardschriftart" w:customStyle="1">
    <w:name w:val="Absatz-Standardschriftart"/>
    <w:qFormat/>
    <w:rPr/>
  </w:style>
  <w:style w:type="character" w:styleId="131" w:customStyle="1">
    <w:name w:val="Основной текст + 13"/>
    <w:qFormat/>
    <w:rPr>
      <w:rFonts w:ascii="Times New Roman" w:hAnsi="Times New Roman" w:cs="Times New Roman"/>
      <w:sz w:val="27"/>
      <w:szCs w:val="27"/>
      <w:shd w:fill="FFFFFF" w:val="clear"/>
    </w:rPr>
  </w:style>
  <w:style w:type="character" w:styleId="Style42" w:customStyle="1">
    <w:name w:val="Цветовое выделение"/>
    <w:qFormat/>
    <w:rPr>
      <w:color w:val="000080"/>
    </w:rPr>
  </w:style>
  <w:style w:type="character" w:styleId="Epm" w:customStyle="1">
    <w:name w:val="epm"/>
    <w:basedOn w:val="13"/>
    <w:qFormat/>
    <w:rPr/>
  </w:style>
  <w:style w:type="character" w:styleId="121" w:customStyle="1">
    <w:name w:val="осн.текст 12 Знак Знак"/>
    <w:qFormat/>
    <w:rPr>
      <w:rFonts w:ascii="Arial" w:hAnsi="Arial" w:cs="Arial"/>
      <w:sz w:val="22"/>
      <w:szCs w:val="22"/>
    </w:rPr>
  </w:style>
  <w:style w:type="character" w:styleId="FontStyle284" w:customStyle="1">
    <w:name w:val="Font Style284"/>
    <w:qFormat/>
    <w:rPr>
      <w:rFonts w:ascii="Times New Roman" w:hAnsi="Times New Roman" w:cs="Times New Roman"/>
      <w:sz w:val="22"/>
      <w:szCs w:val="22"/>
    </w:rPr>
  </w:style>
  <w:style w:type="character" w:styleId="FontStyle14" w:customStyle="1">
    <w:name w:val="Font Style14"/>
    <w:qFormat/>
    <w:rPr>
      <w:rFonts w:ascii="Times New Roman" w:hAnsi="Times New Roman" w:cs="Times New Roman"/>
      <w:sz w:val="26"/>
    </w:rPr>
  </w:style>
  <w:style w:type="character" w:styleId="CharAttribute5" w:customStyle="1">
    <w:name w:val="CharAttribute5"/>
    <w:qFormat/>
    <w:rPr>
      <w:rFonts w:ascii="Times New Roman" w:hAnsi="Times New Roman" w:eastAsia="Times New Roman" w:cs="Times New Roman"/>
      <w:sz w:val="24"/>
    </w:rPr>
  </w:style>
  <w:style w:type="character" w:styleId="CharAttribute13" w:customStyle="1">
    <w:name w:val="CharAttribute13"/>
    <w:qFormat/>
    <w:rPr>
      <w:rFonts w:ascii="Times New Roman" w:hAnsi="Times New Roman" w:eastAsia="Times New Roman" w:cs="Times New Roman"/>
      <w:sz w:val="24"/>
    </w:rPr>
  </w:style>
  <w:style w:type="character" w:styleId="CharAttribute39" w:customStyle="1">
    <w:name w:val="CharAttribute39"/>
    <w:qFormat/>
    <w:rPr>
      <w:rFonts w:ascii="Times New Roman" w:hAnsi="Times New Roman" w:eastAsia="Times New Roman" w:cs="Times New Roman"/>
      <w:sz w:val="24"/>
    </w:rPr>
  </w:style>
  <w:style w:type="character" w:styleId="Style43" w:customStyle="1">
    <w:name w:val="Название объекта Знак"/>
    <w:qFormat/>
    <w:rPr>
      <w:b/>
      <w:bCs/>
      <w:sz w:val="22"/>
      <w:szCs w:val="22"/>
    </w:rPr>
  </w:style>
  <w:style w:type="character" w:styleId="Style44" w:customStyle="1">
    <w:name w:val="Текст_Ж"/>
    <w:qFormat/>
    <w:rPr>
      <w:rFonts w:ascii="Times New Roman" w:hAnsi="Times New Roman" w:eastAsia="Times New Roman" w:cs="Times New Roman"/>
      <w:b/>
      <w:sz w:val="24"/>
      <w:szCs w:val="24"/>
      <w:lang w:val="ru-RU" w:bidi="ar-SA"/>
    </w:rPr>
  </w:style>
  <w:style w:type="character" w:styleId="19" w:customStyle="1">
    <w:name w:val="Таблица 1 Знак"/>
    <w:qFormat/>
    <w:rPr>
      <w:kern w:val="2"/>
      <w:sz w:val="28"/>
      <w:szCs w:val="24"/>
      <w:lang w:bidi="hi-IN"/>
    </w:rPr>
  </w:style>
  <w:style w:type="character" w:styleId="110" w:customStyle="1">
    <w:name w:val="Знак сноски1"/>
    <w:qFormat/>
    <w:rPr>
      <w:vertAlign w:val="superscript"/>
    </w:rPr>
  </w:style>
  <w:style w:type="character" w:styleId="116" w:customStyle="1">
    <w:name w:val="Знак концевой сноски1"/>
    <w:qFormat/>
    <w:rPr>
      <w:vertAlign w:val="superscript"/>
    </w:rPr>
  </w:style>
  <w:style w:type="character" w:styleId="117" w:customStyle="1">
    <w:name w:val="Текст выноски Знак1"/>
    <w:qFormat/>
    <w:rPr>
      <w:rFonts w:ascii="Segoe UI" w:hAnsi="Segoe UI" w:cs="Segoe UI"/>
      <w:sz w:val="18"/>
      <w:szCs w:val="18"/>
      <w:lang w:eastAsia="zh-CN"/>
    </w:rPr>
  </w:style>
  <w:style w:type="character" w:styleId="FootnoteReference" w:customStyle="1">
    <w:name w:val="Footnote Reference"/>
    <w:rPr>
      <w:vertAlign w:val="superscript"/>
    </w:rPr>
  </w:style>
  <w:style w:type="character" w:styleId="FootnoteCharacters" w:customStyle="1">
    <w:name w:val="Footnote Characters"/>
    <w:qFormat/>
    <w:rPr>
      <w:vertAlign w:val="superscript"/>
    </w:rPr>
  </w:style>
  <w:style w:type="character" w:styleId="Style45" w:customStyle="1">
    <w:name w:val="Символ концевой сноски"/>
    <w:qFormat/>
    <w:rPr>
      <w:vertAlign w:val="superscript"/>
    </w:rPr>
  </w:style>
  <w:style w:type="character" w:styleId="EndnoteReference" w:customStyle="1">
    <w:name w:val="Endnote Reference"/>
    <w:rPr>
      <w:vertAlign w:val="superscript"/>
    </w:rPr>
  </w:style>
  <w:style w:type="character" w:styleId="EndnoteCharacters" w:customStyle="1">
    <w:name w:val="Endnote Characters"/>
    <w:qFormat/>
    <w:rPr>
      <w:vertAlign w:val="superscript"/>
    </w:rPr>
  </w:style>
  <w:style w:type="character" w:styleId="Style46" w:customStyle="1">
    <w:name w:val="Ссылка указателя"/>
    <w:qFormat/>
    <w:rPr/>
  </w:style>
  <w:style w:type="paragraph" w:styleId="Style47" w:customStyle="1">
    <w:name w:val="Заголовок"/>
    <w:basedOn w:val="Normal"/>
    <w:next w:val="Normal"/>
    <w:qFormat/>
    <w:pPr>
      <w:pBdr>
        <w:bottom w:val="single" w:sz="8" w:space="4" w:color="4F81BD"/>
      </w:pBdr>
      <w:spacing w:before="0" w:after="300"/>
    </w:pPr>
    <w:rPr>
      <w:color w:val="000080"/>
    </w:rPr>
  </w:style>
  <w:style w:type="paragraph" w:styleId="BodyText">
    <w:name w:val="Body Text"/>
    <w:basedOn w:val="Normal"/>
    <w:pPr>
      <w:spacing w:before="0" w:after="60"/>
      <w:ind w:firstLine="567"/>
      <w:jc w:val="both"/>
    </w:pPr>
    <w:rPr/>
  </w:style>
  <w:style w:type="paragraph" w:styleId="List">
    <w:name w:val="List"/>
    <w:basedOn w:val="Normal"/>
    <w:pPr>
      <w:tabs>
        <w:tab w:val="clear" w:pos="397"/>
        <w:tab w:val="left" w:pos="0" w:leader="none"/>
      </w:tabs>
      <w:spacing w:before="0" w:after="60"/>
      <w:jc w:val="both"/>
    </w:pPr>
    <w:rPr/>
  </w:style>
  <w:style w:type="paragraph" w:styleId="Caption">
    <w:name w:val="Caption"/>
    <w:basedOn w:val="Normal"/>
    <w:qFormat/>
    <w:pPr>
      <w:suppressLineNumbers/>
      <w:spacing w:before="120" w:after="120"/>
    </w:pPr>
    <w:rPr>
      <w:rFonts w:cs="Lucida Sans"/>
      <w:i/>
      <w:iCs/>
      <w:sz w:val="24"/>
      <w:szCs w:val="24"/>
    </w:rPr>
  </w:style>
  <w:style w:type="paragraph" w:styleId="Style48">
    <w:name w:val="Указатель"/>
    <w:basedOn w:val="Normal"/>
    <w:qFormat/>
    <w:pPr>
      <w:suppressLineNumbers/>
    </w:pPr>
    <w:rPr>
      <w:rFonts w:cs="Lucida Sans"/>
      <w:lang w:val="zxx" w:eastAsia="zxx" w:bidi="zxx"/>
    </w:rPr>
  </w:style>
  <w:style w:type="paragraph" w:styleId="Caption1">
    <w:name w:val="caption1"/>
    <w:basedOn w:val="Normal"/>
    <w:qFormat/>
    <w:pPr>
      <w:suppressLineNumbers/>
      <w:spacing w:before="120" w:after="120"/>
    </w:pPr>
    <w:rPr>
      <w:rFonts w:cs="Arial"/>
      <w:i/>
      <w:iCs/>
      <w:sz w:val="24"/>
      <w:szCs w:val="24"/>
    </w:rPr>
  </w:style>
  <w:style w:type="paragraph" w:styleId="Indexheading">
    <w:name w:val="index heading"/>
    <w:basedOn w:val="Normal"/>
    <w:qFormat/>
    <w:pPr>
      <w:suppressLineNumbers/>
    </w:pPr>
    <w:rPr>
      <w:rFonts w:cs="Mangal"/>
    </w:rPr>
  </w:style>
  <w:style w:type="paragraph" w:styleId="Caption11" w:customStyle="1">
    <w:name w:val="caption11"/>
    <w:basedOn w:val="Style47"/>
    <w:next w:val="BodyText"/>
    <w:qFormat/>
    <w:pPr>
      <w:jc w:val="center"/>
    </w:pPr>
    <w:rPr>
      <w:b/>
      <w:bCs/>
      <w:sz w:val="56"/>
      <w:szCs w:val="56"/>
    </w:rPr>
  </w:style>
  <w:style w:type="paragraph" w:styleId="36" w:customStyle="1">
    <w:name w:val="Указатель3"/>
    <w:basedOn w:val="Normal"/>
    <w:qFormat/>
    <w:pPr>
      <w:suppressLineNumbers/>
    </w:pPr>
    <w:rPr>
      <w:rFonts w:cs="Mangal"/>
    </w:rPr>
  </w:style>
  <w:style w:type="paragraph" w:styleId="27" w:customStyle="1">
    <w:name w:val="Название объекта2"/>
    <w:basedOn w:val="Normal"/>
    <w:qFormat/>
    <w:pPr>
      <w:suppressLineNumbers/>
      <w:spacing w:before="120" w:after="120"/>
    </w:pPr>
    <w:rPr>
      <w:rFonts w:cs="Mangal"/>
      <w:i/>
      <w:iCs/>
      <w:sz w:val="24"/>
      <w:szCs w:val="24"/>
    </w:rPr>
  </w:style>
  <w:style w:type="paragraph" w:styleId="28" w:customStyle="1">
    <w:name w:val="Указатель2"/>
    <w:basedOn w:val="Normal"/>
    <w:qFormat/>
    <w:pPr>
      <w:suppressLineNumbers/>
    </w:pPr>
    <w:rPr>
      <w:rFonts w:cs="Mangal"/>
    </w:rPr>
  </w:style>
  <w:style w:type="paragraph" w:styleId="EndnoteText">
    <w:name w:val="Endnote Text"/>
    <w:basedOn w:val="Normal"/>
    <w:pPr/>
    <w:rPr/>
  </w:style>
  <w:style w:type="paragraph" w:styleId="Style49" w:customStyle="1">
    <w:name w:val="Знак Знак Знак Знак Знак Знак Знак"/>
    <w:basedOn w:val="Normal"/>
    <w:qFormat/>
    <w:pPr/>
    <w:rPr>
      <w:rFonts w:ascii="Verdana" w:hAnsi="Verdana" w:cs="Verdana"/>
      <w:lang w:val="en-US"/>
    </w:rPr>
  </w:style>
  <w:style w:type="paragraph" w:styleId="ListNumber5">
    <w:name w:val="List Number 5"/>
    <w:basedOn w:val="Normal"/>
    <w:qFormat/>
    <w:pPr>
      <w:tabs>
        <w:tab w:val="clear" w:pos="397"/>
        <w:tab w:val="left" w:pos="360" w:leader="none"/>
      </w:tabs>
      <w:ind w:hanging="360" w:left="360"/>
    </w:pPr>
    <w:rPr/>
  </w:style>
  <w:style w:type="paragraph" w:styleId="Web" w:customStyle="1">
    <w:name w:val="Обычный (Web)"/>
    <w:basedOn w:val="Normal"/>
    <w:qFormat/>
    <w:pPr>
      <w:spacing w:before="41" w:after="41"/>
      <w:ind w:hanging="0" w:left="41" w:right="41"/>
    </w:pPr>
    <w:rPr>
      <w:color w:val="000000"/>
    </w:rPr>
  </w:style>
  <w:style w:type="paragraph" w:styleId="Style50" w:customStyle="1">
    <w:name w:val="Абзац"/>
    <w:qFormat/>
    <w:pPr>
      <w:widowControl/>
      <w:suppressAutoHyphens w:val="true"/>
      <w:bidi w:val="0"/>
      <w:spacing w:before="120" w:after="60"/>
      <w:ind w:firstLine="567"/>
      <w:jc w:val="both"/>
    </w:pPr>
    <w:rPr>
      <w:rFonts w:ascii="Times New Roman" w:hAnsi="Times New Roman" w:eastAsia="Times New Roman" w:cs="Times New Roman"/>
      <w:color w:val="auto"/>
      <w:kern w:val="0"/>
      <w:sz w:val="20"/>
      <w:szCs w:val="20"/>
      <w:lang w:val="ru-RU" w:eastAsia="zh-CN" w:bidi="ar-SA"/>
    </w:rPr>
  </w:style>
  <w:style w:type="paragraph" w:styleId="Subtitle">
    <w:name w:val="Subtitle"/>
    <w:basedOn w:val="Normal"/>
    <w:next w:val="Normal"/>
    <w:qFormat/>
    <w:pPr/>
    <w:rPr>
      <w:color w:val="808080"/>
    </w:rPr>
  </w:style>
  <w:style w:type="paragraph" w:styleId="WW-2" w:customStyle="1">
    <w:name w:val="WW-Название"/>
    <w:basedOn w:val="Style47"/>
    <w:next w:val="BodyText"/>
    <w:qFormat/>
    <w:pPr>
      <w:jc w:val="center"/>
    </w:pPr>
    <w:rPr>
      <w:b/>
      <w:bCs/>
      <w:sz w:val="56"/>
      <w:szCs w:val="56"/>
    </w:rPr>
  </w:style>
  <w:style w:type="paragraph" w:styleId="TOC5">
    <w:name w:val="TOC 5"/>
    <w:basedOn w:val="Normal"/>
    <w:next w:val="Normal"/>
    <w:pPr>
      <w:ind w:hanging="0" w:left="960"/>
    </w:pPr>
    <w:rPr>
      <w:sz w:val="18"/>
      <w:szCs w:val="18"/>
    </w:rPr>
  </w:style>
  <w:style w:type="paragraph" w:styleId="TOC7">
    <w:name w:val="TOC 7"/>
    <w:basedOn w:val="Normal"/>
    <w:next w:val="Normal"/>
    <w:pPr>
      <w:ind w:hanging="0" w:left="1440"/>
    </w:pPr>
    <w:rPr>
      <w:sz w:val="18"/>
      <w:szCs w:val="18"/>
    </w:rPr>
  </w:style>
  <w:style w:type="paragraph" w:styleId="TOC9">
    <w:name w:val="TOC 9"/>
    <w:basedOn w:val="Normal"/>
    <w:next w:val="Normal"/>
    <w:pPr>
      <w:ind w:hanging="0" w:left="1920"/>
    </w:pPr>
    <w:rPr>
      <w:sz w:val="18"/>
      <w:szCs w:val="18"/>
    </w:rPr>
  </w:style>
  <w:style w:type="paragraph" w:styleId="FootnoteText">
    <w:name w:val="Footnote Text"/>
    <w:basedOn w:val="Normal"/>
    <w:pPr/>
    <w:rPr/>
  </w:style>
  <w:style w:type="paragraph" w:styleId="118" w:customStyle="1">
    <w:name w:val="Прощание1"/>
    <w:basedOn w:val="Normal"/>
    <w:next w:val="Normal"/>
    <w:qFormat/>
    <w:pPr>
      <w:keepNext w:val="true"/>
      <w:pageBreakBefore/>
      <w:tabs>
        <w:tab w:val="clear" w:pos="397"/>
        <w:tab w:val="left" w:pos="0" w:leader="none"/>
      </w:tabs>
      <w:spacing w:before="120" w:after="120"/>
      <w:jc w:val="center"/>
    </w:pPr>
    <w:rPr>
      <w:b/>
      <w:bCs/>
      <w:kern w:val="2"/>
      <w:sz w:val="28"/>
      <w:szCs w:val="28"/>
    </w:rPr>
  </w:style>
  <w:style w:type="paragraph" w:styleId="TOC8">
    <w:name w:val="TOC 8"/>
    <w:basedOn w:val="Normal"/>
    <w:next w:val="Normal"/>
    <w:pPr>
      <w:ind w:hanging="0" w:left="1680"/>
    </w:pPr>
    <w:rPr>
      <w:sz w:val="18"/>
      <w:szCs w:val="18"/>
    </w:rPr>
  </w:style>
  <w:style w:type="paragraph" w:styleId="119" w:customStyle="1">
    <w:name w:val="Указатель1"/>
    <w:basedOn w:val="Normal"/>
    <w:qFormat/>
    <w:pPr>
      <w:suppressLineNumbers/>
    </w:pPr>
    <w:rPr>
      <w:rFonts w:cs="Mangal"/>
    </w:rPr>
  </w:style>
  <w:style w:type="paragraph" w:styleId="120" w:customStyle="1">
    <w:name w:val="Текст выноски1"/>
    <w:basedOn w:val="Normal"/>
    <w:qFormat/>
    <w:pPr/>
    <w:rPr>
      <w:rFonts w:ascii="Tahoma" w:hAnsi="Tahoma" w:cs="Tahoma"/>
      <w:sz w:val="16"/>
      <w:szCs w:val="16"/>
    </w:rPr>
  </w:style>
  <w:style w:type="paragraph" w:styleId="Style51" w:customStyle="1">
    <w:name w:val="Верхний и нижний колонтитулы"/>
    <w:basedOn w:val="Normal"/>
    <w:qFormat/>
    <w:pPr/>
    <w:rPr/>
  </w:style>
  <w:style w:type="paragraph" w:styleId="Style52" w:customStyle="1">
    <w:name w:val="Колонтитулы"/>
    <w:basedOn w:val="Normal"/>
    <w:qFormat/>
    <w:pPr/>
    <w:rPr/>
  </w:style>
  <w:style w:type="paragraph" w:styleId="Style53" w:customStyle="1">
    <w:name w:val="Колонтитул"/>
    <w:basedOn w:val="Normal"/>
    <w:qFormat/>
    <w:pPr/>
    <w:rPr/>
  </w:style>
  <w:style w:type="paragraph" w:styleId="Header">
    <w:name w:val="Header"/>
    <w:basedOn w:val="Normal"/>
    <w:uiPriority w:val="99"/>
    <w:pPr>
      <w:pBdr>
        <w:top w:val="double" w:sz="2" w:space="1" w:color="808080"/>
        <w:bottom w:val="double" w:sz="2" w:space="1" w:color="808080"/>
      </w:pBdr>
      <w:tabs>
        <w:tab w:val="clear" w:pos="397"/>
        <w:tab w:val="center" w:pos="4677" w:leader="none"/>
        <w:tab w:val="left" w:pos="9355" w:leader="none"/>
      </w:tabs>
      <w:spacing w:before="0" w:after="120"/>
      <w:jc w:val="center"/>
    </w:pPr>
    <w:rPr>
      <w:color w:val="808080"/>
    </w:rPr>
  </w:style>
  <w:style w:type="paragraph" w:styleId="ListNumber2">
    <w:name w:val="List Number 2"/>
    <w:basedOn w:val="Normal"/>
    <w:qFormat/>
    <w:pPr>
      <w:ind w:hanging="0" w:left="426"/>
    </w:pPr>
    <w:rPr/>
  </w:style>
  <w:style w:type="paragraph" w:styleId="ListBullet2">
    <w:name w:val="List Bullet 2"/>
    <w:basedOn w:val="Normal"/>
    <w:qFormat/>
    <w:pPr>
      <w:tabs>
        <w:tab w:val="clear" w:pos="397"/>
        <w:tab w:val="left" w:pos="360" w:leader="none"/>
      </w:tabs>
      <w:ind w:hanging="360" w:left="360"/>
    </w:pPr>
    <w:rPr/>
  </w:style>
  <w:style w:type="paragraph" w:styleId="TOC1">
    <w:name w:val="TOC 1"/>
    <w:basedOn w:val="Normal"/>
    <w:next w:val="Normal"/>
    <w:uiPriority w:val="39"/>
    <w:pPr>
      <w:spacing w:before="120" w:after="120"/>
    </w:pPr>
    <w:rPr>
      <w:b/>
      <w:bCs/>
      <w:caps/>
    </w:rPr>
  </w:style>
  <w:style w:type="paragraph" w:styleId="ListBullet4">
    <w:name w:val="List Bullet 4"/>
    <w:basedOn w:val="Normal"/>
    <w:qFormat/>
    <w:pPr>
      <w:tabs>
        <w:tab w:val="clear" w:pos="397"/>
        <w:tab w:val="left" w:pos="1209" w:leader="none"/>
      </w:tabs>
      <w:spacing w:lineRule="auto" w:line="276" w:before="0" w:after="200"/>
      <w:ind w:hanging="360" w:left="1209"/>
      <w:contextualSpacing/>
    </w:pPr>
    <w:rPr>
      <w:rFonts w:ascii="Calibri" w:hAnsi="Calibri" w:cs="Calibri"/>
      <w:sz w:val="22"/>
      <w:szCs w:val="22"/>
    </w:rPr>
  </w:style>
  <w:style w:type="paragraph" w:styleId="TOC3">
    <w:name w:val="TOC 3"/>
    <w:basedOn w:val="Normal"/>
    <w:next w:val="Normal"/>
    <w:pPr>
      <w:ind w:hanging="0" w:left="480"/>
    </w:pPr>
    <w:rPr>
      <w:i/>
      <w:iCs/>
    </w:rPr>
  </w:style>
  <w:style w:type="paragraph" w:styleId="122" w:customStyle="1">
    <w:name w:val="Заголовок таблицы ссылок1"/>
    <w:basedOn w:val="Heading1"/>
    <w:next w:val="Normal"/>
    <w:qFormat/>
    <w:pPr>
      <w:keepLines/>
      <w:pageBreakBefore w:val="false"/>
      <w:tabs>
        <w:tab w:val="left" w:pos="0" w:leader="none"/>
        <w:tab w:val="left" w:pos="851" w:leader="none"/>
      </w:tabs>
      <w:spacing w:before="480" w:after="0"/>
      <w:jc w:val="left"/>
    </w:pPr>
    <w:rPr>
      <w:color w:val="008080"/>
    </w:rPr>
  </w:style>
  <w:style w:type="paragraph" w:styleId="29" w:customStyle="1">
    <w:name w:val="Пункт 2"/>
    <w:basedOn w:val="Heading2"/>
    <w:qFormat/>
    <w:pPr>
      <w:keepNext w:val="false"/>
      <w:spacing w:before="120" w:after="60"/>
      <w:jc w:val="both"/>
    </w:pPr>
    <w:rPr>
      <w:b w:val="false"/>
      <w:bCs w:val="false"/>
      <w:sz w:val="24"/>
      <w:szCs w:val="24"/>
    </w:rPr>
  </w:style>
  <w:style w:type="paragraph" w:styleId="Style54" w:customStyle="1">
    <w:name w:val="Знак Знак Знак Знак Знак Знак Знак Знак Знак Знак Знак Знак Знак Знак Знак"/>
    <w:basedOn w:val="Normal"/>
    <w:qFormat/>
    <w:pPr/>
    <w:rPr>
      <w:rFonts w:ascii="Verdana" w:hAnsi="Verdana" w:cs="Verdana"/>
      <w:lang w:val="en-US"/>
    </w:rPr>
  </w:style>
  <w:style w:type="paragraph" w:styleId="Salutation">
    <w:name w:val="Salutation"/>
    <w:basedOn w:val="Normal"/>
    <w:pPr>
      <w:spacing w:lineRule="auto" w:line="276" w:before="0" w:after="200"/>
    </w:pPr>
    <w:rPr>
      <w:rFonts w:ascii="Calibri" w:hAnsi="Calibri" w:cs="Calibri"/>
    </w:rPr>
  </w:style>
  <w:style w:type="paragraph" w:styleId="TOC6">
    <w:name w:val="TOC 6"/>
    <w:basedOn w:val="Normal"/>
    <w:next w:val="Normal"/>
    <w:pPr>
      <w:ind w:hanging="0" w:left="1200"/>
    </w:pPr>
    <w:rPr>
      <w:sz w:val="18"/>
      <w:szCs w:val="18"/>
    </w:rPr>
  </w:style>
  <w:style w:type="paragraph" w:styleId="37" w:customStyle="1">
    <w:name w:val="Пункт 3"/>
    <w:basedOn w:val="Heading3"/>
    <w:qFormat/>
    <w:pPr>
      <w:keepNext w:val="false"/>
      <w:jc w:val="both"/>
    </w:pPr>
    <w:rPr>
      <w:b w:val="false"/>
      <w:bCs w:val="false"/>
    </w:rPr>
  </w:style>
  <w:style w:type="paragraph" w:styleId="ListBullet3">
    <w:name w:val="List Bullet 3"/>
    <w:basedOn w:val="Normal"/>
    <w:qFormat/>
    <w:pPr>
      <w:tabs>
        <w:tab w:val="clear" w:pos="397"/>
        <w:tab w:val="left" w:pos="360" w:leader="none"/>
      </w:tabs>
      <w:ind w:hanging="360" w:left="360"/>
    </w:pPr>
    <w:rPr/>
  </w:style>
  <w:style w:type="paragraph" w:styleId="Footer">
    <w:name w:val="Footer"/>
    <w:basedOn w:val="Normal"/>
    <w:uiPriority w:val="99"/>
    <w:pPr>
      <w:tabs>
        <w:tab w:val="clear" w:pos="397"/>
        <w:tab w:val="center" w:pos="4677" w:leader="none"/>
        <w:tab w:val="right" w:pos="9355" w:leader="none"/>
      </w:tabs>
      <w:spacing w:before="120" w:after="0"/>
      <w:jc w:val="center"/>
    </w:pPr>
    <w:rPr/>
  </w:style>
  <w:style w:type="paragraph" w:styleId="TOC2">
    <w:name w:val="TOC 2"/>
    <w:basedOn w:val="Normal"/>
    <w:next w:val="Normal"/>
    <w:uiPriority w:val="39"/>
    <w:pPr>
      <w:ind w:hanging="0" w:left="240"/>
    </w:pPr>
    <w:rPr>
      <w:smallCaps/>
    </w:rPr>
  </w:style>
  <w:style w:type="paragraph" w:styleId="ListBullet5">
    <w:name w:val="List Bullet 5"/>
    <w:basedOn w:val="Normal"/>
    <w:qFormat/>
    <w:pPr>
      <w:tabs>
        <w:tab w:val="clear" w:pos="397"/>
        <w:tab w:val="left" w:pos="1492" w:leader="none"/>
      </w:tabs>
      <w:spacing w:lineRule="auto" w:line="276" w:before="0" w:after="200"/>
      <w:ind w:hanging="360" w:left="1492"/>
      <w:contextualSpacing/>
    </w:pPr>
    <w:rPr>
      <w:rFonts w:ascii="Calibri" w:hAnsi="Calibri" w:cs="Calibri"/>
      <w:sz w:val="22"/>
      <w:szCs w:val="22"/>
    </w:rPr>
  </w:style>
  <w:style w:type="paragraph" w:styleId="TOC4">
    <w:name w:val="TOC 4"/>
    <w:basedOn w:val="Normal"/>
    <w:next w:val="Normal"/>
    <w:pPr>
      <w:ind w:hanging="0" w:left="720"/>
    </w:pPr>
    <w:rPr>
      <w:sz w:val="18"/>
      <w:szCs w:val="18"/>
    </w:rPr>
  </w:style>
  <w:style w:type="paragraph" w:styleId="41" w:customStyle="1">
    <w:name w:val="Пункт 4"/>
    <w:basedOn w:val="Heading4"/>
    <w:qFormat/>
    <w:pPr>
      <w:keepNext w:val="false"/>
      <w:jc w:val="both"/>
    </w:pPr>
    <w:rPr>
      <w:b w:val="false"/>
      <w:bCs w:val="false"/>
    </w:rPr>
  </w:style>
  <w:style w:type="paragraph" w:styleId="Style55" w:customStyle="1">
    <w:name w:val="Год утверждения"/>
    <w:basedOn w:val="Normal"/>
    <w:qFormat/>
    <w:pPr>
      <w:jc w:val="center"/>
    </w:pPr>
    <w:rPr>
      <w:b/>
      <w:bCs/>
      <w:sz w:val="28"/>
      <w:szCs w:val="28"/>
    </w:rPr>
  </w:style>
  <w:style w:type="paragraph" w:styleId="BodyTextIndent">
    <w:name w:val="Body Text Indent"/>
    <w:basedOn w:val="Normal"/>
    <w:pPr>
      <w:spacing w:before="0" w:after="120"/>
      <w:ind w:hanging="0" w:left="283"/>
    </w:pPr>
    <w:rPr/>
  </w:style>
  <w:style w:type="paragraph" w:styleId="Style56" w:customStyle="1">
    <w:name w:val="Верхняя шапка"/>
    <w:basedOn w:val="Normal"/>
    <w:qFormat/>
    <w:pPr>
      <w:jc w:val="center"/>
    </w:pPr>
    <w:rPr>
      <w:b/>
      <w:bCs/>
      <w:sz w:val="28"/>
      <w:szCs w:val="28"/>
    </w:rPr>
  </w:style>
  <w:style w:type="paragraph" w:styleId="210" w:customStyle="1">
    <w:name w:val="Обычный2"/>
    <w:qFormat/>
    <w:pPr>
      <w:widowControl/>
      <w:suppressAutoHyphens w:val="true"/>
      <w:bidi w:val="0"/>
      <w:spacing w:before="100" w:after="100"/>
      <w:jc w:val="left"/>
    </w:pPr>
    <w:rPr>
      <w:rFonts w:ascii="Times New Roman" w:hAnsi="Times New Roman" w:eastAsia="Times New Roman" w:cs="Times New Roman"/>
      <w:color w:val="auto"/>
      <w:kern w:val="0"/>
      <w:sz w:val="20"/>
      <w:szCs w:val="20"/>
      <w:lang w:val="ru-RU" w:eastAsia="zh-CN" w:bidi="ar-SA"/>
    </w:rPr>
  </w:style>
  <w:style w:type="paragraph" w:styleId="Style57" w:customStyle="1">
    <w:name w:val="Верх. колонт. нечет."/>
    <w:basedOn w:val="Normal"/>
    <w:qFormat/>
    <w:pPr>
      <w:widowControl w:val="false"/>
      <w:spacing w:lineRule="exact" w:line="240"/>
    </w:pPr>
    <w:rPr>
      <w:rFonts w:ascii="Arial" w:hAnsi="Arial" w:cs="Arial"/>
      <w:b/>
      <w:bCs/>
      <w:i/>
      <w:iCs/>
    </w:rPr>
  </w:style>
  <w:style w:type="paragraph" w:styleId="52" w:customStyle="1">
    <w:name w:val="Пункт 5"/>
    <w:basedOn w:val="Heading5"/>
    <w:qFormat/>
    <w:pPr>
      <w:spacing w:before="60" w:after="60"/>
    </w:pPr>
    <w:rPr>
      <w:rFonts w:ascii="Times New Roman" w:hAnsi="Times New Roman" w:cs="Times New Roman"/>
      <w:b w:val="false"/>
      <w:bCs w:val="false"/>
      <w:i w:val="false"/>
      <w:iCs w:val="false"/>
      <w:sz w:val="24"/>
      <w:szCs w:val="24"/>
    </w:rPr>
  </w:style>
  <w:style w:type="paragraph" w:styleId="Style58" w:customStyle="1">
    <w:name w:val="Оглавление"/>
    <w:qFormat/>
    <w:pPr>
      <w:keepNext w:val="true"/>
      <w:keepLines/>
      <w:widowControl w:val="false"/>
      <w:suppressAutoHyphens w:val="true"/>
      <w:bidi w:val="0"/>
      <w:spacing w:before="240" w:after="120"/>
      <w:ind w:hanging="0" w:left="510"/>
      <w:jc w:val="center"/>
    </w:pPr>
    <w:rPr>
      <w:rFonts w:ascii="Times New Roman" w:hAnsi="Times New Roman" w:eastAsia="Times New Roman" w:cs="Times New Roman"/>
      <w:bCs/>
      <w:caps/>
      <w:color w:val="auto"/>
      <w:kern w:val="0"/>
      <w:sz w:val="20"/>
      <w:szCs w:val="20"/>
      <w:lang w:val="ru-RU" w:eastAsia="zh-CN" w:bidi="ar-SA"/>
    </w:rPr>
  </w:style>
  <w:style w:type="paragraph" w:styleId="Style59" w:customStyle="1">
    <w:name w:val="Знак Знак Знак Знак"/>
    <w:basedOn w:val="Normal"/>
    <w:qFormat/>
    <w:pPr>
      <w:spacing w:before="280" w:after="280"/>
    </w:pPr>
    <w:rPr>
      <w:rFonts w:ascii="Tahoma" w:hAnsi="Tahoma" w:cs="Tahoma"/>
      <w:lang w:val="en-US"/>
    </w:rPr>
  </w:style>
  <w:style w:type="paragraph" w:styleId="Style60" w:customStyle="1">
    <w:name w:val="Верх. колонт. четн."/>
    <w:basedOn w:val="Normal"/>
    <w:qFormat/>
    <w:pPr>
      <w:widowControl w:val="false"/>
      <w:spacing w:lineRule="exact" w:line="240"/>
      <w:jc w:val="right"/>
    </w:pPr>
    <w:rPr>
      <w:rFonts w:ascii="Arial" w:hAnsi="Arial" w:cs="Arial"/>
      <w:b/>
      <w:bCs/>
      <w:i/>
      <w:iCs/>
    </w:rPr>
  </w:style>
  <w:style w:type="paragraph" w:styleId="123" w:customStyle="1">
    <w:name w:val="Название объекта1"/>
    <w:basedOn w:val="Normal"/>
    <w:next w:val="Normal"/>
    <w:qFormat/>
    <w:pPr>
      <w:spacing w:before="120" w:after="120"/>
      <w:jc w:val="center"/>
    </w:pPr>
    <w:rPr>
      <w:b/>
      <w:bCs/>
      <w:sz w:val="22"/>
      <w:szCs w:val="22"/>
    </w:rPr>
  </w:style>
  <w:style w:type="paragraph" w:styleId="Style61" w:customStyle="1">
    <w:name w:val="Таблица_номер_таблицы"/>
    <w:qFormat/>
    <w:pPr>
      <w:keepNext w:val="true"/>
      <w:widowControl/>
      <w:suppressAutoHyphens w:val="true"/>
      <w:bidi w:val="0"/>
      <w:spacing w:before="0" w:after="0"/>
      <w:jc w:val="right"/>
    </w:pPr>
    <w:rPr>
      <w:rFonts w:ascii="Times New Roman" w:hAnsi="Times New Roman" w:eastAsia="Times New Roman" w:cs="Times New Roman"/>
      <w:color w:val="auto"/>
      <w:kern w:val="0"/>
      <w:sz w:val="20"/>
      <w:szCs w:val="20"/>
      <w:lang w:val="ru-RU" w:eastAsia="zh-CN" w:bidi="ar-SA"/>
    </w:rPr>
  </w:style>
  <w:style w:type="paragraph" w:styleId="Style62" w:customStyle="1">
    <w:name w:val="Примечания"/>
    <w:basedOn w:val="Normal"/>
    <w:qFormat/>
    <w:pPr>
      <w:spacing w:before="120" w:after="0"/>
      <w:ind w:firstLine="567"/>
      <w:jc w:val="both"/>
    </w:pPr>
    <w:rPr>
      <w:spacing w:val="80"/>
    </w:rPr>
  </w:style>
  <w:style w:type="paragraph" w:styleId="124" w:customStyle="1">
    <w:name w:val="Обычный 1"/>
    <w:basedOn w:val="Normal"/>
    <w:next w:val="Normal"/>
    <w:qFormat/>
    <w:pPr>
      <w:tabs>
        <w:tab w:val="clear" w:pos="397"/>
        <w:tab w:val="left" w:pos="360" w:leader="none"/>
      </w:tabs>
      <w:spacing w:before="120" w:after="0"/>
      <w:ind w:hanging="360" w:left="360"/>
      <w:jc w:val="both"/>
    </w:pPr>
    <w:rPr/>
  </w:style>
  <w:style w:type="paragraph" w:styleId="212" w:customStyle="1">
    <w:name w:val="Заголовок_подзаголовок_2"/>
    <w:next w:val="Style50"/>
    <w:qFormat/>
    <w:pPr>
      <w:keepNext w:val="true"/>
      <w:widowControl/>
      <w:suppressAutoHyphens w:val="true"/>
      <w:bidi w:val="0"/>
      <w:spacing w:before="120" w:after="60"/>
      <w:ind w:hanging="0" w:left="567"/>
      <w:jc w:val="both"/>
    </w:pPr>
    <w:rPr>
      <w:rFonts w:ascii="Times New Roman" w:hAnsi="Times New Roman" w:eastAsia="Times New Roman" w:cs="Times New Roman"/>
      <w:bCs/>
      <w:color w:val="auto"/>
      <w:kern w:val="0"/>
      <w:sz w:val="20"/>
      <w:szCs w:val="20"/>
      <w:lang w:val="ru-RU" w:eastAsia="zh-CN" w:bidi="ar-SA"/>
    </w:rPr>
  </w:style>
  <w:style w:type="paragraph" w:styleId="125" w:customStyle="1">
    <w:name w:val="Схема документа1"/>
    <w:basedOn w:val="Normal"/>
    <w:qFormat/>
    <w:pPr>
      <w:widowControl w:val="false"/>
      <w:jc w:val="both"/>
    </w:pPr>
    <w:rPr>
      <w:szCs w:val="2"/>
    </w:rPr>
  </w:style>
  <w:style w:type="paragraph" w:styleId="Style63" w:customStyle="1">
    <w:name w:val="Обычный влево"/>
    <w:basedOn w:val="124"/>
    <w:qFormat/>
    <w:pPr>
      <w:tabs>
        <w:tab w:val="clear" w:pos="360"/>
      </w:tabs>
      <w:spacing w:before="0" w:after="0"/>
      <w:ind w:hanging="0" w:left="0"/>
      <w:jc w:val="left"/>
    </w:pPr>
    <w:rPr/>
  </w:style>
  <w:style w:type="paragraph" w:styleId="Style64" w:customStyle="1">
    <w:name w:val="Лист согласования"/>
    <w:basedOn w:val="Normal"/>
    <w:qFormat/>
    <w:pPr>
      <w:ind w:firstLine="851"/>
      <w:jc w:val="center"/>
    </w:pPr>
    <w:rPr>
      <w:b/>
      <w:bCs/>
    </w:rPr>
  </w:style>
  <w:style w:type="paragraph" w:styleId="Style65" w:customStyle="1">
    <w:name w:val="Таблица_название_таблицы"/>
    <w:next w:val="Style50"/>
    <w:qFormat/>
    <w:pPr>
      <w:keepNext w:val="true"/>
      <w:widowControl/>
      <w:suppressAutoHyphens w:val="true"/>
      <w:bidi w:val="0"/>
      <w:spacing w:before="0" w:after="120"/>
      <w:jc w:val="center"/>
    </w:pPr>
    <w:rPr>
      <w:rFonts w:ascii="Times New Roman" w:hAnsi="Times New Roman" w:eastAsia="Times New Roman" w:cs="Times New Roman"/>
      <w:color w:val="auto"/>
      <w:kern w:val="0"/>
      <w:sz w:val="20"/>
      <w:szCs w:val="20"/>
      <w:lang w:val="ru-RU" w:eastAsia="zh-CN" w:bidi="ar-SA"/>
    </w:rPr>
  </w:style>
  <w:style w:type="paragraph" w:styleId="126" w:customStyle="1">
    <w:name w:val="Заголовок_подзаголовок_1"/>
    <w:next w:val="Style50"/>
    <w:qFormat/>
    <w:pPr>
      <w:keepNext w:val="true"/>
      <w:widowControl/>
      <w:suppressAutoHyphens w:val="true"/>
      <w:bidi w:val="0"/>
      <w:spacing w:before="120" w:after="60"/>
      <w:ind w:hanging="0" w:left="567"/>
      <w:jc w:val="both"/>
    </w:pPr>
    <w:rPr>
      <w:rFonts w:ascii="Times New Roman" w:hAnsi="Times New Roman" w:eastAsia="Times New Roman" w:cs="Times New Roman"/>
      <w:bCs/>
      <w:color w:val="auto"/>
      <w:kern w:val="0"/>
      <w:sz w:val="20"/>
      <w:szCs w:val="20"/>
      <w:u w:val="single"/>
      <w:lang w:val="ru-RU" w:eastAsia="zh-CN" w:bidi="ar-SA"/>
    </w:rPr>
  </w:style>
  <w:style w:type="paragraph" w:styleId="011" w:customStyle="1">
    <w:name w:val="Заголовок 01"/>
    <w:qFormat/>
    <w:pPr>
      <w:keepNext w:val="true"/>
      <w:pageBreakBefore/>
      <w:widowControl/>
      <w:suppressAutoHyphens w:val="true"/>
      <w:bidi w:val="0"/>
      <w:spacing w:before="240" w:after="120"/>
      <w:ind w:hanging="0" w:left="567"/>
      <w:jc w:val="center"/>
    </w:pPr>
    <w:rPr>
      <w:rFonts w:ascii="Times New Roman" w:hAnsi="Times New Roman" w:eastAsia="Times New Roman" w:cs="Times New Roman"/>
      <w:bCs/>
      <w:caps/>
      <w:color w:val="auto"/>
      <w:kern w:val="2"/>
      <w:sz w:val="20"/>
      <w:szCs w:val="20"/>
      <w:lang w:val="ru-RU" w:eastAsia="zh-CN" w:bidi="ar-SA"/>
    </w:rPr>
  </w:style>
  <w:style w:type="paragraph" w:styleId="127" w:customStyle="1">
    <w:name w:val="Список_маркерный_1_уровень"/>
    <w:qFormat/>
    <w:pPr>
      <w:widowControl/>
      <w:suppressAutoHyphens w:val="true"/>
      <w:bidi w:val="0"/>
      <w:spacing w:before="60" w:after="100"/>
      <w:ind w:hanging="0" w:left="426"/>
      <w:jc w:val="both"/>
    </w:pPr>
    <w:rPr>
      <w:rFonts w:ascii="Times New Roman" w:hAnsi="Times New Roman" w:eastAsia="Times New Roman" w:cs="Times New Roman"/>
      <w:color w:val="auto"/>
      <w:kern w:val="0"/>
      <w:sz w:val="20"/>
      <w:szCs w:val="20"/>
      <w:lang w:val="ru-RU" w:eastAsia="zh-CN" w:bidi="ar-SA"/>
    </w:rPr>
  </w:style>
  <w:style w:type="paragraph" w:styleId="213" w:customStyle="1">
    <w:name w:val="Список_маркерный_2_уровень"/>
    <w:basedOn w:val="127"/>
    <w:qFormat/>
    <w:pPr>
      <w:ind w:hanging="0" w:left="964"/>
    </w:pPr>
    <w:rPr/>
  </w:style>
  <w:style w:type="paragraph" w:styleId="128" w:customStyle="1">
    <w:name w:val="Список_нумерованный_1_уровень"/>
    <w:qFormat/>
    <w:pPr>
      <w:widowControl/>
      <w:suppressAutoHyphens w:val="true"/>
      <w:bidi w:val="0"/>
      <w:spacing w:before="60" w:after="100"/>
      <w:jc w:val="both"/>
    </w:pPr>
    <w:rPr>
      <w:rFonts w:ascii="Times New Roman" w:hAnsi="Times New Roman" w:eastAsia="Times New Roman" w:cs="Times New Roman"/>
      <w:color w:val="auto"/>
      <w:kern w:val="0"/>
      <w:sz w:val="20"/>
      <w:szCs w:val="20"/>
      <w:lang w:val="ru-RU" w:eastAsia="zh-CN" w:bidi="ar-SA"/>
    </w:rPr>
  </w:style>
  <w:style w:type="paragraph" w:styleId="214" w:customStyle="1">
    <w:name w:val="Список_нумерованный_2_уровень"/>
    <w:basedOn w:val="128"/>
    <w:qFormat/>
    <w:pPr/>
    <w:rPr/>
  </w:style>
  <w:style w:type="paragraph" w:styleId="ParaAttribute3" w:customStyle="1">
    <w:name w:val="ParaAttribute3"/>
    <w:qFormat/>
    <w:pPr>
      <w:widowControl/>
      <w:suppressAutoHyphens w:val="true"/>
      <w:bidi w:val="0"/>
      <w:spacing w:before="0" w:after="0"/>
      <w:ind w:firstLine="567"/>
      <w:jc w:val="both"/>
    </w:pPr>
    <w:rPr>
      <w:rFonts w:ascii="Times New Roman" w:hAnsi="Times New Roman" w:eastAsia="Times New Roman" w:cs="Times New Roman"/>
      <w:color w:val="auto"/>
      <w:kern w:val="0"/>
      <w:sz w:val="20"/>
      <w:szCs w:val="20"/>
      <w:lang w:val="ru-RU" w:eastAsia="zh-CN" w:bidi="ar-SA"/>
    </w:rPr>
  </w:style>
  <w:style w:type="paragraph" w:styleId="38" w:customStyle="1">
    <w:name w:val="Список_нумерованный_3_уровень"/>
    <w:basedOn w:val="128"/>
    <w:qFormat/>
    <w:pPr>
      <w:tabs>
        <w:tab w:val="clear" w:pos="397"/>
        <w:tab w:val="left" w:pos="0" w:leader="none"/>
      </w:tabs>
      <w:ind w:hanging="0" w:left="567"/>
    </w:pPr>
    <w:rPr/>
  </w:style>
  <w:style w:type="paragraph" w:styleId="1110" w:customStyle="1">
    <w:name w:val="Табличный_таблица_11"/>
    <w:qFormat/>
    <w:pPr>
      <w:widowControl/>
      <w:suppressAutoHyphens w:val="true"/>
      <w:bidi w:val="0"/>
      <w:spacing w:before="0" w:after="0"/>
      <w:jc w:val="center"/>
    </w:pPr>
    <w:rPr>
      <w:rFonts w:ascii="Times New Roman" w:hAnsi="Times New Roman" w:eastAsia="Times New Roman" w:cs="Times New Roman"/>
      <w:color w:val="auto"/>
      <w:kern w:val="0"/>
      <w:sz w:val="20"/>
      <w:szCs w:val="20"/>
      <w:lang w:val="ru-RU" w:eastAsia="zh-CN" w:bidi="ar-SA"/>
    </w:rPr>
  </w:style>
  <w:style w:type="paragraph" w:styleId="1111" w:customStyle="1">
    <w:name w:val="Табличный_нумерация_11"/>
    <w:qFormat/>
    <w:pPr>
      <w:widowControl/>
      <w:suppressAutoHyphens w:val="true"/>
      <w:bidi w:val="0"/>
      <w:spacing w:before="0" w:after="0"/>
      <w:ind w:hanging="360" w:left="720"/>
      <w:jc w:val="both"/>
    </w:pPr>
    <w:rPr>
      <w:rFonts w:ascii="Times New Roman" w:hAnsi="Times New Roman" w:eastAsia="Times New Roman" w:cs="Times New Roman"/>
      <w:color w:val="auto"/>
      <w:kern w:val="0"/>
      <w:sz w:val="20"/>
      <w:szCs w:val="20"/>
      <w:lang w:val="ru-RU" w:eastAsia="zh-CN" w:bidi="ar-SA"/>
    </w:rPr>
  </w:style>
  <w:style w:type="paragraph" w:styleId="1112" w:customStyle="1">
    <w:name w:val="Табличный_маркированный_11"/>
    <w:qFormat/>
    <w:pPr>
      <w:widowControl/>
      <w:tabs>
        <w:tab w:val="clear" w:pos="397"/>
        <w:tab w:val="left" w:pos="0" w:leader="none"/>
      </w:tabs>
      <w:suppressAutoHyphens w:val="true"/>
      <w:bidi w:val="0"/>
      <w:spacing w:before="0" w:after="0"/>
      <w:jc w:val="both"/>
    </w:pPr>
    <w:rPr>
      <w:rFonts w:ascii="Times New Roman" w:hAnsi="Times New Roman" w:eastAsia="Times New Roman" w:cs="Times New Roman"/>
      <w:color w:val="auto"/>
      <w:kern w:val="0"/>
      <w:sz w:val="20"/>
      <w:szCs w:val="20"/>
      <w:lang w:val="ru-RU" w:eastAsia="zh-CN" w:bidi="ar-SA"/>
    </w:rPr>
  </w:style>
  <w:style w:type="paragraph" w:styleId="1113" w:customStyle="1">
    <w:name w:val="Табличный_боковик_правый_11"/>
    <w:qFormat/>
    <w:pPr>
      <w:widowControl/>
      <w:suppressAutoHyphens w:val="true"/>
      <w:bidi w:val="0"/>
      <w:spacing w:before="0" w:after="0"/>
      <w:jc w:val="right"/>
    </w:pPr>
    <w:rPr>
      <w:rFonts w:ascii="Times New Roman" w:hAnsi="Times New Roman" w:eastAsia="Times New Roman" w:cs="Times New Roman"/>
      <w:color w:val="auto"/>
      <w:kern w:val="0"/>
      <w:sz w:val="20"/>
      <w:szCs w:val="20"/>
      <w:lang w:val="ru-RU" w:eastAsia="zh-CN" w:bidi="ar-SA"/>
    </w:rPr>
  </w:style>
  <w:style w:type="paragraph" w:styleId="1114" w:customStyle="1">
    <w:name w:val="Табличный_боковик_11"/>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39" w:customStyle="1">
    <w:name w:val="Заголовок_подзаголовок_3"/>
    <w:next w:val="Style50"/>
    <w:qFormat/>
    <w:pPr>
      <w:keepNext w:val="true"/>
      <w:widowControl/>
      <w:suppressAutoHyphens w:val="true"/>
      <w:bidi w:val="0"/>
      <w:spacing w:before="120" w:after="60"/>
      <w:ind w:hanging="0" w:left="567"/>
      <w:jc w:val="both"/>
    </w:pPr>
    <w:rPr>
      <w:rFonts w:ascii="Times New Roman" w:hAnsi="Times New Roman" w:eastAsia="Times New Roman" w:cs="Times New Roman"/>
      <w:bCs/>
      <w:color w:val="auto"/>
      <w:kern w:val="0"/>
      <w:sz w:val="20"/>
      <w:szCs w:val="20"/>
      <w:u w:val="single"/>
      <w:lang w:val="ru-RU" w:eastAsia="zh-CN" w:bidi="ar-SA"/>
    </w:rPr>
  </w:style>
  <w:style w:type="paragraph" w:styleId="Style66" w:customStyle="1">
    <w:name w:val="Примечание"/>
    <w:next w:val="Style50"/>
    <w:qFormat/>
    <w:pPr>
      <w:widowControl/>
      <w:suppressAutoHyphens w:val="true"/>
      <w:bidi w:val="0"/>
      <w:spacing w:before="0" w:after="0"/>
      <w:ind w:hanging="113" w:left="680" w:right="567"/>
      <w:jc w:val="both"/>
    </w:pPr>
    <w:rPr>
      <w:rFonts w:ascii="Times New Roman" w:hAnsi="Times New Roman" w:eastAsia="Times New Roman" w:cs="Times New Roman"/>
      <w:color w:val="auto"/>
      <w:kern w:val="0"/>
      <w:sz w:val="20"/>
      <w:szCs w:val="20"/>
      <w:lang w:val="ru-RU" w:eastAsia="zh-CN" w:bidi="ar-SA"/>
    </w:rPr>
  </w:style>
  <w:style w:type="paragraph" w:styleId="215" w:customStyle="1">
    <w:name w:val="Основной текст с отступом 21"/>
    <w:basedOn w:val="Normal"/>
    <w:qFormat/>
    <w:pPr>
      <w:spacing w:lineRule="auto" w:line="480" w:before="0" w:after="120"/>
      <w:ind w:hanging="0" w:left="283"/>
    </w:pPr>
    <w:rPr/>
  </w:style>
  <w:style w:type="paragraph" w:styleId="216" w:customStyle="1">
    <w:name w:val="Основной текст 21"/>
    <w:basedOn w:val="Normal"/>
    <w:qFormat/>
    <w:pPr>
      <w:spacing w:lineRule="auto" w:line="480" w:before="0" w:after="120"/>
    </w:pPr>
    <w:rPr/>
  </w:style>
  <w:style w:type="paragraph" w:styleId="311" w:customStyle="1">
    <w:name w:val="Основной текст 31"/>
    <w:basedOn w:val="Normal"/>
    <w:qFormat/>
    <w:pPr>
      <w:spacing w:before="0" w:after="120"/>
    </w:pPr>
    <w:rPr>
      <w:sz w:val="16"/>
      <w:szCs w:val="16"/>
    </w:rPr>
  </w:style>
  <w:style w:type="paragraph" w:styleId="129" w:customStyle="1">
    <w:name w:val="Обычный (веб)1"/>
    <w:basedOn w:val="Normal"/>
    <w:qFormat/>
    <w:pPr/>
    <w:rPr/>
  </w:style>
  <w:style w:type="paragraph" w:styleId="HTML1" w:customStyle="1">
    <w:name w:val="Стандартный HTML1"/>
    <w:basedOn w:val="Normal"/>
    <w:qFormat/>
    <w:pPr/>
    <w:rPr>
      <w:rFonts w:ascii="Consolas" w:hAnsi="Consolas" w:cs="Consolas"/>
    </w:rPr>
  </w:style>
  <w:style w:type="paragraph" w:styleId="130" w:customStyle="1">
    <w:name w:val="Текст1"/>
    <w:basedOn w:val="Normal"/>
    <w:qFormat/>
    <w:pPr/>
    <w:rPr>
      <w:rFonts w:ascii="Consolas" w:hAnsi="Consolas" w:cs="Consolas"/>
      <w:sz w:val="21"/>
      <w:szCs w:val="21"/>
    </w:rPr>
  </w:style>
  <w:style w:type="paragraph" w:styleId="132" w:customStyle="1">
    <w:name w:val="Заголовок оглавления1"/>
    <w:basedOn w:val="Heading1"/>
    <w:next w:val="Normal"/>
    <w:qFormat/>
    <w:pPr>
      <w:keepLines/>
      <w:pageBreakBefore w:val="false"/>
      <w:tabs>
        <w:tab w:val="left" w:pos="0" w:leader="none"/>
        <w:tab w:val="left" w:pos="851" w:leader="none"/>
      </w:tabs>
      <w:spacing w:before="480" w:after="0"/>
      <w:jc w:val="left"/>
    </w:pPr>
    <w:rPr>
      <w:color w:val="008080"/>
    </w:rPr>
  </w:style>
  <w:style w:type="paragraph" w:styleId="Style67" w:customStyle="1">
    <w:name w:val="Титул_адрес_организации"/>
    <w:qFormat/>
    <w:pPr>
      <w:widowControl/>
      <w:suppressAutoHyphens w:val="true"/>
      <w:bidi w:val="0"/>
      <w:spacing w:before="60" w:after="0"/>
      <w:jc w:val="right"/>
    </w:pPr>
    <w:rPr>
      <w:rFonts w:ascii="Times New Roman" w:hAnsi="Times New Roman" w:eastAsia="Times New Roman" w:cs="Times New Roman"/>
      <w:color w:val="auto"/>
      <w:kern w:val="0"/>
      <w:sz w:val="20"/>
      <w:szCs w:val="20"/>
      <w:lang w:val="ru-RU" w:eastAsia="zh-CN" w:bidi="ar-SA"/>
    </w:rPr>
  </w:style>
  <w:style w:type="paragraph" w:styleId="ConsNonformat" w:customStyle="1">
    <w:name w:val="ConsNonformat"/>
    <w:qFormat/>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Style68" w:customStyle="1">
    <w:name w:val="Титул_название_организации"/>
    <w:qFormat/>
    <w:pPr>
      <w:widowControl/>
      <w:suppressAutoHyphens w:val="true"/>
      <w:bidi w:val="0"/>
      <w:spacing w:before="60" w:after="0"/>
      <w:jc w:val="right"/>
    </w:pPr>
    <w:rPr>
      <w:rFonts w:ascii="Times New Roman" w:hAnsi="Times New Roman" w:eastAsia="Times New Roman" w:cs="Times New Roman"/>
      <w:bCs/>
      <w:color w:val="auto"/>
      <w:kern w:val="0"/>
      <w:sz w:val="20"/>
      <w:szCs w:val="20"/>
      <w:lang w:val="ru-RU" w:eastAsia="zh-CN" w:bidi="ar-SA"/>
    </w:rPr>
  </w:style>
  <w:style w:type="paragraph" w:styleId="133" w:customStyle="1">
    <w:name w:val="Обычный1"/>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Style69" w:customStyle="1">
    <w:name w:val="Титут_инвентарник_экземпляр"/>
    <w:qFormat/>
    <w:pPr>
      <w:widowControl/>
      <w:suppressAutoHyphens w:val="true"/>
      <w:bidi w:val="0"/>
      <w:spacing w:before="240" w:after="240"/>
      <w:jc w:val="right"/>
    </w:pPr>
    <w:rPr>
      <w:rFonts w:ascii="Times New Roman" w:hAnsi="Times New Roman" w:eastAsia="Times New Roman" w:cs="Times New Roman"/>
      <w:bCs/>
      <w:color w:val="auto"/>
      <w:kern w:val="0"/>
      <w:sz w:val="20"/>
      <w:szCs w:val="20"/>
      <w:lang w:val="ru-RU" w:eastAsia="zh-CN" w:bidi="ar-SA"/>
    </w:rPr>
  </w:style>
  <w:style w:type="paragraph" w:styleId="71" w:customStyle="1">
    <w:name w:val="Знак7 Знак Знак Знак Знак Знак Знак Знак"/>
    <w:basedOn w:val="Normal"/>
    <w:qFormat/>
    <w:pPr>
      <w:widowControl w:val="false"/>
      <w:spacing w:lineRule="exact" w:line="240" w:before="0" w:after="160"/>
      <w:jc w:val="right"/>
    </w:pPr>
    <w:rPr>
      <w:rFonts w:ascii="Calibri" w:hAnsi="Calibri" w:cs="Calibri"/>
      <w:lang w:val="en-GB"/>
    </w:rPr>
  </w:style>
  <w:style w:type="paragraph" w:styleId="134" w:customStyle="1">
    <w:name w:val="Знак1 Знак Знак Знак Знак Знак Знак"/>
    <w:basedOn w:val="Normal"/>
    <w:qFormat/>
    <w:pPr>
      <w:spacing w:lineRule="exact" w:line="240" w:before="0" w:after="160"/>
    </w:pPr>
    <w:rPr>
      <w:rFonts w:ascii="Verdana" w:hAnsi="Verdana" w:cs="Verdana"/>
      <w:lang w:val="en-US"/>
    </w:rPr>
  </w:style>
  <w:style w:type="paragraph" w:styleId="181" w:customStyle="1">
    <w:name w:val="Титул_заголовок_18_центр"/>
    <w:qFormat/>
    <w:pPr>
      <w:widowControl/>
      <w:suppressAutoHyphens w:val="true"/>
      <w:bidi w:val="0"/>
      <w:spacing w:before="0" w:after="0"/>
      <w:jc w:val="center"/>
    </w:pPr>
    <w:rPr>
      <w:rFonts w:ascii="Times New Roman" w:hAnsi="Times New Roman" w:eastAsia="Times New Roman" w:cs="Times New Roman"/>
      <w:color w:val="auto"/>
      <w:kern w:val="0"/>
      <w:sz w:val="20"/>
      <w:szCs w:val="20"/>
      <w:lang w:val="ru-RU" w:eastAsia="zh-CN" w:bidi="ar-SA"/>
    </w:rPr>
  </w:style>
  <w:style w:type="paragraph" w:styleId="Style70" w:customStyle="1">
    <w:name w:val="основной текст"/>
    <w:basedOn w:val="Normal"/>
    <w:qFormat/>
    <w:pPr>
      <w:spacing w:lineRule="auto" w:line="276" w:before="0" w:after="120"/>
      <w:ind w:firstLine="851"/>
      <w:jc w:val="both"/>
    </w:pPr>
    <w:rPr>
      <w:rFonts w:ascii="Arial" w:hAnsi="Arial" w:cs="Arial"/>
      <w:sz w:val="28"/>
    </w:rPr>
  </w:style>
  <w:style w:type="paragraph" w:styleId="217" w:customStyle="1">
    <w:name w:val="Список 21"/>
    <w:basedOn w:val="Normal"/>
    <w:qFormat/>
    <w:pPr>
      <w:ind w:hanging="283" w:left="566"/>
    </w:pPr>
    <w:rPr/>
  </w:style>
  <w:style w:type="paragraph" w:styleId="20" w:customStyle="1">
    <w:name w:val="Титул_заголовок_20_центр"/>
    <w:qFormat/>
    <w:pPr>
      <w:widowControl/>
      <w:suppressAutoHyphens w:val="true"/>
      <w:bidi w:val="0"/>
      <w:spacing w:before="0" w:after="0"/>
      <w:jc w:val="center"/>
    </w:pPr>
    <w:rPr>
      <w:rFonts w:ascii="Times New Roman" w:hAnsi="Times New Roman" w:eastAsia="Times New Roman" w:cs="Times New Roman"/>
      <w:bCs/>
      <w:color w:val="auto"/>
      <w:kern w:val="0"/>
      <w:sz w:val="20"/>
      <w:szCs w:val="20"/>
      <w:lang w:val="ru-RU" w:eastAsia="zh-CN" w:bidi="ar-SA"/>
    </w:rPr>
  </w:style>
  <w:style w:type="paragraph" w:styleId="1210" w:customStyle="1">
    <w:name w:val="осн.текст 12 Знак"/>
    <w:basedOn w:val="Normal"/>
    <w:qFormat/>
    <w:pPr>
      <w:spacing w:lineRule="auto" w:line="276" w:before="0" w:after="120"/>
      <w:ind w:firstLine="851"/>
      <w:jc w:val="both"/>
    </w:pPr>
    <w:rPr>
      <w:rFonts w:ascii="Arial" w:hAnsi="Arial" w:cs="Arial"/>
      <w:sz w:val="22"/>
      <w:szCs w:val="22"/>
    </w:rPr>
  </w:style>
  <w:style w:type="paragraph" w:styleId="WW-3" w:customStyle="1">
    <w:name w:val="WW-Заголовок"/>
    <w:basedOn w:val="Normal"/>
    <w:next w:val="BodyText"/>
    <w:qFormat/>
    <w:pPr>
      <w:keepNext w:val="true"/>
      <w:widowControl w:val="false"/>
      <w:spacing w:before="240" w:after="120"/>
    </w:pPr>
    <w:rPr>
      <w:rFonts w:ascii="Arial" w:hAnsi="Arial" w:eastAsia="Lucida Sans Unicode" w:cs="Tahoma"/>
      <w:sz w:val="28"/>
      <w:szCs w:val="28"/>
    </w:rPr>
  </w:style>
  <w:style w:type="paragraph" w:styleId="Style71" w:customStyle="1">
    <w:name w:val="Титул_название_города_дата"/>
    <w:qFormat/>
    <w:pPr>
      <w:widowControl/>
      <w:suppressAutoHyphens w:val="true"/>
      <w:bidi w:val="0"/>
      <w:spacing w:before="0" w:after="0"/>
      <w:jc w:val="center"/>
    </w:pPr>
    <w:rPr>
      <w:rFonts w:ascii="Times New Roman" w:hAnsi="Times New Roman" w:eastAsia="Times New Roman" w:cs="Times New Roman"/>
      <w:bCs/>
      <w:color w:val="auto"/>
      <w:kern w:val="0"/>
      <w:sz w:val="20"/>
      <w:szCs w:val="20"/>
      <w:lang w:val="ru-RU" w:eastAsia="zh-CN" w:bidi="ar-SA"/>
    </w:rPr>
  </w:style>
  <w:style w:type="paragraph" w:styleId="312" w:customStyle="1">
    <w:name w:val="Основной текст с отступом 31"/>
    <w:basedOn w:val="Normal"/>
    <w:qFormat/>
    <w:pPr>
      <w:spacing w:before="0" w:after="120"/>
      <w:ind w:hanging="0" w:left="283"/>
    </w:pPr>
    <w:rPr>
      <w:sz w:val="16"/>
      <w:szCs w:val="16"/>
    </w:rPr>
  </w:style>
  <w:style w:type="paragraph" w:styleId="135" w:customStyle="1">
    <w:name w:val="Цитата1"/>
    <w:basedOn w:val="Normal"/>
    <w:qFormat/>
    <w:pPr>
      <w:pBdr>
        <w:top w:val="single" w:sz="2" w:space="10" w:color="4F81BD"/>
        <w:left w:val="single" w:sz="2" w:space="10" w:color="4F81BD"/>
        <w:bottom w:val="single" w:sz="2" w:space="10" w:color="4F81BD"/>
        <w:right w:val="single" w:sz="2" w:space="10" w:color="4F81BD"/>
      </w:pBdr>
      <w:ind w:hanging="0" w:left="1152" w:right="1152"/>
    </w:pPr>
    <w:rPr>
      <w:color w:val="808080"/>
    </w:rPr>
  </w:style>
  <w:style w:type="paragraph" w:styleId="FR3" w:customStyle="1">
    <w:name w:val="FR3"/>
    <w:qFormat/>
    <w:pPr>
      <w:widowControl w:val="false"/>
      <w:suppressAutoHyphens w:val="true"/>
      <w:bidi w:val="0"/>
      <w:spacing w:lineRule="auto" w:line="336" w:before="420" w:after="0"/>
      <w:jc w:val="left"/>
    </w:pPr>
    <w:rPr>
      <w:rFonts w:ascii="Times New Roman" w:hAnsi="Times New Roman" w:eastAsia="Times New Roman" w:cs="Times New Roman"/>
      <w:color w:val="auto"/>
      <w:kern w:val="0"/>
      <w:sz w:val="20"/>
      <w:szCs w:val="20"/>
      <w:lang w:val="ru-RU" w:eastAsia="zh-CN" w:bidi="ar-SA"/>
    </w:rPr>
  </w:style>
  <w:style w:type="paragraph" w:styleId="218" w:customStyle="1">
    <w:name w:val="Продолжение списка 21"/>
    <w:basedOn w:val="Normal"/>
    <w:qFormat/>
    <w:pPr>
      <w:spacing w:before="0" w:after="120"/>
      <w:ind w:hanging="0" w:left="566"/>
    </w:pPr>
    <w:rPr/>
  </w:style>
  <w:style w:type="paragraph" w:styleId="136" w:customStyle="1">
    <w:name w:val="Абзац списка1"/>
    <w:basedOn w:val="Normal"/>
    <w:qFormat/>
    <w:pPr>
      <w:spacing w:lineRule="auto" w:line="276" w:before="0" w:after="200"/>
      <w:ind w:hanging="0" w:left="720"/>
    </w:pPr>
    <w:rPr>
      <w:rFonts w:ascii="Calibri" w:hAnsi="Calibri" w:cs="Calibri"/>
      <w:sz w:val="22"/>
      <w:szCs w:val="22"/>
    </w:rPr>
  </w:style>
  <w:style w:type="paragraph" w:styleId="137" w:customStyle="1">
    <w:name w:val="Текст примечания1"/>
    <w:basedOn w:val="Normal"/>
    <w:qFormat/>
    <w:pPr/>
    <w:rPr/>
  </w:style>
  <w:style w:type="paragraph" w:styleId="138" w:customStyle="1">
    <w:name w:val="Рецензия1"/>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Style72" w:customStyle="1">
    <w:name w:val="Знак"/>
    <w:basedOn w:val="Normal"/>
    <w:qFormat/>
    <w:pPr/>
    <w:rPr>
      <w:rFonts w:ascii="Verdana" w:hAnsi="Verdana" w:cs="Verdana"/>
      <w:lang w:val="en-US"/>
    </w:rPr>
  </w:style>
  <w:style w:type="paragraph" w:styleId="ConsCell" w:customStyle="1">
    <w:name w:val="ConsCell"/>
    <w:qFormat/>
    <w:pPr>
      <w:widowControl w:val="false"/>
      <w:suppressAutoHyphens w:val="true"/>
      <w:bidi w:val="0"/>
      <w:spacing w:before="0" w:after="0"/>
      <w:ind w:hanging="0" w:left="96" w:right="19772"/>
      <w:jc w:val="left"/>
    </w:pPr>
    <w:rPr>
      <w:rFonts w:ascii="Times New Roman" w:hAnsi="Times New Roman" w:eastAsia="Times New Roman" w:cs="Times New Roman"/>
      <w:color w:val="auto"/>
      <w:kern w:val="0"/>
      <w:sz w:val="20"/>
      <w:szCs w:val="20"/>
      <w:lang w:val="ru-RU" w:eastAsia="zh-CN" w:bidi="ar-SA"/>
    </w:rPr>
  </w:style>
  <w:style w:type="paragraph" w:styleId="ConsPlusCell" w:customStyle="1">
    <w:name w:val="ConsPlusCell"/>
    <w:qFormat/>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139" w:customStyle="1">
    <w:name w:val="Знак1"/>
    <w:basedOn w:val="Normal"/>
    <w:qFormat/>
    <w:pPr>
      <w:spacing w:before="280" w:after="280"/>
    </w:pPr>
    <w:rPr>
      <w:rFonts w:ascii="Tahoma" w:hAnsi="Tahoma" w:cs="Tahoma"/>
      <w:lang w:val="en-US"/>
    </w:rPr>
  </w:style>
  <w:style w:type="paragraph" w:styleId="140" w:customStyle="1">
    <w:name w:val="Тема примечания1"/>
    <w:basedOn w:val="137"/>
    <w:next w:val="137"/>
    <w:qFormat/>
    <w:pPr/>
    <w:rPr>
      <w:b/>
      <w:bCs/>
    </w:rPr>
  </w:style>
  <w:style w:type="paragraph" w:styleId="141" w:customStyle="1">
    <w:name w:val="Маркированный список1"/>
    <w:basedOn w:val="Normal"/>
    <w:qFormat/>
    <w:pPr>
      <w:tabs>
        <w:tab w:val="clear" w:pos="397"/>
        <w:tab w:val="left" w:pos="360" w:leader="none"/>
      </w:tabs>
      <w:ind w:hanging="360" w:left="360"/>
    </w:pPr>
    <w:rPr/>
  </w:style>
  <w:style w:type="paragraph" w:styleId="142" w:customStyle="1">
    <w:name w:val="Заголовок записки1"/>
    <w:basedOn w:val="Normal"/>
    <w:next w:val="Normal"/>
    <w:qFormat/>
    <w:pPr/>
    <w:rPr/>
  </w:style>
  <w:style w:type="paragraph" w:styleId="ListParagraph">
    <w:name w:val="List Paragraph"/>
    <w:basedOn w:val="Normal"/>
    <w:qFormat/>
    <w:pPr>
      <w:widowControl w:val="false"/>
      <w:spacing w:lineRule="atLeast" w:line="360" w:before="0" w:after="0"/>
      <w:ind w:hanging="0" w:left="720"/>
      <w:contextualSpacing/>
      <w:jc w:val="both"/>
      <w:textAlignment w:val="baseline"/>
    </w:pPr>
    <w:rPr/>
  </w:style>
  <w:style w:type="paragraph" w:styleId="Style73" w:customStyle="1">
    <w:name w:val="заполнение таблиц"/>
    <w:basedOn w:val="Normal"/>
    <w:qFormat/>
    <w:pPr/>
    <w:rPr>
      <w:rFonts w:ascii="Arial" w:hAnsi="Arial" w:cs="Arial"/>
      <w:sz w:val="18"/>
      <w:szCs w:val="22"/>
    </w:rPr>
  </w:style>
  <w:style w:type="paragraph" w:styleId="219" w:customStyle="1">
    <w:name w:val="Список_маркер_2ур"/>
    <w:basedOn w:val="127"/>
    <w:qFormat/>
    <w:pPr>
      <w:tabs>
        <w:tab w:val="clear" w:pos="397"/>
        <w:tab w:val="left" w:pos="360" w:leader="none"/>
      </w:tabs>
      <w:spacing w:before="0" w:after="60"/>
      <w:ind w:firstLine="57" w:left="1134"/>
    </w:pPr>
    <w:rPr/>
  </w:style>
  <w:style w:type="paragraph" w:styleId="BodyTxt" w:customStyle="1">
    <w:name w:val="Body Txt"/>
    <w:basedOn w:val="Normal"/>
    <w:qFormat/>
    <w:pPr>
      <w:keepLines/>
      <w:spacing w:before="60" w:after="60"/>
      <w:ind w:firstLine="567"/>
      <w:jc w:val="both"/>
    </w:pPr>
    <w:rPr/>
  </w:style>
  <w:style w:type="paragraph" w:styleId="143" w:customStyle="1">
    <w:name w:val="Основной текст1"/>
    <w:basedOn w:val="Normal"/>
    <w:qFormat/>
    <w:pPr>
      <w:spacing w:lineRule="exact" w:line="322" w:before="360" w:after="200"/>
      <w:jc w:val="both"/>
    </w:pPr>
    <w:rPr>
      <w:sz w:val="27"/>
      <w:szCs w:val="27"/>
    </w:rPr>
  </w:style>
  <w:style w:type="paragraph" w:styleId="ConsNormal" w:customStyle="1">
    <w:name w:val="ConsNormal"/>
    <w:qFormat/>
    <w:pPr>
      <w:widowControl w:val="false"/>
      <w:suppressAutoHyphens w:val="true"/>
      <w:bidi w:val="0"/>
      <w:spacing w:before="0" w:after="0"/>
      <w:ind w:firstLine="720" w:right="19772"/>
      <w:jc w:val="left"/>
    </w:pPr>
    <w:rPr>
      <w:rFonts w:ascii="Times New Roman" w:hAnsi="Times New Roman" w:eastAsia="Times New Roman" w:cs="Times New Roman"/>
      <w:color w:val="auto"/>
      <w:kern w:val="0"/>
      <w:sz w:val="20"/>
      <w:szCs w:val="20"/>
      <w:lang w:val="ru-RU" w:eastAsia="zh-CN" w:bidi="ar-SA"/>
    </w:rPr>
  </w:style>
  <w:style w:type="paragraph" w:styleId="Iauiue" w:customStyle="1">
    <w:name w:val="Iau?iue"/>
    <w:qFormat/>
    <w:pPr>
      <w:widowControl w:val="false"/>
      <w:suppressAutoHyphens w:val="true"/>
      <w:bidi w:val="0"/>
      <w:spacing w:before="0" w:after="0"/>
      <w:jc w:val="left"/>
    </w:pPr>
    <w:rPr>
      <w:rFonts w:ascii="Times New Roman" w:hAnsi="Times New Roman" w:eastAsia="Times New Roman" w:cs="Times New Roman"/>
      <w:color w:val="auto"/>
      <w:kern w:val="0"/>
      <w:sz w:val="20"/>
      <w:szCs w:val="20"/>
      <w:lang w:val="en-US" w:eastAsia="zh-CN" w:bidi="ar-SA"/>
    </w:rPr>
  </w:style>
  <w:style w:type="paragraph" w:styleId="ConsPlusNormal" w:customStyle="1">
    <w:name w:val="ConsPlusNormal"/>
    <w:next w:val="Normal"/>
    <w:qFormat/>
    <w:pPr>
      <w:widowControl w:val="false"/>
      <w:suppressAutoHyphens w:val="true"/>
      <w:bidi w:val="0"/>
      <w:spacing w:before="0" w:after="0"/>
      <w:ind w:firstLine="720"/>
      <w:jc w:val="left"/>
    </w:pPr>
    <w:rPr>
      <w:rFonts w:ascii="Times New Roman" w:hAnsi="Times New Roman" w:eastAsia="Times New Roman" w:cs="Times New Roman"/>
      <w:color w:val="auto"/>
      <w:kern w:val="0"/>
      <w:sz w:val="20"/>
      <w:szCs w:val="20"/>
      <w:lang w:val="ru-RU" w:eastAsia="zh-CN" w:bidi="ar-SA"/>
    </w:rPr>
  </w:style>
  <w:style w:type="paragraph" w:styleId="Style74" w:customStyle="1">
    <w:name w:val="Знак Знак Знак Знак Знак Знак Знак Знак Знак Знак Знак Знак Знак"/>
    <w:basedOn w:val="Normal"/>
    <w:qFormat/>
    <w:pPr/>
    <w:rPr>
      <w:rFonts w:ascii="Verdana" w:hAnsi="Verdana" w:cs="Verdana"/>
      <w:lang w:val="en-US"/>
    </w:rPr>
  </w:style>
  <w:style w:type="paragraph" w:styleId="ConsPlusTitle" w:customStyle="1">
    <w:name w:val="ConsPlusTitle"/>
    <w:qFormat/>
    <w:pPr>
      <w:widowControl w:val="false"/>
      <w:suppressAutoHyphens w:val="true"/>
      <w:bidi w:val="0"/>
      <w:spacing w:before="0" w:after="0"/>
      <w:jc w:val="left"/>
    </w:pPr>
    <w:rPr>
      <w:rFonts w:ascii="Times New Roman" w:hAnsi="Times New Roman" w:eastAsia="Times New Roman" w:cs="Times New Roman"/>
      <w:bCs/>
      <w:color w:val="auto"/>
      <w:kern w:val="0"/>
      <w:sz w:val="20"/>
      <w:szCs w:val="20"/>
      <w:lang w:val="ru-RU" w:eastAsia="zh-CN" w:bidi="ar-SA"/>
    </w:rPr>
  </w:style>
  <w:style w:type="paragraph" w:styleId="Style75" w:customStyle="1">
    <w:name w:val="Знак Знак Знак"/>
    <w:basedOn w:val="Normal"/>
    <w:qFormat/>
    <w:pPr>
      <w:spacing w:before="280" w:after="280"/>
    </w:pPr>
    <w:rPr>
      <w:rFonts w:ascii="Tahoma" w:hAnsi="Tahoma" w:cs="Tahoma"/>
      <w:lang w:val="en-US"/>
    </w:rPr>
  </w:style>
  <w:style w:type="paragraph" w:styleId="144" w:customStyle="1">
    <w:name w:val="Список 1)"/>
    <w:basedOn w:val="Normal"/>
    <w:qFormat/>
    <w:pPr>
      <w:widowControl w:val="false"/>
      <w:spacing w:lineRule="auto" w:line="276" w:before="120" w:after="60"/>
      <w:ind w:hanging="360" w:left="927"/>
      <w:jc w:val="both"/>
    </w:pPr>
    <w:rPr>
      <w:rFonts w:ascii="Calibri" w:hAnsi="Calibri" w:cs="Calibri"/>
      <w:sz w:val="26"/>
    </w:rPr>
  </w:style>
  <w:style w:type="paragraph" w:styleId="Style76" w:customStyle="1">
    <w:name w:val="ЕСКД_название устройства"/>
    <w:basedOn w:val="Normal"/>
    <w:qFormat/>
    <w:pPr>
      <w:widowControl w:val="false"/>
      <w:spacing w:lineRule="auto" w:line="360" w:before="120" w:after="200"/>
      <w:ind w:firstLine="720"/>
      <w:jc w:val="center"/>
    </w:pPr>
    <w:rPr>
      <w:rFonts w:ascii="Calibri" w:hAnsi="Calibri" w:cs="Calibri"/>
      <w:b/>
      <w:bCs/>
      <w:sz w:val="36"/>
      <w:szCs w:val="36"/>
    </w:rPr>
  </w:style>
  <w:style w:type="paragraph" w:styleId="42" w:customStyle="1">
    <w:name w:val="4"/>
    <w:basedOn w:val="Normal"/>
    <w:qFormat/>
    <w:pPr>
      <w:spacing w:lineRule="auto" w:line="276" w:before="280" w:after="280"/>
    </w:pPr>
    <w:rPr>
      <w:rFonts w:ascii="Calibri" w:hAnsi="Calibri" w:cs="Calibri"/>
      <w:sz w:val="22"/>
      <w:szCs w:val="22"/>
    </w:rPr>
  </w:style>
  <w:style w:type="paragraph" w:styleId="Style77" w:customStyle="1">
    <w:name w:val="Список а)"/>
    <w:basedOn w:val="List"/>
    <w:qFormat/>
    <w:pPr>
      <w:widowControl w:val="false"/>
      <w:spacing w:lineRule="auto" w:line="276" w:before="120" w:after="60"/>
      <w:ind w:hanging="0" w:left="567"/>
    </w:pPr>
    <w:rPr>
      <w:rFonts w:ascii="Calibri" w:hAnsi="Calibri" w:cs="Calibri"/>
      <w:sz w:val="26"/>
    </w:rPr>
  </w:style>
  <w:style w:type="paragraph" w:styleId="Style78" w:customStyle="1">
    <w:name w:val="Абзац_выдел"/>
    <w:basedOn w:val="Style50"/>
    <w:next w:val="Style50"/>
    <w:qFormat/>
    <w:pPr/>
    <w:rPr>
      <w:b/>
    </w:rPr>
  </w:style>
  <w:style w:type="paragraph" w:styleId="Style79" w:customStyle="1">
    <w:name w:val="Содержимое таблицы"/>
    <w:basedOn w:val="Normal"/>
    <w:qFormat/>
    <w:pPr>
      <w:widowControl w:val="false"/>
      <w:suppressLineNumbers/>
      <w:spacing w:lineRule="auto" w:line="276" w:before="0" w:after="200"/>
    </w:pPr>
    <w:rPr>
      <w:rFonts w:ascii="Calibri" w:hAnsi="Calibri" w:eastAsia="Andale Sans UI" w:cs="Calibri"/>
      <w:kern w:val="2"/>
      <w:sz w:val="22"/>
      <w:szCs w:val="22"/>
    </w:rPr>
  </w:style>
  <w:style w:type="paragraph" w:styleId="Style80" w:customStyle="1">
    <w:name w:val="Абзац_Желтая_заливка"/>
    <w:basedOn w:val="Style50"/>
    <w:qFormat/>
    <w:pPr/>
    <w:rPr/>
  </w:style>
  <w:style w:type="paragraph" w:styleId="145" w:customStyle="1">
    <w:name w:val="Таблица 1"/>
    <w:basedOn w:val="Normal"/>
    <w:qFormat/>
    <w:pPr>
      <w:widowControl w:val="false"/>
      <w:ind w:hanging="0" w:left="-57" w:right="-57"/>
      <w:jc w:val="center"/>
      <w:textAlignment w:val="baseline"/>
    </w:pPr>
    <w:rPr>
      <w:kern w:val="2"/>
      <w:sz w:val="28"/>
      <w:lang w:bidi="hi-IN"/>
    </w:rPr>
  </w:style>
  <w:style w:type="paragraph" w:styleId="Standard" w:customStyle="1">
    <w:name w:val="Standard"/>
    <w:qFormat/>
    <w:pPr>
      <w:widowControl w:val="false"/>
      <w:suppressAutoHyphens w:val="true"/>
      <w:bidi w:val="0"/>
      <w:spacing w:before="0" w:after="0"/>
      <w:jc w:val="left"/>
      <w:textAlignment w:val="baseline"/>
    </w:pPr>
    <w:rPr>
      <w:rFonts w:ascii="Times New Roman" w:hAnsi="Times New Roman" w:eastAsia="Times New Roman" w:cs="Times New Roman"/>
      <w:color w:val="auto"/>
      <w:kern w:val="0"/>
      <w:sz w:val="20"/>
      <w:szCs w:val="20"/>
      <w:lang w:val="ru-RU" w:eastAsia="zh-CN" w:bidi="ar-SA"/>
    </w:rPr>
  </w:style>
  <w:style w:type="paragraph" w:styleId="Default" w:customStyle="1">
    <w:name w:val="default"/>
    <w:basedOn w:val="Normal"/>
    <w:qFormat/>
    <w:pPr>
      <w:spacing w:lineRule="auto" w:line="276" w:before="280" w:after="280"/>
    </w:pPr>
    <w:rPr>
      <w:rFonts w:ascii="Calibri" w:hAnsi="Calibri" w:cs="Calibri"/>
      <w:sz w:val="22"/>
      <w:szCs w:val="22"/>
    </w:rPr>
  </w:style>
  <w:style w:type="paragraph" w:styleId="Style81" w:customStyle="1">
    <w:name w:val="Заголовок таблицы"/>
    <w:basedOn w:val="Style79"/>
    <w:qFormat/>
    <w:pPr>
      <w:jc w:val="center"/>
    </w:pPr>
    <w:rPr>
      <w:b/>
      <w:bCs/>
    </w:rPr>
  </w:style>
  <w:style w:type="paragraph" w:styleId="Style82" w:customStyle="1">
    <w:name w:val="Блочная цитата"/>
    <w:basedOn w:val="Normal"/>
    <w:qFormat/>
    <w:pPr>
      <w:spacing w:before="0" w:after="283"/>
      <w:ind w:hanging="0" w:left="567" w:right="567"/>
    </w:pPr>
    <w:rPr/>
  </w:style>
  <w:style w:type="paragraph" w:styleId="BalloonText">
    <w:name w:val="Balloon Text"/>
    <w:basedOn w:val="Normal"/>
    <w:qFormat/>
    <w:pPr/>
    <w:rPr>
      <w:rFonts w:ascii="Segoe UI" w:hAnsi="Segoe UI" w:cs="Segoe UI"/>
      <w:sz w:val="18"/>
      <w:szCs w:val="18"/>
    </w:rPr>
  </w:style>
  <w:style w:type="paragraph" w:styleId="2101" w:customStyle="1">
    <w:name w:val="Основной текст 210"/>
    <w:basedOn w:val="Normal"/>
    <w:qFormat/>
    <w:pPr>
      <w:suppressAutoHyphens w:val="false"/>
      <w:ind w:firstLine="720"/>
      <w:jc w:val="both"/>
    </w:pPr>
    <w:rPr>
      <w:sz w:val="24"/>
      <w:lang w:eastAsia="ru-RU"/>
    </w:rPr>
  </w:style>
  <w:style w:type="paragraph" w:styleId="Default1" w:customStyle="1">
    <w:name w:val="Default1"/>
    <w:qFormat/>
    <w:pPr>
      <w:widowControl/>
      <w:suppressAutoHyphens w:val="true"/>
      <w:bidi w:val="0"/>
      <w:spacing w:before="0" w:after="0"/>
      <w:jc w:val="left"/>
    </w:pPr>
    <w:rPr>
      <w:rFonts w:ascii="Times New Roman" w:hAnsi="Times New Roman" w:eastAsia="Calibri" w:cs="Times New Roman" w:eastAsiaTheme="minorHAnsi"/>
      <w:color w:val="000000"/>
      <w:kern w:val="0"/>
      <w:sz w:val="24"/>
      <w:szCs w:val="24"/>
      <w:lang w:val="ru-RU" w:eastAsia="en-US" w:bidi="ar-SA"/>
    </w:rPr>
  </w:style>
  <w:style w:type="numbering" w:styleId="NoList" w:default="1">
    <w:name w:val="No List"/>
    <w:uiPriority w:val="99"/>
    <w:semiHidden/>
    <w:unhideWhenUsed/>
    <w:qFormat/>
  </w:style>
  <w:style w:type="numbering" w:styleId="Style83" w:customStyle="1">
    <w:name w:val="Без списка"/>
    <w:uiPriority w:val="99"/>
    <w:semiHidden/>
    <w:unhideWhenUsed/>
    <w:qFormat/>
  </w:style>
  <w:style w:type="table" w:default="1" w:styleId="a2">
    <w:name w:val="Normal Table"/>
    <w:uiPriority w:val="99"/>
    <w:semiHidden/>
    <w:unhideWhenUsed/>
    <w:tblPr>
      <w:tblCellMar>
        <w:top w:w="0" w:type="dxa"/>
        <w:left w:w="108" w:type="dxa"/>
        <w:bottom w:w="0" w:type="dxa"/>
        <w:right w:w="108" w:type="dxa"/>
      </w:tblCellMar>
    </w:tblPr>
  </w:style>
  <w:style w:type="table" w:styleId="affffff4">
    <w:name w:val="Table Grid"/>
    <w:basedOn w:val="a2"/>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footer" Target="footer4.xml"/><Relationship Id="rId11" Type="http://schemas.openxmlformats.org/officeDocument/2006/relationships/footer" Target="footer5.xml"/><Relationship Id="rId12" Type="http://schemas.openxmlformats.org/officeDocument/2006/relationships/hyperlink" Target="consultantplus://offline/ref=64527697D5FD3669102AB402B32D03E5E1306F03893970CC62FA45E24752B6CEFA25182C505F8D792DFA5F847DFD90F50A8BF63E44DE98ECCDT6M" TargetMode="External"/><Relationship Id="rId13" Type="http://schemas.openxmlformats.org/officeDocument/2006/relationships/header" Target="header6.xml"/><Relationship Id="rId14" Type="http://schemas.openxmlformats.org/officeDocument/2006/relationships/header" Target="header7.xml"/><Relationship Id="rId15" Type="http://schemas.openxmlformats.org/officeDocument/2006/relationships/footer" Target="footer6.xml"/><Relationship Id="rId16" Type="http://schemas.openxmlformats.org/officeDocument/2006/relationships/footer" Target="footer7.xml"/><Relationship Id="rId17" Type="http://schemas.openxmlformats.org/officeDocument/2006/relationships/header" Target="header8.xml"/><Relationship Id="rId18" Type="http://schemas.openxmlformats.org/officeDocument/2006/relationships/header" Target="header9.xml"/><Relationship Id="rId19" Type="http://schemas.openxmlformats.org/officeDocument/2006/relationships/footer" Target="footer8.xml"/><Relationship Id="rId20" Type="http://schemas.openxmlformats.org/officeDocument/2006/relationships/footer" Target="footer9.xml"/><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Relationship Id="rId2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DE968-2CA5-404C-B149-39D4FE2E0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21284</TotalTime>
  <Application>LibreOffice/7.6.4.1$Windows_X86_64 LibreOffice_project/e19e193f88cd6c0525a17fb7a176ed8e6a3e2aa1</Application>
  <AppVersion>15.0000</AppVersion>
  <Pages>111</Pages>
  <Words>25478</Words>
  <Characters>176014</Characters>
  <CharactersWithSpaces>196951</CharactersWithSpaces>
  <Paragraphs>5100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2022-07-19T14:22:00Z</dcterms:created>
  <dc:creator/>
  <dc:description/>
  <dc:language>ru-RU</dc:language>
  <cp:lastModifiedBy/>
  <cp:lastPrinted>2023-12-18T06:46:00Z</cp:lastPrinted>
  <dcterms:modified xsi:type="dcterms:W3CDTF">2026-06-16T11:08:25Z</dcterms:modified>
  <cp:revision>1078</cp:revision>
  <dc:subject/>
  <dc:title>МУНИЦИПАЛЬНОЕ ОБРАЗОВАНИЕ</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KSOProductBuildVer">
    <vt:lpwstr>1049-10.1.0.5490</vt:lpwstr>
  </property>
  <property fmtid="{D5CDD505-2E9C-101B-9397-08002B2CF9AE}" pid="4" name="LinksUpToDate">
    <vt:bool>0</vt:bool>
  </property>
  <property fmtid="{D5CDD505-2E9C-101B-9397-08002B2CF9AE}" pid="5" name="ScaleCrop">
    <vt:bool>0</vt:bool>
  </property>
  <property fmtid="{D5CDD505-2E9C-101B-9397-08002B2CF9AE}" pid="6" name="ShareDoc">
    <vt:bool>0</vt:bool>
  </property>
</Properties>
</file>