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2BE1" w:rsidRPr="003D2BE1" w:rsidRDefault="003D2BE1">
      <w:pPr>
        <w:pStyle w:val="ConsPlusTitle"/>
        <w:jc w:val="center"/>
        <w:outlineLvl w:val="0"/>
        <w:rPr>
          <w:rFonts w:ascii="Times New Roman" w:hAnsi="Times New Roman" w:cs="Times New Roman"/>
          <w:sz w:val="24"/>
          <w:szCs w:val="24"/>
        </w:rPr>
      </w:pPr>
      <w:r w:rsidRPr="003D2BE1">
        <w:rPr>
          <w:rFonts w:ascii="Times New Roman" w:hAnsi="Times New Roman" w:cs="Times New Roman"/>
          <w:sz w:val="24"/>
          <w:szCs w:val="24"/>
        </w:rPr>
        <w:t>РОССИЙСКАЯ ФЕДЕРАЦИЯ</w:t>
      </w:r>
    </w:p>
    <w:p w:rsidR="003D2BE1" w:rsidRPr="003D2BE1" w:rsidRDefault="003D2BE1">
      <w:pPr>
        <w:pStyle w:val="ConsPlusTitle"/>
        <w:jc w:val="center"/>
        <w:rPr>
          <w:rFonts w:ascii="Times New Roman" w:hAnsi="Times New Roman" w:cs="Times New Roman"/>
          <w:sz w:val="24"/>
          <w:szCs w:val="24"/>
        </w:rPr>
      </w:pPr>
      <w:r w:rsidRPr="003D2BE1">
        <w:rPr>
          <w:rFonts w:ascii="Times New Roman" w:hAnsi="Times New Roman" w:cs="Times New Roman"/>
          <w:sz w:val="24"/>
          <w:szCs w:val="24"/>
        </w:rPr>
        <w:t>ДУМА ГОРОДСКОГО ОКРУГА ГОРОДА КАЛУГИ</w:t>
      </w:r>
    </w:p>
    <w:p w:rsidR="003D2BE1" w:rsidRPr="003D2BE1" w:rsidRDefault="003D2BE1">
      <w:pPr>
        <w:pStyle w:val="ConsPlusTitle"/>
        <w:ind w:firstLine="540"/>
        <w:jc w:val="both"/>
        <w:rPr>
          <w:rFonts w:ascii="Times New Roman" w:hAnsi="Times New Roman" w:cs="Times New Roman"/>
          <w:sz w:val="24"/>
          <w:szCs w:val="24"/>
        </w:rPr>
      </w:pPr>
    </w:p>
    <w:p w:rsidR="003D2BE1" w:rsidRPr="003D2BE1" w:rsidRDefault="003D2BE1">
      <w:pPr>
        <w:pStyle w:val="ConsPlusTitle"/>
        <w:jc w:val="center"/>
        <w:rPr>
          <w:rFonts w:ascii="Times New Roman" w:hAnsi="Times New Roman" w:cs="Times New Roman"/>
          <w:sz w:val="24"/>
          <w:szCs w:val="24"/>
        </w:rPr>
      </w:pPr>
      <w:r w:rsidRPr="003D2BE1">
        <w:rPr>
          <w:rFonts w:ascii="Times New Roman" w:hAnsi="Times New Roman" w:cs="Times New Roman"/>
          <w:sz w:val="24"/>
          <w:szCs w:val="24"/>
        </w:rPr>
        <w:t>РЕШЕНИЕ</w:t>
      </w:r>
    </w:p>
    <w:p w:rsidR="003D2BE1" w:rsidRPr="003D2BE1" w:rsidRDefault="003D2BE1">
      <w:pPr>
        <w:pStyle w:val="ConsPlusTitle"/>
        <w:jc w:val="center"/>
        <w:rPr>
          <w:rFonts w:ascii="Times New Roman" w:hAnsi="Times New Roman" w:cs="Times New Roman"/>
          <w:sz w:val="24"/>
          <w:szCs w:val="24"/>
        </w:rPr>
      </w:pPr>
      <w:r w:rsidRPr="003D2BE1">
        <w:rPr>
          <w:rFonts w:ascii="Times New Roman" w:hAnsi="Times New Roman" w:cs="Times New Roman"/>
          <w:sz w:val="24"/>
          <w:szCs w:val="24"/>
        </w:rPr>
        <w:t>от 27 мая 2026 г. N 88</w:t>
      </w:r>
    </w:p>
    <w:p w:rsidR="003D2BE1" w:rsidRPr="003D2BE1" w:rsidRDefault="003D2BE1">
      <w:pPr>
        <w:pStyle w:val="ConsPlusTitle"/>
        <w:ind w:firstLine="540"/>
        <w:jc w:val="both"/>
        <w:rPr>
          <w:rFonts w:ascii="Times New Roman" w:hAnsi="Times New Roman" w:cs="Times New Roman"/>
          <w:sz w:val="24"/>
          <w:szCs w:val="24"/>
        </w:rPr>
      </w:pPr>
    </w:p>
    <w:p w:rsidR="003D2BE1" w:rsidRPr="003D2BE1" w:rsidRDefault="003D2BE1">
      <w:pPr>
        <w:pStyle w:val="ConsPlusTitle"/>
        <w:jc w:val="center"/>
        <w:rPr>
          <w:rFonts w:ascii="Times New Roman" w:hAnsi="Times New Roman" w:cs="Times New Roman"/>
          <w:sz w:val="24"/>
          <w:szCs w:val="24"/>
        </w:rPr>
      </w:pPr>
      <w:r w:rsidRPr="003D2BE1">
        <w:rPr>
          <w:rFonts w:ascii="Times New Roman" w:hAnsi="Times New Roman" w:cs="Times New Roman"/>
          <w:sz w:val="24"/>
          <w:szCs w:val="24"/>
        </w:rPr>
        <w:t>ОБ УТВЕРЖДЕНИИ ПОЛОЖЕНИЯ О ПОРЯДКЕ РАЗМЕЩЕНИЯ НЕСТАЦИОНАРНЫХ</w:t>
      </w:r>
    </w:p>
    <w:p w:rsidR="003D2BE1" w:rsidRPr="003D2BE1" w:rsidRDefault="003D2BE1">
      <w:pPr>
        <w:pStyle w:val="ConsPlusTitle"/>
        <w:jc w:val="center"/>
        <w:rPr>
          <w:rFonts w:ascii="Times New Roman" w:hAnsi="Times New Roman" w:cs="Times New Roman"/>
          <w:sz w:val="24"/>
          <w:szCs w:val="24"/>
        </w:rPr>
      </w:pPr>
      <w:r w:rsidRPr="003D2BE1">
        <w:rPr>
          <w:rFonts w:ascii="Times New Roman" w:hAnsi="Times New Roman" w:cs="Times New Roman"/>
          <w:sz w:val="24"/>
          <w:szCs w:val="24"/>
        </w:rPr>
        <w:t>ТОРГОВЫХ ОБЪЕКТОВ НА ТЕРРИТОРИИ ГОРОДСКОГО ОКРУГА ГОРОДА</w:t>
      </w:r>
    </w:p>
    <w:p w:rsidR="003D2BE1" w:rsidRPr="003D2BE1" w:rsidRDefault="003D2BE1">
      <w:pPr>
        <w:pStyle w:val="ConsPlusTitle"/>
        <w:jc w:val="center"/>
        <w:rPr>
          <w:rFonts w:ascii="Times New Roman" w:hAnsi="Times New Roman" w:cs="Times New Roman"/>
          <w:sz w:val="24"/>
          <w:szCs w:val="24"/>
        </w:rPr>
      </w:pPr>
      <w:r w:rsidRPr="003D2BE1">
        <w:rPr>
          <w:rFonts w:ascii="Times New Roman" w:hAnsi="Times New Roman" w:cs="Times New Roman"/>
          <w:sz w:val="24"/>
          <w:szCs w:val="24"/>
        </w:rPr>
        <w:t>КАЛУГИ КАЛУЖСКОЙ ОБЛАСТИ</w:t>
      </w:r>
    </w:p>
    <w:p w:rsidR="003D2BE1" w:rsidRPr="003D2BE1" w:rsidRDefault="003D2BE1" w:rsidP="003D2BE1">
      <w:pPr>
        <w:pStyle w:val="ConsPlusNormal"/>
        <w:spacing w:after="1"/>
        <w:jc w:val="center"/>
        <w:rPr>
          <w:rFonts w:ascii="Times New Roman" w:hAnsi="Times New Roman" w:cs="Times New Roman"/>
          <w:sz w:val="24"/>
          <w:szCs w:val="24"/>
        </w:rPr>
      </w:pPr>
    </w:p>
    <w:p w:rsidR="003D2BE1" w:rsidRPr="003D2BE1" w:rsidRDefault="003D2BE1" w:rsidP="003D2BE1">
      <w:pPr>
        <w:pStyle w:val="ConsPlusNormal"/>
        <w:jc w:val="center"/>
        <w:rPr>
          <w:rFonts w:ascii="Times New Roman" w:hAnsi="Times New Roman" w:cs="Times New Roman"/>
          <w:sz w:val="24"/>
          <w:szCs w:val="24"/>
        </w:rPr>
      </w:pPr>
      <w:r w:rsidRPr="003D2BE1">
        <w:rPr>
          <w:rFonts w:ascii="Times New Roman" w:hAnsi="Times New Roman" w:cs="Times New Roman"/>
          <w:sz w:val="24"/>
          <w:szCs w:val="24"/>
        </w:rPr>
        <w:t>Список изменяющих документов</w:t>
      </w:r>
    </w:p>
    <w:p w:rsidR="003D2BE1" w:rsidRPr="003D2BE1" w:rsidRDefault="003D2BE1" w:rsidP="003D2BE1">
      <w:pPr>
        <w:pStyle w:val="ConsPlusNormal"/>
        <w:jc w:val="center"/>
        <w:rPr>
          <w:rFonts w:ascii="Times New Roman" w:hAnsi="Times New Roman" w:cs="Times New Roman"/>
          <w:sz w:val="24"/>
          <w:szCs w:val="24"/>
        </w:rPr>
      </w:pPr>
      <w:r w:rsidRPr="003D2BE1">
        <w:rPr>
          <w:rFonts w:ascii="Times New Roman" w:hAnsi="Times New Roman" w:cs="Times New Roman"/>
          <w:sz w:val="24"/>
          <w:szCs w:val="24"/>
        </w:rPr>
        <w:t>(в ред. Решения Думы городского округа города Калуги от 03.07.2026 N 133)</w:t>
      </w:r>
    </w:p>
    <w:p w:rsidR="003D2BE1" w:rsidRPr="003D2BE1" w:rsidRDefault="003D2BE1" w:rsidP="003D2BE1">
      <w:pPr>
        <w:pStyle w:val="ConsPlusNormal"/>
        <w:jc w:val="both"/>
        <w:rPr>
          <w:rFonts w:ascii="Times New Roman" w:hAnsi="Times New Roman" w:cs="Times New Roman"/>
          <w:sz w:val="24"/>
          <w:szCs w:val="24"/>
        </w:rPr>
      </w:pPr>
    </w:p>
    <w:p w:rsidR="003D2BE1" w:rsidRPr="003D2BE1" w:rsidRDefault="003D2BE1">
      <w:pPr>
        <w:pStyle w:val="ConsPlusNormal"/>
        <w:ind w:firstLine="540"/>
        <w:jc w:val="both"/>
        <w:rPr>
          <w:rFonts w:ascii="Times New Roman" w:hAnsi="Times New Roman" w:cs="Times New Roman"/>
          <w:sz w:val="24"/>
          <w:szCs w:val="24"/>
        </w:rPr>
      </w:pPr>
      <w:r w:rsidRPr="003D2BE1">
        <w:rPr>
          <w:rFonts w:ascii="Times New Roman" w:hAnsi="Times New Roman" w:cs="Times New Roman"/>
          <w:sz w:val="24"/>
          <w:szCs w:val="24"/>
        </w:rPr>
        <w:t>В соответствии с Гражданским кодексом Российской Федерации, Земельным кодексом Российской Федерации, статьей 16 Федерального закона от 06.10.2003 N 131-ФЗ "Об общих принципах организации местного самоуправления в Российской Федерации", Федеральным законом от 28.12.2009 N 381-ФЗ "Об основах государственного регулирования торговой деятельности в Российской Федерации", приказом министерства конкурентной политики Калужской области от 09.11.2010 N 543 "О порядке разработки и утверждения органом местного самоуправления схемы размещения нестационарных торговых объектов на территории муниципальных образований Калужской области", статьей 22 Устава городского округа города Калуги Калужской области Дума городского округа города Калуги</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РЕШИЛА:</w:t>
      </w:r>
    </w:p>
    <w:p w:rsidR="003D2BE1" w:rsidRPr="003D2BE1" w:rsidRDefault="003D2BE1">
      <w:pPr>
        <w:pStyle w:val="ConsPlusNormal"/>
        <w:jc w:val="both"/>
        <w:rPr>
          <w:rFonts w:ascii="Times New Roman" w:hAnsi="Times New Roman" w:cs="Times New Roman"/>
          <w:sz w:val="24"/>
          <w:szCs w:val="24"/>
        </w:rPr>
      </w:pPr>
    </w:p>
    <w:p w:rsidR="003D2BE1" w:rsidRPr="003D2BE1" w:rsidRDefault="003D2BE1">
      <w:pPr>
        <w:pStyle w:val="ConsPlusNormal"/>
        <w:ind w:firstLine="540"/>
        <w:jc w:val="both"/>
        <w:rPr>
          <w:rFonts w:ascii="Times New Roman" w:hAnsi="Times New Roman" w:cs="Times New Roman"/>
          <w:sz w:val="24"/>
          <w:szCs w:val="24"/>
        </w:rPr>
      </w:pPr>
      <w:r w:rsidRPr="003D2BE1">
        <w:rPr>
          <w:rFonts w:ascii="Times New Roman" w:hAnsi="Times New Roman" w:cs="Times New Roman"/>
          <w:sz w:val="24"/>
          <w:szCs w:val="24"/>
        </w:rPr>
        <w:t>1. Утвердить Положение о порядке размещения нестационарных торговых объектов на территории городского округа города Калуги Калужской области (приложение).</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2. Настоящее решение вступает в силу после его официального обнародования.</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3. Требования подпунктов 2.4.3, 3.3.6 и 3.4.5 Положения о порядке размещения нестационарных торговых объектов на территории городского округа города Калуги Калужской области, утвержденного настоящим решением, в части индексации размера платежей не распространяются на договоры размещения нестационарных торговых объектов, заключенные до даты вступления в силу настоящего решения.</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4. Контроль за исполнением настоящего решения возложить на комитет Думы городского округа города Калуги по бюджетно-финансовой, налоговой и экономической политике (Сотсков К.В.).</w:t>
      </w:r>
    </w:p>
    <w:p w:rsidR="003D2BE1" w:rsidRPr="003D2BE1" w:rsidRDefault="003D2BE1">
      <w:pPr>
        <w:pStyle w:val="ConsPlusNormal"/>
        <w:jc w:val="both"/>
        <w:rPr>
          <w:rFonts w:ascii="Times New Roman" w:hAnsi="Times New Roman" w:cs="Times New Roman"/>
          <w:sz w:val="24"/>
          <w:szCs w:val="24"/>
        </w:rPr>
      </w:pPr>
    </w:p>
    <w:p w:rsidR="003D2BE1" w:rsidRPr="003D2BE1" w:rsidRDefault="003D2BE1">
      <w:pPr>
        <w:pStyle w:val="ConsPlusNormal"/>
        <w:jc w:val="right"/>
        <w:rPr>
          <w:rFonts w:ascii="Times New Roman" w:hAnsi="Times New Roman" w:cs="Times New Roman"/>
          <w:sz w:val="24"/>
          <w:szCs w:val="24"/>
        </w:rPr>
      </w:pPr>
      <w:r w:rsidRPr="003D2BE1">
        <w:rPr>
          <w:rFonts w:ascii="Times New Roman" w:hAnsi="Times New Roman" w:cs="Times New Roman"/>
          <w:sz w:val="24"/>
          <w:szCs w:val="24"/>
        </w:rPr>
        <w:t>Глава городского округа города Калуги</w:t>
      </w:r>
    </w:p>
    <w:p w:rsidR="003D2BE1" w:rsidRPr="003D2BE1" w:rsidRDefault="003D2BE1">
      <w:pPr>
        <w:pStyle w:val="ConsPlusNormal"/>
        <w:jc w:val="right"/>
        <w:rPr>
          <w:rFonts w:ascii="Times New Roman" w:hAnsi="Times New Roman" w:cs="Times New Roman"/>
          <w:sz w:val="24"/>
          <w:szCs w:val="24"/>
        </w:rPr>
      </w:pPr>
      <w:r w:rsidRPr="003D2BE1">
        <w:rPr>
          <w:rFonts w:ascii="Times New Roman" w:hAnsi="Times New Roman" w:cs="Times New Roman"/>
          <w:sz w:val="24"/>
          <w:szCs w:val="24"/>
        </w:rPr>
        <w:t>Калужской области</w:t>
      </w:r>
    </w:p>
    <w:p w:rsidR="003D2BE1" w:rsidRPr="003D2BE1" w:rsidRDefault="003D2BE1">
      <w:pPr>
        <w:pStyle w:val="ConsPlusNormal"/>
        <w:jc w:val="right"/>
        <w:rPr>
          <w:rFonts w:ascii="Times New Roman" w:hAnsi="Times New Roman" w:cs="Times New Roman"/>
          <w:sz w:val="24"/>
          <w:szCs w:val="24"/>
        </w:rPr>
      </w:pPr>
      <w:proofErr w:type="spellStart"/>
      <w:r w:rsidRPr="003D2BE1">
        <w:rPr>
          <w:rFonts w:ascii="Times New Roman" w:hAnsi="Times New Roman" w:cs="Times New Roman"/>
          <w:sz w:val="24"/>
          <w:szCs w:val="24"/>
        </w:rPr>
        <w:t>Д.А.Денисов</w:t>
      </w:r>
      <w:proofErr w:type="spellEnd"/>
    </w:p>
    <w:p w:rsidR="003D2BE1" w:rsidRPr="003D2BE1" w:rsidRDefault="003D2BE1">
      <w:pPr>
        <w:pStyle w:val="ConsPlusNormal"/>
        <w:jc w:val="both"/>
        <w:rPr>
          <w:rFonts w:ascii="Times New Roman" w:hAnsi="Times New Roman" w:cs="Times New Roman"/>
          <w:sz w:val="24"/>
          <w:szCs w:val="24"/>
        </w:rPr>
      </w:pPr>
    </w:p>
    <w:p w:rsidR="003D2BE1" w:rsidRPr="003D2BE1" w:rsidRDefault="003D2BE1">
      <w:pPr>
        <w:pStyle w:val="ConsPlusNormal"/>
        <w:jc w:val="both"/>
        <w:rPr>
          <w:rFonts w:ascii="Times New Roman" w:hAnsi="Times New Roman" w:cs="Times New Roman"/>
          <w:sz w:val="24"/>
          <w:szCs w:val="24"/>
        </w:rPr>
      </w:pPr>
    </w:p>
    <w:p w:rsidR="003D2BE1" w:rsidRPr="003D2BE1" w:rsidRDefault="003D2BE1">
      <w:pPr>
        <w:pStyle w:val="ConsPlusNormal"/>
        <w:jc w:val="both"/>
        <w:rPr>
          <w:rFonts w:ascii="Times New Roman" w:hAnsi="Times New Roman" w:cs="Times New Roman"/>
          <w:sz w:val="24"/>
          <w:szCs w:val="24"/>
        </w:rPr>
      </w:pPr>
    </w:p>
    <w:p w:rsidR="003D2BE1" w:rsidRPr="003D2BE1" w:rsidRDefault="003D2BE1">
      <w:pPr>
        <w:pStyle w:val="ConsPlusNormal"/>
        <w:jc w:val="both"/>
        <w:rPr>
          <w:rFonts w:ascii="Times New Roman" w:hAnsi="Times New Roman" w:cs="Times New Roman"/>
          <w:sz w:val="24"/>
          <w:szCs w:val="24"/>
        </w:rPr>
      </w:pPr>
    </w:p>
    <w:p w:rsidR="003D2BE1" w:rsidRPr="003D2BE1" w:rsidRDefault="003D2BE1">
      <w:pPr>
        <w:pStyle w:val="ConsPlusNormal"/>
        <w:jc w:val="both"/>
        <w:rPr>
          <w:rFonts w:ascii="Times New Roman" w:hAnsi="Times New Roman" w:cs="Times New Roman"/>
          <w:sz w:val="24"/>
          <w:szCs w:val="24"/>
        </w:rPr>
      </w:pPr>
    </w:p>
    <w:p w:rsidR="003D2BE1" w:rsidRPr="003D2BE1" w:rsidRDefault="003D2BE1">
      <w:pPr>
        <w:pStyle w:val="ConsPlusNormal"/>
        <w:jc w:val="both"/>
        <w:rPr>
          <w:rFonts w:ascii="Times New Roman" w:hAnsi="Times New Roman" w:cs="Times New Roman"/>
          <w:sz w:val="24"/>
          <w:szCs w:val="24"/>
        </w:rPr>
      </w:pPr>
    </w:p>
    <w:p w:rsidR="003D2BE1" w:rsidRPr="003D2BE1" w:rsidRDefault="003D2BE1">
      <w:pPr>
        <w:pStyle w:val="ConsPlusNormal"/>
        <w:jc w:val="both"/>
        <w:rPr>
          <w:rFonts w:ascii="Times New Roman" w:hAnsi="Times New Roman" w:cs="Times New Roman"/>
          <w:sz w:val="24"/>
          <w:szCs w:val="24"/>
        </w:rPr>
      </w:pPr>
    </w:p>
    <w:p w:rsidR="003D2BE1" w:rsidRPr="003D2BE1" w:rsidRDefault="003D2BE1">
      <w:pPr>
        <w:pStyle w:val="ConsPlusNormal"/>
        <w:jc w:val="both"/>
        <w:rPr>
          <w:rFonts w:ascii="Times New Roman" w:hAnsi="Times New Roman" w:cs="Times New Roman"/>
          <w:sz w:val="24"/>
          <w:szCs w:val="24"/>
        </w:rPr>
      </w:pPr>
      <w:bookmarkStart w:id="0" w:name="_GoBack"/>
      <w:bookmarkEnd w:id="0"/>
    </w:p>
    <w:p w:rsidR="003D2BE1" w:rsidRPr="003D2BE1" w:rsidRDefault="003D2BE1">
      <w:pPr>
        <w:pStyle w:val="ConsPlusNormal"/>
        <w:jc w:val="right"/>
        <w:outlineLvl w:val="0"/>
        <w:rPr>
          <w:rFonts w:ascii="Times New Roman" w:hAnsi="Times New Roman" w:cs="Times New Roman"/>
          <w:sz w:val="24"/>
          <w:szCs w:val="24"/>
        </w:rPr>
      </w:pPr>
      <w:r w:rsidRPr="003D2BE1">
        <w:rPr>
          <w:rFonts w:ascii="Times New Roman" w:hAnsi="Times New Roman" w:cs="Times New Roman"/>
          <w:sz w:val="24"/>
          <w:szCs w:val="24"/>
        </w:rPr>
        <w:lastRenderedPageBreak/>
        <w:t>Приложение</w:t>
      </w:r>
    </w:p>
    <w:p w:rsidR="003D2BE1" w:rsidRPr="003D2BE1" w:rsidRDefault="003D2BE1">
      <w:pPr>
        <w:pStyle w:val="ConsPlusNormal"/>
        <w:jc w:val="right"/>
        <w:rPr>
          <w:rFonts w:ascii="Times New Roman" w:hAnsi="Times New Roman" w:cs="Times New Roman"/>
          <w:sz w:val="24"/>
          <w:szCs w:val="24"/>
        </w:rPr>
      </w:pPr>
      <w:r w:rsidRPr="003D2BE1">
        <w:rPr>
          <w:rFonts w:ascii="Times New Roman" w:hAnsi="Times New Roman" w:cs="Times New Roman"/>
          <w:sz w:val="24"/>
          <w:szCs w:val="24"/>
        </w:rPr>
        <w:t>к решению</w:t>
      </w:r>
    </w:p>
    <w:p w:rsidR="003D2BE1" w:rsidRPr="003D2BE1" w:rsidRDefault="003D2BE1">
      <w:pPr>
        <w:pStyle w:val="ConsPlusNormal"/>
        <w:jc w:val="right"/>
        <w:rPr>
          <w:rFonts w:ascii="Times New Roman" w:hAnsi="Times New Roman" w:cs="Times New Roman"/>
          <w:sz w:val="24"/>
          <w:szCs w:val="24"/>
        </w:rPr>
      </w:pPr>
      <w:r w:rsidRPr="003D2BE1">
        <w:rPr>
          <w:rFonts w:ascii="Times New Roman" w:hAnsi="Times New Roman" w:cs="Times New Roman"/>
          <w:sz w:val="24"/>
          <w:szCs w:val="24"/>
        </w:rPr>
        <w:t>Думы городского округа</w:t>
      </w:r>
    </w:p>
    <w:p w:rsidR="003D2BE1" w:rsidRPr="003D2BE1" w:rsidRDefault="003D2BE1">
      <w:pPr>
        <w:pStyle w:val="ConsPlusNormal"/>
        <w:jc w:val="right"/>
        <w:rPr>
          <w:rFonts w:ascii="Times New Roman" w:hAnsi="Times New Roman" w:cs="Times New Roman"/>
          <w:sz w:val="24"/>
          <w:szCs w:val="24"/>
        </w:rPr>
      </w:pPr>
      <w:r w:rsidRPr="003D2BE1">
        <w:rPr>
          <w:rFonts w:ascii="Times New Roman" w:hAnsi="Times New Roman" w:cs="Times New Roman"/>
          <w:sz w:val="24"/>
          <w:szCs w:val="24"/>
        </w:rPr>
        <w:t>города Калуги</w:t>
      </w:r>
    </w:p>
    <w:p w:rsidR="003D2BE1" w:rsidRPr="003D2BE1" w:rsidRDefault="003D2BE1">
      <w:pPr>
        <w:pStyle w:val="ConsPlusNormal"/>
        <w:jc w:val="right"/>
        <w:rPr>
          <w:rFonts w:ascii="Times New Roman" w:hAnsi="Times New Roman" w:cs="Times New Roman"/>
          <w:sz w:val="24"/>
          <w:szCs w:val="24"/>
        </w:rPr>
      </w:pPr>
      <w:r w:rsidRPr="003D2BE1">
        <w:rPr>
          <w:rFonts w:ascii="Times New Roman" w:hAnsi="Times New Roman" w:cs="Times New Roman"/>
          <w:sz w:val="24"/>
          <w:szCs w:val="24"/>
        </w:rPr>
        <w:t>от 27 мая 2026 г. N 88</w:t>
      </w:r>
    </w:p>
    <w:p w:rsidR="003D2BE1" w:rsidRPr="003D2BE1" w:rsidRDefault="003D2BE1">
      <w:pPr>
        <w:pStyle w:val="ConsPlusNormal"/>
        <w:jc w:val="both"/>
        <w:rPr>
          <w:rFonts w:ascii="Times New Roman" w:hAnsi="Times New Roman" w:cs="Times New Roman"/>
          <w:sz w:val="24"/>
          <w:szCs w:val="24"/>
        </w:rPr>
      </w:pPr>
    </w:p>
    <w:p w:rsidR="003D2BE1" w:rsidRPr="003D2BE1" w:rsidRDefault="003D2BE1">
      <w:pPr>
        <w:pStyle w:val="ConsPlusTitle"/>
        <w:jc w:val="center"/>
        <w:rPr>
          <w:rFonts w:ascii="Times New Roman" w:hAnsi="Times New Roman" w:cs="Times New Roman"/>
          <w:sz w:val="24"/>
          <w:szCs w:val="24"/>
        </w:rPr>
      </w:pPr>
      <w:bookmarkStart w:id="1" w:name="P35"/>
      <w:bookmarkEnd w:id="1"/>
      <w:r w:rsidRPr="003D2BE1">
        <w:rPr>
          <w:rFonts w:ascii="Times New Roman" w:hAnsi="Times New Roman" w:cs="Times New Roman"/>
          <w:sz w:val="24"/>
          <w:szCs w:val="24"/>
        </w:rPr>
        <w:t>ПОЛОЖЕНИЕ</w:t>
      </w:r>
    </w:p>
    <w:p w:rsidR="003D2BE1" w:rsidRPr="003D2BE1" w:rsidRDefault="003D2BE1">
      <w:pPr>
        <w:pStyle w:val="ConsPlusTitle"/>
        <w:jc w:val="center"/>
        <w:rPr>
          <w:rFonts w:ascii="Times New Roman" w:hAnsi="Times New Roman" w:cs="Times New Roman"/>
          <w:sz w:val="24"/>
          <w:szCs w:val="24"/>
        </w:rPr>
      </w:pPr>
      <w:r w:rsidRPr="003D2BE1">
        <w:rPr>
          <w:rFonts w:ascii="Times New Roman" w:hAnsi="Times New Roman" w:cs="Times New Roman"/>
          <w:sz w:val="24"/>
          <w:szCs w:val="24"/>
        </w:rPr>
        <w:t>О ПОРЯДКЕ РАЗМЕЩЕНИЯ НЕСТАЦИОНАРНЫХ ТОРГОВЫХ ОБЪЕКТОВ</w:t>
      </w:r>
    </w:p>
    <w:p w:rsidR="003D2BE1" w:rsidRPr="003D2BE1" w:rsidRDefault="003D2BE1">
      <w:pPr>
        <w:pStyle w:val="ConsPlusTitle"/>
        <w:jc w:val="center"/>
        <w:rPr>
          <w:rFonts w:ascii="Times New Roman" w:hAnsi="Times New Roman" w:cs="Times New Roman"/>
          <w:sz w:val="24"/>
          <w:szCs w:val="24"/>
        </w:rPr>
      </w:pPr>
      <w:r w:rsidRPr="003D2BE1">
        <w:rPr>
          <w:rFonts w:ascii="Times New Roman" w:hAnsi="Times New Roman" w:cs="Times New Roman"/>
          <w:sz w:val="24"/>
          <w:szCs w:val="24"/>
        </w:rPr>
        <w:t>НА ТЕРРИТОРИИ ГОРОДСКОГО ОКРУГА ГОРОДА КАЛУГИ КАЛУЖСКОЙ</w:t>
      </w:r>
    </w:p>
    <w:p w:rsidR="003D2BE1" w:rsidRPr="003D2BE1" w:rsidRDefault="003D2BE1">
      <w:pPr>
        <w:pStyle w:val="ConsPlusTitle"/>
        <w:jc w:val="center"/>
        <w:rPr>
          <w:rFonts w:ascii="Times New Roman" w:hAnsi="Times New Roman" w:cs="Times New Roman"/>
          <w:sz w:val="24"/>
          <w:szCs w:val="24"/>
        </w:rPr>
      </w:pPr>
      <w:r w:rsidRPr="003D2BE1">
        <w:rPr>
          <w:rFonts w:ascii="Times New Roman" w:hAnsi="Times New Roman" w:cs="Times New Roman"/>
          <w:sz w:val="24"/>
          <w:szCs w:val="24"/>
        </w:rPr>
        <w:t>ОБЛАСТИ</w:t>
      </w:r>
    </w:p>
    <w:p w:rsidR="003D2BE1" w:rsidRPr="003D2BE1" w:rsidRDefault="003D2BE1">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D2BE1" w:rsidRPr="003D2BE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D2BE1" w:rsidRPr="003D2BE1" w:rsidRDefault="003D2BE1">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3D2BE1" w:rsidRPr="003D2BE1" w:rsidRDefault="003D2BE1">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3D2BE1" w:rsidRPr="003D2BE1" w:rsidRDefault="003D2BE1">
            <w:pPr>
              <w:pStyle w:val="ConsPlusNormal"/>
              <w:jc w:val="center"/>
              <w:rPr>
                <w:rFonts w:ascii="Times New Roman" w:hAnsi="Times New Roman" w:cs="Times New Roman"/>
                <w:sz w:val="24"/>
                <w:szCs w:val="24"/>
              </w:rPr>
            </w:pPr>
            <w:r w:rsidRPr="003D2BE1">
              <w:rPr>
                <w:rFonts w:ascii="Times New Roman" w:hAnsi="Times New Roman" w:cs="Times New Roman"/>
                <w:sz w:val="24"/>
                <w:szCs w:val="24"/>
              </w:rPr>
              <w:t>Список изменяющих документов</w:t>
            </w:r>
          </w:p>
          <w:p w:rsidR="003D2BE1" w:rsidRPr="003D2BE1" w:rsidRDefault="003D2BE1">
            <w:pPr>
              <w:pStyle w:val="ConsPlusNormal"/>
              <w:jc w:val="center"/>
              <w:rPr>
                <w:rFonts w:ascii="Times New Roman" w:hAnsi="Times New Roman" w:cs="Times New Roman"/>
                <w:sz w:val="24"/>
                <w:szCs w:val="24"/>
              </w:rPr>
            </w:pPr>
            <w:r w:rsidRPr="003D2BE1">
              <w:rPr>
                <w:rFonts w:ascii="Times New Roman" w:hAnsi="Times New Roman" w:cs="Times New Roman"/>
                <w:sz w:val="24"/>
                <w:szCs w:val="24"/>
              </w:rPr>
              <w:t>(в ред. Решения Думы городского округа города Калуги от 03.07.2026 N 133)</w:t>
            </w:r>
          </w:p>
        </w:tc>
        <w:tc>
          <w:tcPr>
            <w:tcW w:w="113" w:type="dxa"/>
            <w:tcBorders>
              <w:top w:val="nil"/>
              <w:left w:val="nil"/>
              <w:bottom w:val="nil"/>
              <w:right w:val="nil"/>
            </w:tcBorders>
            <w:shd w:val="clear" w:color="auto" w:fill="F4F3F8"/>
            <w:tcMar>
              <w:top w:w="0" w:type="dxa"/>
              <w:left w:w="0" w:type="dxa"/>
              <w:bottom w:w="0" w:type="dxa"/>
              <w:right w:w="0" w:type="dxa"/>
            </w:tcMar>
          </w:tcPr>
          <w:p w:rsidR="003D2BE1" w:rsidRPr="003D2BE1" w:rsidRDefault="003D2BE1">
            <w:pPr>
              <w:pStyle w:val="ConsPlusNormal"/>
              <w:rPr>
                <w:rFonts w:ascii="Times New Roman" w:hAnsi="Times New Roman" w:cs="Times New Roman"/>
                <w:sz w:val="24"/>
                <w:szCs w:val="24"/>
              </w:rPr>
            </w:pPr>
          </w:p>
        </w:tc>
      </w:tr>
    </w:tbl>
    <w:p w:rsidR="003D2BE1" w:rsidRPr="003D2BE1" w:rsidRDefault="003D2BE1">
      <w:pPr>
        <w:pStyle w:val="ConsPlusNormal"/>
        <w:jc w:val="both"/>
        <w:rPr>
          <w:rFonts w:ascii="Times New Roman" w:hAnsi="Times New Roman" w:cs="Times New Roman"/>
          <w:sz w:val="24"/>
          <w:szCs w:val="24"/>
        </w:rPr>
      </w:pPr>
    </w:p>
    <w:p w:rsidR="003D2BE1" w:rsidRPr="003D2BE1" w:rsidRDefault="003D2BE1">
      <w:pPr>
        <w:pStyle w:val="ConsPlusTitle"/>
        <w:jc w:val="center"/>
        <w:outlineLvl w:val="1"/>
        <w:rPr>
          <w:rFonts w:ascii="Times New Roman" w:hAnsi="Times New Roman" w:cs="Times New Roman"/>
          <w:sz w:val="24"/>
          <w:szCs w:val="24"/>
        </w:rPr>
      </w:pPr>
      <w:r w:rsidRPr="003D2BE1">
        <w:rPr>
          <w:rFonts w:ascii="Times New Roman" w:hAnsi="Times New Roman" w:cs="Times New Roman"/>
          <w:sz w:val="24"/>
          <w:szCs w:val="24"/>
        </w:rPr>
        <w:t>1. Общие положения</w:t>
      </w:r>
    </w:p>
    <w:p w:rsidR="003D2BE1" w:rsidRPr="003D2BE1" w:rsidRDefault="003D2BE1">
      <w:pPr>
        <w:pStyle w:val="ConsPlusNormal"/>
        <w:jc w:val="both"/>
        <w:rPr>
          <w:rFonts w:ascii="Times New Roman" w:hAnsi="Times New Roman" w:cs="Times New Roman"/>
          <w:sz w:val="24"/>
          <w:szCs w:val="24"/>
        </w:rPr>
      </w:pPr>
    </w:p>
    <w:p w:rsidR="003D2BE1" w:rsidRPr="003D2BE1" w:rsidRDefault="003D2BE1">
      <w:pPr>
        <w:pStyle w:val="ConsPlusNormal"/>
        <w:ind w:firstLine="540"/>
        <w:jc w:val="both"/>
        <w:rPr>
          <w:rFonts w:ascii="Times New Roman" w:hAnsi="Times New Roman" w:cs="Times New Roman"/>
          <w:sz w:val="24"/>
          <w:szCs w:val="24"/>
        </w:rPr>
      </w:pPr>
      <w:r w:rsidRPr="003D2BE1">
        <w:rPr>
          <w:rFonts w:ascii="Times New Roman" w:hAnsi="Times New Roman" w:cs="Times New Roman"/>
          <w:sz w:val="24"/>
          <w:szCs w:val="24"/>
        </w:rPr>
        <w:t>1.1. Настоящее Положение разработано в соответствии с Гражданским кодексом Российской Федерации, Земельным кодексом Российской Федерации, статьей 16 Федерального закона от 06.10.2003 N 131-ФЗ "Об общих принципах организации местного самоуправления в Российской Федерации", Федеральным законом от 28.12.2009 N 381-ФЗ "Об основах государственного регулирования торговой деятельности в Российской Федерации", приказом министерства конкурентной политики и тарифов Калужской области от 09.11.2010 N 543 "О порядке разработки и утверждения органом местного самоуправления схемы размещения нестационарных торговых объектов на территории муниципальных образований Калужской области", в целях упорядочения размещения нестационарных торговых объектов, создания условий для улучшения организации и качества торгового обслуживания населения городского округа города Калуги Калужской области (далее - город Калуга), а также создания комфортной городской среды.</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1.2. Настоящее Положение определяет порядок размещения нестационарных торговых объектов (далее - объекты) на землях или земельных участках, находящихся в собственности городского округа города Калуги Калужской области либо собственность на которые не разграничена, на территории города Калуги.</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1.3. Требования, предусмотренные настоящим Положением, не распространяются на отношения, связанные с размещением объектов, находящихся на территориях рынков, при проведении праздничных, общественно-политических, культурно-массовых и спортивно-массовых мероприятий, имеющих краткосрочный характер, при проведении выставок-ярмарок, ярмарок, а также на отношения, связанные с размещением объектов с использованием муниципального недвижимого имущества, в том числе на конструктивных элементах зданий и сооружений, находящихся в собственности города Калуги.</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1.4. Объекты на территории города Калуги размещаются в местах, установленных схемой размещения нестационарных торговых объектов на территории города Калуги (далее - схема НТО), на основании договора на размещение нестационарных торговых объектов на территории города Калуги (далее - договор на размещение объекта).</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1.5. По договору на размещение объекта владельцу объекта предоставляется право установить и эксплуатировать объект в порядке и на условиях, определенных данным договором.</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Договор на размещение объекта заключается на срок, определенный в схеме НТО для конкретного места размещения такого объекта.</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1.6. Договор на размещение объекта заключается по результатам проведения открытого аукциона в электронной форме (далее - аукцион), если иное не предусмотрено настоящим Положением.</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1.7. Предметом аукциона является право на заключение юридическими лицами, индивидуальными предпринимателями, а также физическими лицами, не являющимися индивидуальными предпринимателями, но применяющими специальный налоговый режим "Налог на профессиональный доход" в соответствии с Федеральным законом от 27.11.2018 N 422-ФЗ "О проведении эксперимента по установлению специального налогового режима "Налог на профессиональный доход" (далее - самозанятый), договора на размещение объекта на территории города Калуги.</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1.8. Организация аукциона, а также заключение договоров на размещение объектов осуществляются уполномоченным органом администрации городского округа города Калуги (далее - администрация) - управлением экономики и имущественных отношений города Калуги (далее - уполномоченный орган).</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1.9. Решение о проведении аукциона принимается уполномоченным органом и утверждается распоряжением заместителя главы городского округа города Калуги - начальника управления экономики и имущественных отношений города Калуги (далее - распоряжение начальника управления).</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1.10. Начальная цена предмета аукциона за весь период действия договора определяется с учетом размера платы по договору на размещение объекта по ставкам, установленным порядком определения платы по договорам на размещение нестационарных торговых объектов на территории городского округа города Калуги Калужской области, утвержденным решением Думы городского округа города Калуги.</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1.11. Аукцион организуется и проводится в случаях:</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 наличия (возникновения) свободных мест (места) в схеме НТО;</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 поступления заявлений, указанных в подпункте 3.4.3 пункта 3.4 настоящего Положения, от хозяйствующих субъектов о желании претендовать на право размещения объекта.</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Под свободным местом в настоящем пункте следует понимать место (адресный ориентир) в схеме НТО, по которому отсутствует действующий договор, дающий право размещения объектов, и это место (адресный ориентир) фактически освобождено от ранее размещенного объекта.</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1.12. Решение о проведении аукциона принимается уполномоченным органом на основании заявок хозяйствующих субъектов о проведении аукциона или по собственной инициативе.</w:t>
      </w:r>
    </w:p>
    <w:p w:rsidR="003D2BE1" w:rsidRPr="003D2BE1" w:rsidRDefault="003D2BE1">
      <w:pPr>
        <w:pStyle w:val="ConsPlusNormal"/>
        <w:jc w:val="both"/>
        <w:rPr>
          <w:rFonts w:ascii="Times New Roman" w:hAnsi="Times New Roman" w:cs="Times New Roman"/>
          <w:sz w:val="24"/>
          <w:szCs w:val="24"/>
        </w:rPr>
      </w:pPr>
    </w:p>
    <w:p w:rsidR="003D2BE1" w:rsidRPr="003D2BE1" w:rsidRDefault="003D2BE1">
      <w:pPr>
        <w:pStyle w:val="ConsPlusTitle"/>
        <w:jc w:val="center"/>
        <w:outlineLvl w:val="1"/>
        <w:rPr>
          <w:rFonts w:ascii="Times New Roman" w:hAnsi="Times New Roman" w:cs="Times New Roman"/>
          <w:sz w:val="24"/>
          <w:szCs w:val="24"/>
        </w:rPr>
      </w:pPr>
      <w:r w:rsidRPr="003D2BE1">
        <w:rPr>
          <w:rFonts w:ascii="Times New Roman" w:hAnsi="Times New Roman" w:cs="Times New Roman"/>
          <w:sz w:val="24"/>
          <w:szCs w:val="24"/>
        </w:rPr>
        <w:t>2. Порядок организации и проведения аукциона</w:t>
      </w:r>
    </w:p>
    <w:p w:rsidR="003D2BE1" w:rsidRPr="003D2BE1" w:rsidRDefault="003D2BE1">
      <w:pPr>
        <w:pStyle w:val="ConsPlusNormal"/>
        <w:jc w:val="both"/>
        <w:rPr>
          <w:rFonts w:ascii="Times New Roman" w:hAnsi="Times New Roman" w:cs="Times New Roman"/>
          <w:sz w:val="24"/>
          <w:szCs w:val="24"/>
        </w:rPr>
      </w:pPr>
    </w:p>
    <w:p w:rsidR="003D2BE1" w:rsidRPr="003D2BE1" w:rsidRDefault="003D2BE1">
      <w:pPr>
        <w:pStyle w:val="ConsPlusNormal"/>
        <w:ind w:firstLine="540"/>
        <w:jc w:val="both"/>
        <w:rPr>
          <w:rFonts w:ascii="Times New Roman" w:hAnsi="Times New Roman" w:cs="Times New Roman"/>
          <w:sz w:val="24"/>
          <w:szCs w:val="24"/>
        </w:rPr>
      </w:pPr>
      <w:r w:rsidRPr="003D2BE1">
        <w:rPr>
          <w:rFonts w:ascii="Times New Roman" w:hAnsi="Times New Roman" w:cs="Times New Roman"/>
          <w:sz w:val="24"/>
          <w:szCs w:val="24"/>
        </w:rPr>
        <w:t>2.1. Проведение аукциона осуществляется уполномоченным органом на выбранной им электронной площадке и в соответствии с регламентом, определенным оператором данной электронной площадки.</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2.1.1. В решении о проведении аукциона указываются наименование, дата, время и место проведения аукциона, предмет и условия аукциона, требования к участнику аукциона.</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Величина повышения начальной цены лота (далее - шаг аукциона) составляет 5% от начальной цены, указанной в извещении о проведении аукциона.</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2.1.2. Организатор аукциона:</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а) определяет дату и время начала и окончания приема заявок на участие в аукционе (далее - заявка);</w:t>
      </w:r>
    </w:p>
    <w:p w:rsidR="003D2BE1" w:rsidRPr="003D2BE1" w:rsidRDefault="003D2BE1">
      <w:pPr>
        <w:pStyle w:val="ConsPlusNormal"/>
        <w:spacing w:before="220"/>
        <w:ind w:firstLine="540"/>
        <w:jc w:val="both"/>
        <w:rPr>
          <w:rFonts w:ascii="Times New Roman" w:hAnsi="Times New Roman" w:cs="Times New Roman"/>
          <w:sz w:val="24"/>
          <w:szCs w:val="24"/>
        </w:rPr>
      </w:pPr>
      <w:bookmarkStart w:id="2" w:name="P68"/>
      <w:bookmarkEnd w:id="2"/>
      <w:r w:rsidRPr="003D2BE1">
        <w:rPr>
          <w:rFonts w:ascii="Times New Roman" w:hAnsi="Times New Roman" w:cs="Times New Roman"/>
          <w:sz w:val="24"/>
          <w:szCs w:val="24"/>
        </w:rPr>
        <w:t>б) организует подготовку и публикацию извещения о проведении аукциона в газете "Калужская неделя" (далее - официальное издание) и на официальном сайте администрации: www.kaluga-gov.ru (далее - официальный сайт);</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в) организует подготовку и публикацию информации о внесении изменений в аукционную документацию, извещения о повторном проведении аукциона (при необходимости), информации о признании аукциона несостоявшимся, завершении аукциона, отмене аукциона в источниках, указанных в подпункте "б" настоящего пункта;</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г) формирует комиссию по проведению аукциона (далее - аукционная комиссия).</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2.1.3. В целях проведения аукциона организатором аукциона формируется аукционная комиссия, персональный состав которой утверждается распоряжением начальника управления.</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Аукционная комиссия состоит из председателя, заместителя председателя, секретаря аукционной комиссии (являющихся членами аукционной комиссии) и других членов аукционной комиссии.</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Количество членов аукционной комиссии должно составлять не менее 7 человек.</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Председатель аукционной комиссии руководит деятельностью аукционной комиссии, определяет дату заседания и утверждает его повестку, председательствует на заседаниях аукционной комиссии, осуществляет контроль за исполнением принятых аукционной комиссией решений, а также в случае отсутствия секретаря назначает из членов аукционной комиссии лицо, его замещающее.</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В отсутствие председателя аукционной комиссии его функции выполняет заместитель председателя аукционной комиссии.</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2.1.4. Аукционная комиссия руководствуется в своей деятельности законодательством Российской Федерации, а также настоящим Положением.</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Аукционная комиссия правомочна принимать решения, если на ее заседании присутствует не менее половины числа ее членов. Аукционная комиссия принимает решения простым большинством голосов присутствующих на заседании членов комиссии путем открытого голосования. Каждый член аукционной комиссии имеет один голос. В случае равенства голосов членов комиссии решающим голосом является голос председателя комиссии.</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Член аукционной комиссии осуществляет свои полномочия лично. Полномочия члена аукционной комиссии не могут быть переданы другому лицу.</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Решения аукционной комиссии оформляются протоколами в соответствии с регламентом, определенным оператором электронной площадки.</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2.1.5. Аукционной комиссией осуществляются:</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а) рассмотрение заявок на участие в аукционе, принятие решения по итогам рассмотрения заявок о допуске к участию в аукционе или об отказе в таком допуске и оформление протокола об итогах рассмотрения заявок, содержащего сведения о признании заявителей участниками аукциона;</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б) оформление протокола о результатах аукциона;</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в) иные действия, связанные с проведением аукциона.</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2.1.6. Извещение о проведении аукциона публикуется организатором аукциона в официальном издании и размещается на официальном сайте не менее чем за 30 дней до проведения аукциона. Указанный срок исчисляется со дня, следующего за днем публикации извещения.</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Организатор аукциона вправе дополнительно публиковать указанное сообщение в иных средствах массовой информации, в том числе электронных. При этом такая публикация не заменяет публикацию в официальном издании и на официальном сайте.</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2.1.7. Извещение о проведении аукциона должно содержать следующие сведения:</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а) наименование, место нахождения, номера контактных телефонов организатора аукциона;</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б) информацию о том, что торги проводятся в форме электронного аукциона;</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в) наименование универсальной торговой платформы проведения аукциона;</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г) дату, время проведения аукциона (в часах, минутах);</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д) сведения о предмете аукциона (лоте);</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е) начальную цену для каждого предмета аукциона (лота), размер задатка и порядок его внесения, аукционные условия и иные требования к аукционному предложению;</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ж) перечень документов, прилагаемых к заявке, и требования к их оформлению;</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з) срок, предоставляемый для заключения договора;</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и) иные сведения (по решению организатора аукциона).</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2.1.8. Организатор аукциона должен включить в состав требований к участнику аукциона следующие условия:</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а) заявитель не находится в процессе ликвидации или реорганизации, в форме выделения или разделения;</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б) в отношении заявителя не возбуждено дело о банкротстве;</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в) на имущество заявителя не наложен арест и (или) его экономическая деятельность не приостановлена;</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г) у заявителя отсутствует задолженность по оплате обязательств по договорам на размещение нестационарных торговых объектов и объектов по оказанию услуг на территории города Калуги, заключенным с администрацией и уполномоченным органом, на дату окончания приема заявок, а также задолженность по уплате налогов, сборов, пеней;</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д) отсутствие факта расторжения с заявителем договора на размещение объекта в одностороннем порядке со стороны уполномоченного органа по причине нарушения условий договора в отношении места размещения нестационарного объекта, указанного в аукционной документации, в течение года до даты начала приема заявок;</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е) отсутствие в отношении заявителя вступивших в законную силу судебных актов о демонтаже ранее установленного нестационарного торгового объекта.</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К форме электронной заявки на участие в аукционе прилагаются следующие электронные (сканированные, фото) копии документов, составляющих ее неотъемлемую часть:</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а) копии содержащихся в регистрационном деле юридического лица учредительных документов;</w:t>
      </w:r>
    </w:p>
    <w:p w:rsidR="003D2BE1" w:rsidRPr="003D2BE1" w:rsidRDefault="003D2BE1">
      <w:pPr>
        <w:pStyle w:val="ConsPlusNormal"/>
        <w:spacing w:before="220"/>
        <w:ind w:firstLine="540"/>
        <w:jc w:val="both"/>
        <w:rPr>
          <w:rFonts w:ascii="Times New Roman" w:hAnsi="Times New Roman" w:cs="Times New Roman"/>
          <w:sz w:val="24"/>
          <w:szCs w:val="24"/>
        </w:rPr>
      </w:pPr>
      <w:bookmarkStart w:id="3" w:name="P105"/>
      <w:bookmarkEnd w:id="3"/>
      <w:r w:rsidRPr="003D2BE1">
        <w:rPr>
          <w:rFonts w:ascii="Times New Roman" w:hAnsi="Times New Roman" w:cs="Times New Roman"/>
          <w:sz w:val="24"/>
          <w:szCs w:val="24"/>
        </w:rPr>
        <w:t>б) копия документа, подтверждающего факт внесения записи о юридическом лице в Единый государственный реестр юридических лиц;</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в) копия листа записи Единого государственного реестра индивидуальных предпринимателей;</w:t>
      </w:r>
    </w:p>
    <w:p w:rsidR="003D2BE1" w:rsidRPr="003D2BE1" w:rsidRDefault="003D2BE1">
      <w:pPr>
        <w:pStyle w:val="ConsPlusNormal"/>
        <w:spacing w:before="220"/>
        <w:ind w:firstLine="540"/>
        <w:jc w:val="both"/>
        <w:rPr>
          <w:rFonts w:ascii="Times New Roman" w:hAnsi="Times New Roman" w:cs="Times New Roman"/>
          <w:sz w:val="24"/>
          <w:szCs w:val="24"/>
        </w:rPr>
      </w:pPr>
      <w:bookmarkStart w:id="4" w:name="P107"/>
      <w:bookmarkEnd w:id="4"/>
      <w:r w:rsidRPr="003D2BE1">
        <w:rPr>
          <w:rFonts w:ascii="Times New Roman" w:hAnsi="Times New Roman" w:cs="Times New Roman"/>
          <w:sz w:val="24"/>
          <w:szCs w:val="24"/>
        </w:rPr>
        <w:t>г) копия свидетельства о постановке юридического лица или индивидуального предпринимателя на учет в налоговом органе;</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 xml:space="preserve">д) справка о постановке на учет физического лица в качестве налогоплательщика на профессиональный доход, сформированная в электронной форме с помощью электронных сервисов, подтвержденная электронной подписью налогового </w:t>
      </w:r>
      <w:proofErr w:type="gramStart"/>
      <w:r w:rsidRPr="003D2BE1">
        <w:rPr>
          <w:rFonts w:ascii="Times New Roman" w:hAnsi="Times New Roman" w:cs="Times New Roman"/>
          <w:sz w:val="24"/>
          <w:szCs w:val="24"/>
        </w:rPr>
        <w:t>органа, в случае, если</w:t>
      </w:r>
      <w:proofErr w:type="gramEnd"/>
      <w:r w:rsidRPr="003D2BE1">
        <w:rPr>
          <w:rFonts w:ascii="Times New Roman" w:hAnsi="Times New Roman" w:cs="Times New Roman"/>
          <w:sz w:val="24"/>
          <w:szCs w:val="24"/>
        </w:rPr>
        <w:t xml:space="preserve"> физическое лицо является самозанятым;</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е) документы, подтверждающие полномочия лица на осуществление действий от имени заявителя:</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 для юридического лица -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либо доверенность на осуществление действий от имени заявителя, заверенная надлежащим образом);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 для индивидуального предпринимателя - нотариально заверенная доверенность либо копия такой доверенности, если от имени заявителя (индивидуального предпринимателя) действует иное лицо;</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ж) сведения (документы), подтверждающие соответствие заявителя требованиям, предъявляемым к участнику аукциона, в том числе информацию из налогового органа об отсутствии задолженности по уплате налогов, сборов, пеней.</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Документы, указанные в подпунктах "б" - "г" настоящего пункта, запрашиваются организатором аукциона в порядке межведомственного взаимодействия, при этом заявитель вправе представить их самостоятельно.</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2.1.9. Срок приема заявок должен составлять не менее 20 дней.</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2.1.10. Организатор аукциона в течение 10 рабочих дней с даты окончания приема заявок осуществляет проверку представленных заявителями документов, в том числе на предмет наличия в них недостоверных сведений.</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По окончании проверки заявок организатор аукциона представляет в аукционную комиссию поступившие заявки, перечень поступивших заявок и сведения о результатах такой проверки.</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2.1.11. По результатам рассмотрения представленных организатором аукциона заявок аукционная комиссия принимает решение о признании или непризнании заявителя участником аукциона.</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Аукционная комиссия отказывает заявителю в признании его участником аукциона в случаях:</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а) представления неполного пакета документов, прилагаемого к форме электронной заявки на участие в аукционе, составляющих ее обязательную неотъемлемую часть;</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б) представленные документы не соответствуют требованиям законодательства Российской Федерации или содержат недостоверные (искаженные) сведения;</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в) заявитель не соответствует требованиям, предъявляемым к участнику аукциона.</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2.1.12. Решение аукционной комиссии о допуске к участию в аукционе или об отказе в таком допуске с указанием основания отказа оформляется протоколом об итогах рассмотрения заявок, в котором указываются:</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а) все зарегистрированные заявки с указанием имен (наименований) заявителей;</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б) имена (наименования) заявителей, признанных участниками аукциона;</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в) имена (наименования) заявителей, которым было отказано в признании их участниками аукциона, с указанием основания такого отказа.</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2.1.13. Заявитель приобретает статус участника аукциона с даты оформления комиссией протокола об итогах рассмотрения заявок, содержащего сведения о признании заявителей участниками аукциона.</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Для извещения заявителей о признании их участниками аукциона в течение 1 дня с даты оформления комиссией протокола об итогах рассмотрения заявок на электронной площадке формируется протокол по каждому лоту аукциона об итогах рассмотрения заявок, содержащих сведения о признании заявителей участниками аукциона.</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В случае признания 2 и более заявителей участниками аукциона по одному и тому же лоту аукциона организатор не размещает информацию на электронной площадке об участниках аукциона по данному лоту в открытый доступ.</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2.2. Аукцион проводится в порядке, утвержденном регламентом выбранной электронной площадки.</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2.3. Оформление результатов аукциона.</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2.3.1. Итоги аукциона оформляются протоколом об итогах аукциона.</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В протоколе указываются:</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а) наименование аукциона;</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б) сведения о месте, дате, времени составления протокола по результатам проведенного аукциона;</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в) состав комиссии;</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г) имя (наименование) победителя аукциона;</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д) аукционное предложение победителя о цене по лоту;</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е) сведения о том, что победитель аукциона не выбран (в соответствующем случае);</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ж) иные сведения по усмотрению комиссии.</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2.3.2. Электронный протокол о результатах аукциона оформляется на электронной площадке и размещается в открытом доступе.</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2.3.3. Организатор аукциона в течение 10 рабочих дней с даты формирования протокола о результатах аукциона обеспечивает опубликование извещения о завершении аукциона. Указанное извещение публикуется в тех же источниках, в которых было опубликовано извещение о проведении аукциона.</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2.3.4. В срок, указанный в извещении о проведении аукциона, между организатором аукциона и победителем аукциона заключается договор на размещение объекта на срок, установленный аукционной документацией, в простой письменной форме вне электронной площадки.</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2.3.5. В случае отказа победителя аукциона от заключения договора на размещение объекта либо совершения действий, направленных на уклонение от заключения договора на размещение объекта, в указанный в аукционной документации срок организатор аукциона в течение 10 рабочих дней заключает договор на размещение объекта с участником аукциона, сделавшим предпоследнее предложение о цене по лоту аукциона, при наличии его согласия. В указанном случае денежные средства, внесенные победителем аукциона в качестве задатка, не возвращаются.</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Заключение договора на размещение объекта для участника аукциона, сделавшего предпоследнее предложение о цене по лоту аукциона, не является обязательным.</w:t>
      </w:r>
    </w:p>
    <w:p w:rsidR="003D2BE1" w:rsidRPr="003D2BE1" w:rsidRDefault="003D2BE1">
      <w:pPr>
        <w:pStyle w:val="ConsPlusNormal"/>
        <w:spacing w:before="220"/>
        <w:ind w:firstLine="540"/>
        <w:jc w:val="both"/>
        <w:rPr>
          <w:rFonts w:ascii="Times New Roman" w:hAnsi="Times New Roman" w:cs="Times New Roman"/>
          <w:sz w:val="24"/>
          <w:szCs w:val="24"/>
        </w:rPr>
      </w:pPr>
      <w:bookmarkStart w:id="5" w:name="P145"/>
      <w:bookmarkEnd w:id="5"/>
      <w:r w:rsidRPr="003D2BE1">
        <w:rPr>
          <w:rFonts w:ascii="Times New Roman" w:hAnsi="Times New Roman" w:cs="Times New Roman"/>
          <w:sz w:val="24"/>
          <w:szCs w:val="24"/>
        </w:rPr>
        <w:t>2.3.6. Размер оплаты по договору на размещение объекта, заключенному по результатам аукциона, равен цене предмета аукциона, предложенной участником аукциона, с которым заключается данный договор.</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При этом оплата по договору на размещение объекта, заключенному по результатам аукциона, производится в виде разового платежа при заключении договора на срок менее 1 года либо в виде ежеквартальных равных платежей в течение срока, на который заключен данный договор, при заключении договора на срок 1 год и более.</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Победитель аукциона в течение 3 рабочих дней, следующих за днем подписания договора на размещение объекта, производит оплату путем перечисления средств в размере разницы между суммой разового или ежеквартального платежа, определенного в договоре на размещение объекта, и суммой внесенного задатка на счет, указанный в извещении о проведении аукциона, и представляет организатору аукциона документ, подтверждающий такую оплату.</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Оплата предмета аукциона осуществляется в соответствии с заключенным договором и законодательством Российской Федерации.</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В случае просрочки уплаты платежей выплачивается пеня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долга за каждый день просрочки.</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2.3.7. В случае отказа или уклонения победителя аукциона от оплаты в сроки, указанные в подпункте 2.3.6 пункта 2.3 настоящего Положения, организатор аукциона осуществляет действия, направленные на расторжение договора с победителем аукциона в порядке, установленном действующим законодательством, и заключает договор на размещение объекта с участником аукциона, сделавшим предпоследнее предложение о цене по лоту аукциона, при наличии его согласия.</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Заключение договора на размещение объекта для участника аукциона, сделавшего предпоследнее предложение о цене по лоту аукциона, не является обязательным.</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2.4. Признание аукциона несостоявшимся.</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2.4.1. Аукцион признается несостоявшимся в следующих случаях:</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а) для участия в аукционе подана одна заявка или не подано ни одной заявки;</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б) к участию в аукционе допущен только один участник или никто не допущен;</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в) ни один из участников аукциона не внес предложение, соответствующее условиям аукциона.</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2.4.2. В течение 10 рабочих дней со дня принятия решения о признании аукциона несостоявшимся организатор аукциона обеспечивает опубликование извещения о признании аукциона несостоявшимся.</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Извещение о признании аукциона несостоявшимся публикуется в тех же источниках, в которых было опубликовано извещение о проведении аукциона.</w:t>
      </w:r>
    </w:p>
    <w:p w:rsidR="003D2BE1" w:rsidRPr="003D2BE1" w:rsidRDefault="003D2BE1">
      <w:pPr>
        <w:pStyle w:val="ConsPlusNormal"/>
        <w:spacing w:before="220"/>
        <w:ind w:firstLine="540"/>
        <w:jc w:val="both"/>
        <w:rPr>
          <w:rFonts w:ascii="Times New Roman" w:hAnsi="Times New Roman" w:cs="Times New Roman"/>
          <w:sz w:val="24"/>
          <w:szCs w:val="24"/>
        </w:rPr>
      </w:pPr>
      <w:bookmarkStart w:id="6" w:name="P159"/>
      <w:bookmarkEnd w:id="6"/>
      <w:r w:rsidRPr="003D2BE1">
        <w:rPr>
          <w:rFonts w:ascii="Times New Roman" w:hAnsi="Times New Roman" w:cs="Times New Roman"/>
          <w:sz w:val="24"/>
          <w:szCs w:val="24"/>
        </w:rPr>
        <w:t>2.4.3. В случае если аукцион признан несостоявшимся по причине подачи единственной заявки на участие в аукционе либо допуска к участию в аукционе только одного участника, организатор аукциона обязан заключить договор с лицом, подавшим единственную заявку на участие в аукционе, либо с лицом, признанным единственным участником аукциона, на условиях и по цене не менее начальной (минимальной) цены договора (лота), указанной в извещении о проведении аукциона.</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Если договор заключен с единственным участником аукциона по начальной минимальной стоимости лота (аукцион признан несостоявшимся), то уполномоченный орган обязан ежегодно индексировать размер платежей по договору на размер уровня инфляции, установленный в федеральном законе о федеральном бюджете на очередной финансовый год и плановый период, по отношению к действовавшим в предыдущем году размерам платежей по договору.</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2.5. Отмена аукциона.</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Организатор аукциона вправе отказаться от проведения аукциона не позднее чем за 3 дня до наступления даты его проведения.</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Решение об отмене аукциона принимается уполномоченным органом и утверждается распоряжением начальника управления.</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Извещение об отказе от проведения аукциона размещается на электронной площадке и на официальном сайте в течение 1 дня с даты принятия решения об отказе от проведения аукциона с последующим опубликованием в ближайшем выпуске официального издания.</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Внесенный участниками аукциона задаток подлежит возврату в порядке, утвержденном регламентом выбранной электронной площадки.</w:t>
      </w:r>
    </w:p>
    <w:p w:rsidR="003D2BE1" w:rsidRPr="003D2BE1" w:rsidRDefault="003D2BE1">
      <w:pPr>
        <w:pStyle w:val="ConsPlusNormal"/>
        <w:jc w:val="both"/>
        <w:rPr>
          <w:rFonts w:ascii="Times New Roman" w:hAnsi="Times New Roman" w:cs="Times New Roman"/>
          <w:sz w:val="24"/>
          <w:szCs w:val="24"/>
        </w:rPr>
      </w:pPr>
    </w:p>
    <w:p w:rsidR="003D2BE1" w:rsidRPr="003D2BE1" w:rsidRDefault="003D2BE1">
      <w:pPr>
        <w:pStyle w:val="ConsPlusTitle"/>
        <w:jc w:val="center"/>
        <w:outlineLvl w:val="1"/>
        <w:rPr>
          <w:rFonts w:ascii="Times New Roman" w:hAnsi="Times New Roman" w:cs="Times New Roman"/>
          <w:sz w:val="24"/>
          <w:szCs w:val="24"/>
        </w:rPr>
      </w:pPr>
      <w:r w:rsidRPr="003D2BE1">
        <w:rPr>
          <w:rFonts w:ascii="Times New Roman" w:hAnsi="Times New Roman" w:cs="Times New Roman"/>
          <w:sz w:val="24"/>
          <w:szCs w:val="24"/>
        </w:rPr>
        <w:t>3. Порядок заключения, изменения, расторжения договора</w:t>
      </w:r>
    </w:p>
    <w:p w:rsidR="003D2BE1" w:rsidRPr="003D2BE1" w:rsidRDefault="003D2BE1">
      <w:pPr>
        <w:pStyle w:val="ConsPlusTitle"/>
        <w:jc w:val="center"/>
        <w:rPr>
          <w:rFonts w:ascii="Times New Roman" w:hAnsi="Times New Roman" w:cs="Times New Roman"/>
          <w:sz w:val="24"/>
          <w:szCs w:val="24"/>
        </w:rPr>
      </w:pPr>
      <w:r w:rsidRPr="003D2BE1">
        <w:rPr>
          <w:rFonts w:ascii="Times New Roman" w:hAnsi="Times New Roman" w:cs="Times New Roman"/>
          <w:sz w:val="24"/>
          <w:szCs w:val="24"/>
        </w:rPr>
        <w:t>на размещение объекта</w:t>
      </w:r>
    </w:p>
    <w:p w:rsidR="003D2BE1" w:rsidRPr="003D2BE1" w:rsidRDefault="003D2BE1">
      <w:pPr>
        <w:pStyle w:val="ConsPlusNormal"/>
        <w:jc w:val="both"/>
        <w:rPr>
          <w:rFonts w:ascii="Times New Roman" w:hAnsi="Times New Roman" w:cs="Times New Roman"/>
          <w:sz w:val="24"/>
          <w:szCs w:val="24"/>
        </w:rPr>
      </w:pPr>
    </w:p>
    <w:p w:rsidR="003D2BE1" w:rsidRPr="003D2BE1" w:rsidRDefault="003D2BE1">
      <w:pPr>
        <w:pStyle w:val="ConsPlusNormal"/>
        <w:ind w:firstLine="540"/>
        <w:jc w:val="both"/>
        <w:rPr>
          <w:rFonts w:ascii="Times New Roman" w:hAnsi="Times New Roman" w:cs="Times New Roman"/>
          <w:sz w:val="24"/>
          <w:szCs w:val="24"/>
        </w:rPr>
      </w:pPr>
      <w:r w:rsidRPr="003D2BE1">
        <w:rPr>
          <w:rFonts w:ascii="Times New Roman" w:hAnsi="Times New Roman" w:cs="Times New Roman"/>
          <w:sz w:val="24"/>
          <w:szCs w:val="24"/>
        </w:rPr>
        <w:t>3.1. Заключение договора на размещение объекта.</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Основаниями заключения договора на размещение объекта являются:</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 предоставление места размещения объекта на основании торгов;</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 предоставление места размещения объекта при реализации права на заключение договора на размещение объекта на новый срок (продление договора);</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 предоставление места размещения объекта без проведения торгов.</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3.2. Расторжение договора на размещение объекта.</w:t>
      </w:r>
    </w:p>
    <w:p w:rsidR="003D2BE1" w:rsidRPr="003D2BE1" w:rsidRDefault="003D2BE1">
      <w:pPr>
        <w:pStyle w:val="ConsPlusNormal"/>
        <w:spacing w:before="220"/>
        <w:ind w:firstLine="540"/>
        <w:jc w:val="both"/>
        <w:rPr>
          <w:rFonts w:ascii="Times New Roman" w:hAnsi="Times New Roman" w:cs="Times New Roman"/>
          <w:sz w:val="24"/>
          <w:szCs w:val="24"/>
        </w:rPr>
      </w:pPr>
      <w:bookmarkStart w:id="7" w:name="P176"/>
      <w:bookmarkEnd w:id="7"/>
      <w:r w:rsidRPr="003D2BE1">
        <w:rPr>
          <w:rFonts w:ascii="Times New Roman" w:hAnsi="Times New Roman" w:cs="Times New Roman"/>
          <w:sz w:val="24"/>
          <w:szCs w:val="24"/>
        </w:rPr>
        <w:t>3.2.1. Договор на размещение объекта расторгается в случаях:</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 ликвидации юридического лица, являющегося стороной договора, в соответствии с гражданским законодательством Российской Федерации;</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 прекращения деятельности индивидуального предпринимателя, являющегося стороной договора;</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 снятия с учета физического лица в качестве налогоплательщика налога на профессиональный доход, не являющегося индивидуальным предпринимателем (прекращение самозанятости);</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 по соглашению сторон договора;</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 наличия задолженности за один период оплаты по договору на дату внесения следующего платежа;</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 использования торгового объекта не по назначению (осуществление торговой и (или) иной деятельности, не предусмотренной условиями договора);</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 систематического (два и более раза) нарушения требований к размещению и внешнему виду объекта, установленных разделом 4 настоящего Положения;</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 размещения объекта с нарушением требований, заявленных в аукционной документации;</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 представления органов, осуществляющих государственные функции по контролю и надзору, решения судебных органов;</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 реализации муниципальных программ и (или) приоритетных направлений деятельности города Калуги в социально-экономической сфере; использования территории, занимаемой объектом, для целей, связанных с развитием улично-дорожной сети, размещением объектов благоустройства, стоянок автотранспорта, опор городского уличного освещения и (или) прочих муниципальных объектов, в том числе остановок городского общественного транспорта, оборудованием бордюров, строительством проездов и (или) проездных путей, и для иных городских целей, определенных в соответствии с документацией о планировке территорий; изъятия земельных участков для государственных или муниципальных нужд; принятия решений о развитии территории, изменении градостроительных регламентов в отношении территории, на которой находится объект;</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 в иных предусмотренных договором случаях.</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3.2.2. При принятии решения о досрочном расторжении договора на размещение объекта одна сторона обязана уведомить об этом другую сторону договора в письменной форме.</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В случае расторжения договора по инициативе уполномоченного органа, по причинам, указанным в подпункте 3.2.1 настоящего Положения, договор считается расторгнутым по истечении 14 дней с момента получения другой стороной по договору соответствующего уведомления.</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В случае расторжения договора по инициативе хозяйствующего субъекта, являющегося стороной договора, он имеет право направить уведомление о расторжении договора в уполномоченный орган с указанием даты его расторжения не менее чем за 14 дней до указанной даты.</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Если уведомление о расторжении договора получено уполномоченным органом менее чем за 14 дней до указанной в уведомлении хозяйствующего субъекта даты расторжения договора, договор считается расторгнутым по истечении 14 дней с момента получения соответствующего уведомления.</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Хозяйствующий субъект, являющийся стороной договора, имеет право направить уведомление о расторжении договора через сервис "Изменить действующий договор на НТО", находящийся на едином портале государственных и муниципальных услуг (функций) (далее - Портал госуслуг).</w:t>
      </w:r>
    </w:p>
    <w:p w:rsidR="003D2BE1" w:rsidRPr="003D2BE1" w:rsidRDefault="003D2BE1">
      <w:pPr>
        <w:pStyle w:val="ConsPlusNormal"/>
        <w:jc w:val="both"/>
        <w:rPr>
          <w:rFonts w:ascii="Times New Roman" w:hAnsi="Times New Roman" w:cs="Times New Roman"/>
          <w:sz w:val="24"/>
          <w:szCs w:val="24"/>
        </w:rPr>
      </w:pPr>
      <w:r w:rsidRPr="003D2BE1">
        <w:rPr>
          <w:rFonts w:ascii="Times New Roman" w:hAnsi="Times New Roman" w:cs="Times New Roman"/>
          <w:sz w:val="24"/>
          <w:szCs w:val="24"/>
        </w:rPr>
        <w:t>(абзац введен Решением Думы городского округа города Калуги от 03.07.2026 N 133)</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3.2.3. После окончания действия договора на размещение объекта либо при досрочном его расторжении владелец объекта в течение 10 дней с момента прекращения действия договора обязан демонтировать (переместить) объект и восстановить благоустройство места его размещения и прилегающей к нему территории.</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3.2.4. При неисполнении владельцем объекта обязанности по своевременному демонтажу объект считается самовольно установленным и дальнейший демонтаж либо иные действия в отношении объекта, а также его собственника осуществляются в соответствии с законодательством Российской Федерации.</w:t>
      </w:r>
    </w:p>
    <w:p w:rsidR="003D2BE1" w:rsidRPr="003D2BE1" w:rsidRDefault="003D2BE1">
      <w:pPr>
        <w:pStyle w:val="ConsPlusNormal"/>
        <w:spacing w:before="220"/>
        <w:ind w:firstLine="540"/>
        <w:jc w:val="both"/>
        <w:rPr>
          <w:rFonts w:ascii="Times New Roman" w:hAnsi="Times New Roman" w:cs="Times New Roman"/>
          <w:sz w:val="24"/>
          <w:szCs w:val="24"/>
        </w:rPr>
      </w:pPr>
      <w:bookmarkStart w:id="8" w:name="P196"/>
      <w:bookmarkEnd w:id="8"/>
      <w:r w:rsidRPr="003D2BE1">
        <w:rPr>
          <w:rFonts w:ascii="Times New Roman" w:hAnsi="Times New Roman" w:cs="Times New Roman"/>
          <w:sz w:val="24"/>
          <w:szCs w:val="24"/>
        </w:rPr>
        <w:t>3.3. Предоставление места размещения объекта при реализации права на заключение договора на размещение объекта на новый срок (продление договора).</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Под правом на заключение договора на размещение объекта на новый срок понимается право лица, размещающего объект на основании договора на размещение, на продление договора на размещение объекта.</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3.3.1. Правом на размещение объекта на новый срок (продление договора) можно воспользоваться единожды.</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3.3.2. Договор на размещение объекта на новый срок может быть заключен при наличии действующего договора на размещение объекта и места, определенного в схеме НТО, позволяющего продлить договор на размещение объекта.</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Договор продлевается на тот же срок, на который был заключен ранее.</w:t>
      </w:r>
    </w:p>
    <w:p w:rsidR="003D2BE1" w:rsidRPr="003D2BE1" w:rsidRDefault="003D2BE1">
      <w:pPr>
        <w:pStyle w:val="ConsPlusNormal"/>
        <w:spacing w:before="220"/>
        <w:ind w:firstLine="540"/>
        <w:jc w:val="both"/>
        <w:rPr>
          <w:rFonts w:ascii="Times New Roman" w:hAnsi="Times New Roman" w:cs="Times New Roman"/>
          <w:sz w:val="24"/>
          <w:szCs w:val="24"/>
        </w:rPr>
      </w:pPr>
      <w:bookmarkStart w:id="9" w:name="P201"/>
      <w:bookmarkEnd w:id="9"/>
      <w:r w:rsidRPr="003D2BE1">
        <w:rPr>
          <w:rFonts w:ascii="Times New Roman" w:hAnsi="Times New Roman" w:cs="Times New Roman"/>
          <w:sz w:val="24"/>
          <w:szCs w:val="24"/>
        </w:rPr>
        <w:t>3.3.3. При желании заключить договор на размещение объекта на новый срок (продлить договор) заинтересованное лицо подает заявление в свободной форме в уполномоченный орган не ранее 45 и не позднее 30 календарных дней до окончания срока действия ранее заключенного договора.</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В случае если срок, отведенный на подачу заявления, попадает на выходные праздничные дни, которые длятся более 3 дней подряд, то срок подачи заявления продлевается на срок, равный количеству выходных праздничных дней.</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К заявлению прилагаются следующие документы в отношении заявителя:</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 копия свидетельства о постановке на учет в налоговом органе на территории Российской Федерации;</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 копия свидетельства о государственной регистрации юридических лиц (индивидуальных предпринимателей);</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 справка о постановке на учет физического лица в качестве налогоплательщика налога на профессиональный доход, не являющегося индивидуальным предпринимателем (справка о самозанятости).</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Хозяйствующий субъект, являющийся стороной договора, имеет право направить заявление о заключении договора на размещение объекта на новый срок (о продлении договора) через сервис "Изменить действующий договор на НТО", находящийся на Портале госуслуг.</w:t>
      </w:r>
    </w:p>
    <w:p w:rsidR="003D2BE1" w:rsidRPr="003D2BE1" w:rsidRDefault="003D2BE1">
      <w:pPr>
        <w:pStyle w:val="ConsPlusNormal"/>
        <w:jc w:val="both"/>
        <w:rPr>
          <w:rFonts w:ascii="Times New Roman" w:hAnsi="Times New Roman" w:cs="Times New Roman"/>
          <w:sz w:val="24"/>
          <w:szCs w:val="24"/>
        </w:rPr>
      </w:pPr>
      <w:r w:rsidRPr="003D2BE1">
        <w:rPr>
          <w:rFonts w:ascii="Times New Roman" w:hAnsi="Times New Roman" w:cs="Times New Roman"/>
          <w:sz w:val="24"/>
          <w:szCs w:val="24"/>
        </w:rPr>
        <w:t>(абзац введен Решением Думы городского округа города Калуги от 03.07.2026 N 133)</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3.3.4. Уполномоченный орган в течение 10 рабочих дней со дня поступления заявления принимает решение о заключении договора на размещение объекта на новый срок или решение об отказе в заключении договора.</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3.3.5. Уполномоченный орган принимает решение об отказе в заключении договора на размещение объекта на новый срок в случаях:</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 обращения с заявлением о заключении договора на размещение объекта по уже продленному договору на размещение объекта;</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 нарушения сроков подачи заявления, установленных подпунктом 3.3.3 пункта 3.3 настоящего Положения;</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 исключения из схемы НТО места размещения объекта, по которому ранее размещался объект;</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 наличия задолженности по действующему договору, дающему право размещения объекта;</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 наличия не исполненных собственником объекта требований и претензий администрации и уполномоченного органа по надлежащему исполнению действующего договора, дающего право на размещение объекта.</w:t>
      </w:r>
    </w:p>
    <w:p w:rsidR="003D2BE1" w:rsidRPr="003D2BE1" w:rsidRDefault="003D2BE1">
      <w:pPr>
        <w:pStyle w:val="ConsPlusNormal"/>
        <w:spacing w:before="220"/>
        <w:ind w:firstLine="540"/>
        <w:jc w:val="both"/>
        <w:rPr>
          <w:rFonts w:ascii="Times New Roman" w:hAnsi="Times New Roman" w:cs="Times New Roman"/>
          <w:sz w:val="24"/>
          <w:szCs w:val="24"/>
        </w:rPr>
      </w:pPr>
      <w:bookmarkStart w:id="10" w:name="P216"/>
      <w:bookmarkEnd w:id="10"/>
      <w:r w:rsidRPr="003D2BE1">
        <w:rPr>
          <w:rFonts w:ascii="Times New Roman" w:hAnsi="Times New Roman" w:cs="Times New Roman"/>
          <w:sz w:val="24"/>
          <w:szCs w:val="24"/>
        </w:rPr>
        <w:t>3.3.6. Продление договора на новый срок осуществляется путем заключения нового договора на размещение объекта.</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При заключении договора на новый срок сумма договора подлежит ежегодной индексации на размер величины индексации базовой ставки, установленной порядком определения платы по договорам на размещение нестационарных торговых объектов на территории городского округа города Калуги Калужской области, утвержденным решением Думы городского округа города Калуги, по отношению к действовавшей сумме договора.</w:t>
      </w:r>
    </w:p>
    <w:p w:rsidR="003D2BE1" w:rsidRPr="003D2BE1" w:rsidRDefault="003D2BE1">
      <w:pPr>
        <w:pStyle w:val="ConsPlusNormal"/>
        <w:spacing w:before="220"/>
        <w:ind w:firstLine="540"/>
        <w:jc w:val="both"/>
        <w:rPr>
          <w:rFonts w:ascii="Times New Roman" w:hAnsi="Times New Roman" w:cs="Times New Roman"/>
          <w:sz w:val="24"/>
          <w:szCs w:val="24"/>
        </w:rPr>
      </w:pPr>
      <w:bookmarkStart w:id="11" w:name="P218"/>
      <w:bookmarkEnd w:id="11"/>
      <w:r w:rsidRPr="003D2BE1">
        <w:rPr>
          <w:rFonts w:ascii="Times New Roman" w:hAnsi="Times New Roman" w:cs="Times New Roman"/>
          <w:sz w:val="24"/>
          <w:szCs w:val="24"/>
        </w:rPr>
        <w:t>3.4. Предоставление места размещения объекта без проведения торгов.</w:t>
      </w:r>
    </w:p>
    <w:p w:rsidR="003D2BE1" w:rsidRPr="003D2BE1" w:rsidRDefault="003D2BE1">
      <w:pPr>
        <w:pStyle w:val="ConsPlusNormal"/>
        <w:spacing w:before="220"/>
        <w:ind w:firstLine="540"/>
        <w:jc w:val="both"/>
        <w:rPr>
          <w:rFonts w:ascii="Times New Roman" w:hAnsi="Times New Roman" w:cs="Times New Roman"/>
          <w:sz w:val="24"/>
          <w:szCs w:val="24"/>
        </w:rPr>
      </w:pPr>
      <w:bookmarkStart w:id="12" w:name="P219"/>
      <w:bookmarkEnd w:id="12"/>
      <w:r w:rsidRPr="003D2BE1">
        <w:rPr>
          <w:rFonts w:ascii="Times New Roman" w:hAnsi="Times New Roman" w:cs="Times New Roman"/>
          <w:sz w:val="24"/>
          <w:szCs w:val="24"/>
        </w:rPr>
        <w:t>3.4.1. Лицо, размещающее объект на основании договора, заключенного по результатам торгов, при желании заключить новый договор на размещение объекта не ранее 45 и не позднее 30 календарных дней до окончания срока действия соответствующего договора подает заявление в свободной форме в уполномоченный орган.</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К заявлению прилагаются следующие документы в отношении заявителя:</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 копия свидетельства о постановке на учет в налоговом органе на территории Российской Федерации;</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 копия свидетельства о государственной регистрации юридических лиц (индивидуальных предпринимателей);</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 справка о постановке на учет физического лица в качестве налогоплательщика налога на профессиональный доход, не являющегося индивидуальным предпринимателем (справка о самозанятости).</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Хозяйствующий субъект, являющийся стороной договора, имеет право направить заявление о заключении договора на размещение объекта на новый срок без проведения торгов через сервис "Изменить действующий договор на НТО", находящийся на Портале госуслуг.</w:t>
      </w:r>
    </w:p>
    <w:p w:rsidR="003D2BE1" w:rsidRPr="003D2BE1" w:rsidRDefault="003D2BE1">
      <w:pPr>
        <w:pStyle w:val="ConsPlusNormal"/>
        <w:jc w:val="both"/>
        <w:rPr>
          <w:rFonts w:ascii="Times New Roman" w:hAnsi="Times New Roman" w:cs="Times New Roman"/>
          <w:sz w:val="24"/>
          <w:szCs w:val="24"/>
        </w:rPr>
      </w:pPr>
      <w:r w:rsidRPr="003D2BE1">
        <w:rPr>
          <w:rFonts w:ascii="Times New Roman" w:hAnsi="Times New Roman" w:cs="Times New Roman"/>
          <w:sz w:val="24"/>
          <w:szCs w:val="24"/>
        </w:rPr>
        <w:t>(абзац введен Решением Думы городского округа города Калуги от 03.07.2026 N 133)</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3.4.2. Уполномоченный орган в течение 10 рабочих дней с момента поступления соответствующих документов осуществляет публикацию в официальном издании и на официальном сайте информации о планируемом предоставлении места размещения объекта либо принимает решение об отказе в заключении договора на размещение объекта без проведения торгов.</w:t>
      </w:r>
    </w:p>
    <w:p w:rsidR="003D2BE1" w:rsidRPr="003D2BE1" w:rsidRDefault="003D2BE1">
      <w:pPr>
        <w:pStyle w:val="ConsPlusNormal"/>
        <w:spacing w:before="220"/>
        <w:ind w:firstLine="540"/>
        <w:jc w:val="both"/>
        <w:rPr>
          <w:rFonts w:ascii="Times New Roman" w:hAnsi="Times New Roman" w:cs="Times New Roman"/>
          <w:sz w:val="24"/>
          <w:szCs w:val="24"/>
        </w:rPr>
      </w:pPr>
      <w:bookmarkStart w:id="13" w:name="P227"/>
      <w:bookmarkEnd w:id="13"/>
      <w:r w:rsidRPr="003D2BE1">
        <w:rPr>
          <w:rFonts w:ascii="Times New Roman" w:hAnsi="Times New Roman" w:cs="Times New Roman"/>
          <w:sz w:val="24"/>
          <w:szCs w:val="24"/>
        </w:rPr>
        <w:t>3.4.3. В случае если в течение 14 календарных дней после официального опубликования информации о планируемом предоставлении места размещения объекта в уполномоченный орган поступили заявления от иных хозяйствующих субъектов о желании претендовать на право размещения объекта на соответствующем месте размещения, уполномоченный орган объявляет и проводит торги на право размещения объекта.</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В случае если в течение 14 календарных дней после официального опубликования информации о планируемом предоставлении места размещения объекта в уполномоченный орган не поступили заявления от иных хозяйствующих субъектов о желании претендовать на право размещения объекта на соответствующем месте, уполномоченный орган принимает решение о предоставлении места размещения объекта и заключении договора без проведения торгов с заявителем, имеющим действующий договор размещения объекта на это место.</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3.4.4. Уполномоченный орган принимает решение об отказе в заключении договора на размещение объекта без проведения торгов в случаях:</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 нарушения сроков подачи заявления, установленных подпунктом 3.4.1 пункта 3.4 настоящего Положения;</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 исключения из схемы НТО места размещения объекта, по которому ранее он размещался;</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 наличия задолженности по действующему договору, дающему право на размещение объекта;</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 наличия не исполненных собственником объекта требований и претензий администрации и уполномоченного органа по надлежащему исполнению действующего договора, дающего право на размещение объекта.</w:t>
      </w:r>
    </w:p>
    <w:p w:rsidR="003D2BE1" w:rsidRPr="003D2BE1" w:rsidRDefault="003D2BE1">
      <w:pPr>
        <w:pStyle w:val="ConsPlusNormal"/>
        <w:spacing w:before="220"/>
        <w:ind w:firstLine="540"/>
        <w:jc w:val="both"/>
        <w:rPr>
          <w:rFonts w:ascii="Times New Roman" w:hAnsi="Times New Roman" w:cs="Times New Roman"/>
          <w:sz w:val="24"/>
          <w:szCs w:val="24"/>
        </w:rPr>
      </w:pPr>
      <w:bookmarkStart w:id="14" w:name="P234"/>
      <w:bookmarkEnd w:id="14"/>
      <w:r w:rsidRPr="003D2BE1">
        <w:rPr>
          <w:rFonts w:ascii="Times New Roman" w:hAnsi="Times New Roman" w:cs="Times New Roman"/>
          <w:sz w:val="24"/>
          <w:szCs w:val="24"/>
        </w:rPr>
        <w:t>3.4.5. Договор на размещение объекта без проведения торгов заключается на тот же срок, что и ранее заключенный договор.</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При заключении договора без проведения торгов сумма договора подлежит ежегодной индексации на размер величины индексации базовой ставки, установленной порядком определения платы по договорам на размещение нестационарных торговых объектов на территории городского округа города Калуги Калужской области, утвержденным решением Думы городского округа города Калуги, по отношению к действовавшей сумме договора.</w:t>
      </w:r>
    </w:p>
    <w:p w:rsidR="003D2BE1" w:rsidRPr="003D2BE1" w:rsidRDefault="003D2BE1">
      <w:pPr>
        <w:pStyle w:val="ConsPlusNormal"/>
        <w:spacing w:before="220"/>
        <w:ind w:firstLine="540"/>
        <w:jc w:val="both"/>
        <w:rPr>
          <w:rFonts w:ascii="Times New Roman" w:hAnsi="Times New Roman" w:cs="Times New Roman"/>
          <w:sz w:val="24"/>
          <w:szCs w:val="24"/>
        </w:rPr>
      </w:pPr>
      <w:bookmarkStart w:id="15" w:name="P236"/>
      <w:bookmarkEnd w:id="15"/>
      <w:r w:rsidRPr="003D2BE1">
        <w:rPr>
          <w:rFonts w:ascii="Times New Roman" w:hAnsi="Times New Roman" w:cs="Times New Roman"/>
          <w:sz w:val="24"/>
          <w:szCs w:val="24"/>
        </w:rPr>
        <w:t>3.5. Предоставление места размещения объекта без проведения торгов в порядке универсального правопреемства.</w:t>
      </w:r>
    </w:p>
    <w:p w:rsidR="003D2BE1" w:rsidRPr="003D2BE1" w:rsidRDefault="003D2BE1">
      <w:pPr>
        <w:pStyle w:val="ConsPlusNormal"/>
        <w:spacing w:before="220"/>
        <w:ind w:firstLine="540"/>
        <w:jc w:val="both"/>
        <w:rPr>
          <w:rFonts w:ascii="Times New Roman" w:hAnsi="Times New Roman" w:cs="Times New Roman"/>
          <w:sz w:val="24"/>
          <w:szCs w:val="24"/>
        </w:rPr>
      </w:pPr>
      <w:bookmarkStart w:id="16" w:name="P237"/>
      <w:bookmarkEnd w:id="16"/>
      <w:r w:rsidRPr="003D2BE1">
        <w:rPr>
          <w:rFonts w:ascii="Times New Roman" w:hAnsi="Times New Roman" w:cs="Times New Roman"/>
          <w:sz w:val="24"/>
          <w:szCs w:val="24"/>
        </w:rPr>
        <w:t>3.5.1. В случае смерти самозанятого, индивидуального предпринимателя либо реорганизации юридического лица, являющегося правообладателем объекта, размещенного на основании договора на размещение, заключенного без проведения торгов, правопреемник в порядке универсального правопреемства (наследование, реорганизация юридического лица) при желании вступить в договор на размещение объекта без проведения торгов не позднее срока окончания договора на размещение объекта подает заявление в свободной форме в уполномоченный орган.</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К заявлению прилагаются следующие документы в отношении правопреемника:</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 справка о постановке на учет физического лица в качестве налогоплательщика налога на профессиональный доход, не являющегося индивидуальным предпринимателем (справка о самозанятости);</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 копия свидетельства о постановке на учет в налоговом органе на территории Российской Федерации;</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 лист записи Единого государственного реестра юридических лиц (индивидуальных предпринимателей);</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 копии документов, подтверждающих универсальное правопреемство.</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3.5.2. Уполномоченный орган принимает решение об отказе в заключении договора на размещение объекта без проведения торгов в порядке универсального правопреемства в случае нарушения срока подачи заявления, установленного подпунктом 3.5.1 пункта 3.5 настоящего Положения.</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3.5.3. Уполномоченный орган принимает решение об отказе в заключении договора на размещение объекта без проведения торгов в порядке универсального правопреемства в случае непредставления документов, установленных подпунктом 3.5.1 пункта 3.5 настоящего Положения.</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3.5.4. Внесение необходимых изменений в соответствующий договор на размещение объекта осуществляется с учетом сохранения условий оплаты предмета договора и в пределах срока ранее заключенного договора.</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Срок рассмотрения заявлений по пунктам 3.3, 3.4 и 3.5 настоящего Положения не должен превышать 30 дней.</w:t>
      </w:r>
    </w:p>
    <w:p w:rsidR="003D2BE1" w:rsidRPr="003D2BE1" w:rsidRDefault="003D2BE1">
      <w:pPr>
        <w:pStyle w:val="ConsPlusNormal"/>
        <w:jc w:val="both"/>
        <w:rPr>
          <w:rFonts w:ascii="Times New Roman" w:hAnsi="Times New Roman" w:cs="Times New Roman"/>
          <w:sz w:val="24"/>
          <w:szCs w:val="24"/>
        </w:rPr>
      </w:pPr>
    </w:p>
    <w:p w:rsidR="003D2BE1" w:rsidRPr="003D2BE1" w:rsidRDefault="003D2BE1">
      <w:pPr>
        <w:pStyle w:val="ConsPlusTitle"/>
        <w:jc w:val="center"/>
        <w:outlineLvl w:val="1"/>
        <w:rPr>
          <w:rFonts w:ascii="Times New Roman" w:hAnsi="Times New Roman" w:cs="Times New Roman"/>
          <w:sz w:val="24"/>
          <w:szCs w:val="24"/>
        </w:rPr>
      </w:pPr>
      <w:bookmarkStart w:id="17" w:name="P248"/>
      <w:bookmarkEnd w:id="17"/>
      <w:r w:rsidRPr="003D2BE1">
        <w:rPr>
          <w:rFonts w:ascii="Times New Roman" w:hAnsi="Times New Roman" w:cs="Times New Roman"/>
          <w:sz w:val="24"/>
          <w:szCs w:val="24"/>
        </w:rPr>
        <w:t>4. Требования к размещению и внешнему виду объектов</w:t>
      </w:r>
    </w:p>
    <w:p w:rsidR="003D2BE1" w:rsidRPr="003D2BE1" w:rsidRDefault="003D2BE1">
      <w:pPr>
        <w:pStyle w:val="ConsPlusNormal"/>
        <w:jc w:val="both"/>
        <w:rPr>
          <w:rFonts w:ascii="Times New Roman" w:hAnsi="Times New Roman" w:cs="Times New Roman"/>
          <w:sz w:val="24"/>
          <w:szCs w:val="24"/>
        </w:rPr>
      </w:pPr>
    </w:p>
    <w:p w:rsidR="003D2BE1" w:rsidRPr="003D2BE1" w:rsidRDefault="003D2BE1">
      <w:pPr>
        <w:pStyle w:val="ConsPlusNormal"/>
        <w:ind w:firstLine="540"/>
        <w:jc w:val="both"/>
        <w:rPr>
          <w:rFonts w:ascii="Times New Roman" w:hAnsi="Times New Roman" w:cs="Times New Roman"/>
          <w:sz w:val="24"/>
          <w:szCs w:val="24"/>
        </w:rPr>
      </w:pPr>
      <w:r w:rsidRPr="003D2BE1">
        <w:rPr>
          <w:rFonts w:ascii="Times New Roman" w:hAnsi="Times New Roman" w:cs="Times New Roman"/>
          <w:sz w:val="24"/>
          <w:szCs w:val="24"/>
        </w:rPr>
        <w:t>4.1. Размещение объектов должно быть предусмотрено действующей схемой НТО и соответствовать строительным, санитарно-эпидемиологическим, противопожарным требованиям, требованиям технических регламентов. Внешний вид объектов устанавливается аукционной документацией.</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4.2. Объекты при их размещении не должны создавать помех основному функциональному использованию и визуальному восприятию городской среды территорий, на которых они размещаются.</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Размещение объектов запрещается:</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а) в местах, не определенных схемой НТО;</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б) в зонах охраны объектов культурного наследия (памятников истории и культуры);</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в) на территориях, занятых инженерными коммуникациями и их охранными зонами;</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г) в арках зданий, на элементах благоустройства, площадках (детских, отдыха, спортивных);</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д) на посадочных площадках пассажирского транспорта;</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е) в пределах треугольников видимости на нерегулируемых перекрестках и примыканиях улиц и дорог, а также пешеходных переходах;</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 xml:space="preserve">ж) на придомовой территории жилых </w:t>
      </w:r>
      <w:proofErr w:type="gramStart"/>
      <w:r w:rsidRPr="003D2BE1">
        <w:rPr>
          <w:rFonts w:ascii="Times New Roman" w:hAnsi="Times New Roman" w:cs="Times New Roman"/>
          <w:sz w:val="24"/>
          <w:szCs w:val="24"/>
        </w:rPr>
        <w:t>домов, в случае, если</w:t>
      </w:r>
      <w:proofErr w:type="gramEnd"/>
      <w:r w:rsidRPr="003D2BE1">
        <w:rPr>
          <w:rFonts w:ascii="Times New Roman" w:hAnsi="Times New Roman" w:cs="Times New Roman"/>
          <w:sz w:val="24"/>
          <w:szCs w:val="24"/>
        </w:rPr>
        <w:t xml:space="preserve"> земельный участок на данной территории находится в собственности городского округа города Калуги Калужской области либо собственность на который не разграничена;</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з) на расстоянии ближе 25 м до автозаправочных станций бензина и дизельного топлива.</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4.3. Стационарное размещение объектов, требующее устройства фундаментов, не допускается.</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4.4. Уборка территории, прилегающей к объекту, производится в соответствии с требованиями нормативных правовых актов, принятых в сфере благоустройства города Калуги.</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Не допускается осуществлять складирование товара, упаковок, мусора на элементах благоустройства, конструктивных элементах объекта и прилегающей территории.</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4.5. При размещении объекта должен быть предусмотрен удобный подъезд автотранспорта, не создающий помех для прохода пешеходов. Разгрузку товара требуется осуществлять без заезда машин на тротуар.</w:t>
      </w:r>
    </w:p>
    <w:p w:rsidR="003D2BE1" w:rsidRPr="003D2BE1" w:rsidRDefault="003D2BE1">
      <w:pPr>
        <w:pStyle w:val="ConsPlusNormal"/>
        <w:jc w:val="both"/>
        <w:rPr>
          <w:rFonts w:ascii="Times New Roman" w:hAnsi="Times New Roman" w:cs="Times New Roman"/>
          <w:sz w:val="24"/>
          <w:szCs w:val="24"/>
        </w:rPr>
      </w:pPr>
    </w:p>
    <w:p w:rsidR="003D2BE1" w:rsidRPr="003D2BE1" w:rsidRDefault="003D2BE1">
      <w:pPr>
        <w:pStyle w:val="ConsPlusTitle"/>
        <w:jc w:val="center"/>
        <w:outlineLvl w:val="1"/>
        <w:rPr>
          <w:rFonts w:ascii="Times New Roman" w:hAnsi="Times New Roman" w:cs="Times New Roman"/>
          <w:sz w:val="24"/>
          <w:szCs w:val="24"/>
        </w:rPr>
      </w:pPr>
      <w:r w:rsidRPr="003D2BE1">
        <w:rPr>
          <w:rFonts w:ascii="Times New Roman" w:hAnsi="Times New Roman" w:cs="Times New Roman"/>
          <w:sz w:val="24"/>
          <w:szCs w:val="24"/>
        </w:rPr>
        <w:t>5. Процедура внесения изменений (дополнений) в схему НТО</w:t>
      </w:r>
    </w:p>
    <w:p w:rsidR="003D2BE1" w:rsidRPr="003D2BE1" w:rsidRDefault="003D2BE1">
      <w:pPr>
        <w:pStyle w:val="ConsPlusNormal"/>
        <w:jc w:val="both"/>
        <w:rPr>
          <w:rFonts w:ascii="Times New Roman" w:hAnsi="Times New Roman" w:cs="Times New Roman"/>
          <w:sz w:val="24"/>
          <w:szCs w:val="24"/>
        </w:rPr>
      </w:pPr>
    </w:p>
    <w:p w:rsidR="003D2BE1" w:rsidRPr="003D2BE1" w:rsidRDefault="003D2BE1">
      <w:pPr>
        <w:pStyle w:val="ConsPlusNormal"/>
        <w:ind w:firstLine="540"/>
        <w:jc w:val="both"/>
        <w:rPr>
          <w:rFonts w:ascii="Times New Roman" w:hAnsi="Times New Roman" w:cs="Times New Roman"/>
          <w:sz w:val="24"/>
          <w:szCs w:val="24"/>
        </w:rPr>
      </w:pPr>
      <w:r w:rsidRPr="003D2BE1">
        <w:rPr>
          <w:rFonts w:ascii="Times New Roman" w:hAnsi="Times New Roman" w:cs="Times New Roman"/>
          <w:sz w:val="24"/>
          <w:szCs w:val="24"/>
        </w:rPr>
        <w:t>5.1. Подготовка проекта внесения изменений в схему НТО осуществляется уполномоченным органом по форме согласно приложению к настоящему Положению.</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5.2. Внесение изменений в схему НТО осуществляется в следующих случаях:</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 размещения на территории города Калуги новых объектов с целью обеспечения жителей товарами первой необходимости в пределах шаговой доступности;</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 изменения сроков размещения, типа, специализации объектов;</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 по обращению представительных органов местного самоуправления (Думы городского округа города Калуги, территориальных органов самоуправления);</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 исключения мест размещения объектов в случае возникновения необходимости использования земельного участка, на котором размещен объект, для государственных или муниципальных нужд, а также если данное место перестало соответствовать требованиям к месту размещения объекта на земельных участках, в зданиях, строениях, сооружениях, а также соответствующим требованиям законодательства Российской Федерации, правовым актам Калужской области и муниципальным правовым актам города Калуги;</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 приведения в соответствие с изменениями в законодательстве Российской Федерации.</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5.3. Инициаторами внесения изменений в схему НТО могут выступать: уполномоченный орган (по собственной инициативе), хозяйствующие субъекты и граждане (по заявлению).</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5.4. Для размещения на территории муниципального образования новых объектов заинтересованному лицу необходимо подать в уполномоченный орган заявление о внесении изменения в схему НТО.</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Заявление о включении новых объектов в схему НТО составляется гражданином либо хозяйствующим субъектом с указанием следующих сведений:</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 наименования, организационно-правовой формы, адреса местонахождения, основного государственного регистрационного номера - для юридического лица;</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 фамилии, имени, отчества, паспортных данных, сведений о месте жительства, основного государственного регистрационного номера индивидуального предпринимателя - для индивидуального предпринимателя;</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 фамилии, имени, отчества, паспортных данных, сведений о месте жительства гражданина;</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 предполагаемого места размещения (адресные ориентиры) объекта;</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 планируемой площади объекта;</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 типа объекта, планируемого к включению в схему НТО;</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 цели использования объекта, его специализации.</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К заявлению прикладывается графическое изображение места размещения объекта (</w:t>
      </w:r>
      <w:proofErr w:type="gramStart"/>
      <w:r w:rsidRPr="003D2BE1">
        <w:rPr>
          <w:rFonts w:ascii="Times New Roman" w:hAnsi="Times New Roman" w:cs="Times New Roman"/>
          <w:sz w:val="24"/>
          <w:szCs w:val="24"/>
        </w:rPr>
        <w:t>план-карта</w:t>
      </w:r>
      <w:proofErr w:type="gramEnd"/>
      <w:r w:rsidRPr="003D2BE1">
        <w:rPr>
          <w:rFonts w:ascii="Times New Roman" w:hAnsi="Times New Roman" w:cs="Times New Roman"/>
          <w:sz w:val="24"/>
          <w:szCs w:val="24"/>
        </w:rPr>
        <w:t>).</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Срок рассмотрения заявления не должен превышать 60 дней.</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Заинтересованное лицо имеет право направить заявление о включении новых объектов в схему НТО через сервис "Предложить предусмотреть новое место под НТО на земельных участках, находящихся в государственной или муниципальной собственности", находящийся на Портале госуслуг.</w:t>
      </w:r>
    </w:p>
    <w:p w:rsidR="003D2BE1" w:rsidRPr="003D2BE1" w:rsidRDefault="003D2BE1">
      <w:pPr>
        <w:pStyle w:val="ConsPlusNormal"/>
        <w:jc w:val="both"/>
        <w:rPr>
          <w:rFonts w:ascii="Times New Roman" w:hAnsi="Times New Roman" w:cs="Times New Roman"/>
          <w:sz w:val="24"/>
          <w:szCs w:val="24"/>
        </w:rPr>
      </w:pPr>
      <w:r w:rsidRPr="003D2BE1">
        <w:rPr>
          <w:rFonts w:ascii="Times New Roman" w:hAnsi="Times New Roman" w:cs="Times New Roman"/>
          <w:sz w:val="24"/>
          <w:szCs w:val="24"/>
        </w:rPr>
        <w:t>(абзац введен Решением Думы городского округа города Калуги от 03.07.2026 N 133)</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5.5. С целью включения в схему НТО новых мест размещения объектов уполномоченный орган осуществляет следующие действия:</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1) согласование новых мест размещения объектов с ресурсоснабжающими организациями (субъектами, в ведении которых находятся инженерные сети), за исключением мест размещения объектов сезонной торговли, мест размещения объектов развозной и мобильной торговли;</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2) согласование новых мест размещения объектов на заседании комиссии по размещению нестационарных торговых объектов на территории города Калуги;</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3) разработку проекта внесения изменений в схему НТО;</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4) обеспечивает прохождение проекта внесения изменений в схему НТО процедуры оценки регулирующего воздействия в соответствии с постановлением Городской Управы города Калуги от 19.12.2014 N 427-п "О порядке проведения оценки регулирующего воздействия проектов нормативных правовых актов муниципального образования "Город Калуга", затрагивающих вопросы осуществления предпринимательской и инвестиционной деятельности".</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Основаниями для отказа во включении в схему НТО заявленных мест размещения объектов являются:</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 нарушения градостроительного, земельного, санитарно-эпидемиологического, экологического, противопожарного законодательства и других установленных законодательством Российской Федерации норм и требований (при наличии информации об указанных нарушениях);</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 представления органов, осуществляющих государственные функции по контролю и надзору, решения судебных органов;</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 реализация муниципальных программ и (или) приоритетных направлений деятельности города Калуги в социально-экономической сфере;</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 использование территории, занимаемой торговым объектом и (или) объектом услуг, для целей, связанных с развитием улично-дорожной сети, размещением объектов благоустройства, стоянок автотранспорта, опор городского уличного освещения и (или) прочих муниципальных объектов, в том числе остановок городского общественного транспорта, оборудованием бордюров, строительством проездов и (или) проездных путей, и для иных городских целей, определенных в соответствии с документацией о планировке территорий;</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 изъятие земельных участков для государственных или муниципальных нужд;</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 принятие решений о развитии территории, изменении градостроительных регламентов в отношении территории, на которой находится торговый объект;</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 отказ в согласовании мест размещения НТО ресурсоснабжающими организациями (субъектами, в ведении которых находятся инженерные сети), за исключением мест размещения объектов сезонной торговли, мест размещения объектов развозной и мобильной торговли;</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 отказ в согласовании мест размещения НТО на заседании комиссии по размещению нестационарных торговых объектов на территории города Калуги.</w:t>
      </w:r>
    </w:p>
    <w:p w:rsidR="003D2BE1" w:rsidRPr="003D2BE1" w:rsidRDefault="003D2BE1">
      <w:pPr>
        <w:pStyle w:val="ConsPlusNormal"/>
        <w:spacing w:before="220"/>
        <w:ind w:firstLine="540"/>
        <w:jc w:val="both"/>
        <w:rPr>
          <w:rFonts w:ascii="Times New Roman" w:hAnsi="Times New Roman" w:cs="Times New Roman"/>
          <w:sz w:val="24"/>
          <w:szCs w:val="24"/>
        </w:rPr>
      </w:pPr>
      <w:r w:rsidRPr="003D2BE1">
        <w:rPr>
          <w:rFonts w:ascii="Times New Roman" w:hAnsi="Times New Roman" w:cs="Times New Roman"/>
          <w:sz w:val="24"/>
          <w:szCs w:val="24"/>
        </w:rPr>
        <w:t>5.6. Утвержденные изменения (дополнения) в схему НТО подлежат опубликованию в официальном издании и на официальном сайте администрации.</w:t>
      </w:r>
    </w:p>
    <w:p w:rsidR="003D2BE1" w:rsidRPr="003D2BE1" w:rsidRDefault="003D2BE1">
      <w:pPr>
        <w:pStyle w:val="ConsPlusNormal"/>
        <w:jc w:val="both"/>
        <w:rPr>
          <w:rFonts w:ascii="Times New Roman" w:hAnsi="Times New Roman" w:cs="Times New Roman"/>
          <w:sz w:val="24"/>
          <w:szCs w:val="24"/>
        </w:rPr>
      </w:pPr>
    </w:p>
    <w:p w:rsidR="003D2BE1" w:rsidRPr="003D2BE1" w:rsidRDefault="003D2BE1">
      <w:pPr>
        <w:pStyle w:val="ConsPlusNormal"/>
        <w:jc w:val="both"/>
        <w:rPr>
          <w:rFonts w:ascii="Times New Roman" w:hAnsi="Times New Roman" w:cs="Times New Roman"/>
          <w:sz w:val="24"/>
          <w:szCs w:val="24"/>
        </w:rPr>
      </w:pPr>
    </w:p>
    <w:p w:rsidR="003D2BE1" w:rsidRPr="003D2BE1" w:rsidRDefault="003D2BE1">
      <w:pPr>
        <w:pStyle w:val="ConsPlusNormal"/>
        <w:jc w:val="both"/>
        <w:rPr>
          <w:rFonts w:ascii="Times New Roman" w:hAnsi="Times New Roman" w:cs="Times New Roman"/>
          <w:sz w:val="24"/>
          <w:szCs w:val="24"/>
        </w:rPr>
      </w:pPr>
    </w:p>
    <w:p w:rsidR="003D2BE1" w:rsidRPr="003D2BE1" w:rsidRDefault="003D2BE1">
      <w:pPr>
        <w:pStyle w:val="ConsPlusNormal"/>
        <w:jc w:val="both"/>
        <w:rPr>
          <w:rFonts w:ascii="Times New Roman" w:hAnsi="Times New Roman" w:cs="Times New Roman"/>
          <w:sz w:val="24"/>
          <w:szCs w:val="24"/>
        </w:rPr>
      </w:pPr>
    </w:p>
    <w:p w:rsidR="003D2BE1" w:rsidRPr="003D2BE1" w:rsidRDefault="003D2BE1">
      <w:pPr>
        <w:pStyle w:val="ConsPlusNormal"/>
        <w:jc w:val="both"/>
        <w:rPr>
          <w:rFonts w:ascii="Times New Roman" w:hAnsi="Times New Roman" w:cs="Times New Roman"/>
          <w:sz w:val="24"/>
          <w:szCs w:val="24"/>
        </w:rPr>
      </w:pPr>
    </w:p>
    <w:p w:rsidR="003D2BE1" w:rsidRPr="003D2BE1" w:rsidRDefault="003D2BE1">
      <w:pPr>
        <w:pStyle w:val="ConsPlusNormal"/>
        <w:jc w:val="right"/>
        <w:outlineLvl w:val="1"/>
        <w:rPr>
          <w:rFonts w:ascii="Times New Roman" w:hAnsi="Times New Roman" w:cs="Times New Roman"/>
          <w:sz w:val="24"/>
          <w:szCs w:val="24"/>
        </w:rPr>
      </w:pPr>
      <w:r w:rsidRPr="003D2BE1">
        <w:rPr>
          <w:rFonts w:ascii="Times New Roman" w:hAnsi="Times New Roman" w:cs="Times New Roman"/>
          <w:sz w:val="24"/>
          <w:szCs w:val="24"/>
        </w:rPr>
        <w:t>Приложение</w:t>
      </w:r>
    </w:p>
    <w:p w:rsidR="003D2BE1" w:rsidRPr="003D2BE1" w:rsidRDefault="003D2BE1">
      <w:pPr>
        <w:pStyle w:val="ConsPlusNormal"/>
        <w:jc w:val="right"/>
        <w:rPr>
          <w:rFonts w:ascii="Times New Roman" w:hAnsi="Times New Roman" w:cs="Times New Roman"/>
          <w:sz w:val="24"/>
          <w:szCs w:val="24"/>
        </w:rPr>
      </w:pPr>
      <w:r w:rsidRPr="003D2BE1">
        <w:rPr>
          <w:rFonts w:ascii="Times New Roman" w:hAnsi="Times New Roman" w:cs="Times New Roman"/>
          <w:sz w:val="24"/>
          <w:szCs w:val="24"/>
        </w:rPr>
        <w:t>к Положению</w:t>
      </w:r>
    </w:p>
    <w:p w:rsidR="003D2BE1" w:rsidRPr="003D2BE1" w:rsidRDefault="003D2BE1">
      <w:pPr>
        <w:pStyle w:val="ConsPlusNormal"/>
        <w:jc w:val="right"/>
        <w:rPr>
          <w:rFonts w:ascii="Times New Roman" w:hAnsi="Times New Roman" w:cs="Times New Roman"/>
          <w:sz w:val="24"/>
          <w:szCs w:val="24"/>
        </w:rPr>
      </w:pPr>
      <w:r w:rsidRPr="003D2BE1">
        <w:rPr>
          <w:rFonts w:ascii="Times New Roman" w:hAnsi="Times New Roman" w:cs="Times New Roman"/>
          <w:sz w:val="24"/>
          <w:szCs w:val="24"/>
        </w:rPr>
        <w:t>о порядке размещения нестационарных</w:t>
      </w:r>
    </w:p>
    <w:p w:rsidR="003D2BE1" w:rsidRPr="003D2BE1" w:rsidRDefault="003D2BE1">
      <w:pPr>
        <w:pStyle w:val="ConsPlusNormal"/>
        <w:jc w:val="right"/>
        <w:rPr>
          <w:rFonts w:ascii="Times New Roman" w:hAnsi="Times New Roman" w:cs="Times New Roman"/>
          <w:sz w:val="24"/>
          <w:szCs w:val="24"/>
        </w:rPr>
      </w:pPr>
      <w:r w:rsidRPr="003D2BE1">
        <w:rPr>
          <w:rFonts w:ascii="Times New Roman" w:hAnsi="Times New Roman" w:cs="Times New Roman"/>
          <w:sz w:val="24"/>
          <w:szCs w:val="24"/>
        </w:rPr>
        <w:t>торговых объектов на территории</w:t>
      </w:r>
    </w:p>
    <w:p w:rsidR="003D2BE1" w:rsidRPr="003D2BE1" w:rsidRDefault="003D2BE1">
      <w:pPr>
        <w:pStyle w:val="ConsPlusNormal"/>
        <w:jc w:val="right"/>
        <w:rPr>
          <w:rFonts w:ascii="Times New Roman" w:hAnsi="Times New Roman" w:cs="Times New Roman"/>
          <w:sz w:val="24"/>
          <w:szCs w:val="24"/>
        </w:rPr>
      </w:pPr>
      <w:r w:rsidRPr="003D2BE1">
        <w:rPr>
          <w:rFonts w:ascii="Times New Roman" w:hAnsi="Times New Roman" w:cs="Times New Roman"/>
          <w:sz w:val="24"/>
          <w:szCs w:val="24"/>
        </w:rPr>
        <w:t>городского округа города Калуги</w:t>
      </w:r>
    </w:p>
    <w:p w:rsidR="003D2BE1" w:rsidRPr="003D2BE1" w:rsidRDefault="003D2BE1">
      <w:pPr>
        <w:pStyle w:val="ConsPlusNormal"/>
        <w:jc w:val="right"/>
        <w:rPr>
          <w:rFonts w:ascii="Times New Roman" w:hAnsi="Times New Roman" w:cs="Times New Roman"/>
          <w:sz w:val="24"/>
          <w:szCs w:val="24"/>
        </w:rPr>
      </w:pPr>
      <w:r w:rsidRPr="003D2BE1">
        <w:rPr>
          <w:rFonts w:ascii="Times New Roman" w:hAnsi="Times New Roman" w:cs="Times New Roman"/>
          <w:sz w:val="24"/>
          <w:szCs w:val="24"/>
        </w:rPr>
        <w:t>Калужской области</w:t>
      </w:r>
    </w:p>
    <w:p w:rsidR="003D2BE1" w:rsidRPr="003D2BE1" w:rsidRDefault="003D2BE1">
      <w:pPr>
        <w:pStyle w:val="ConsPlusNormal"/>
        <w:jc w:val="both"/>
        <w:rPr>
          <w:rFonts w:ascii="Times New Roman" w:hAnsi="Times New Roman" w:cs="Times New Roman"/>
          <w:sz w:val="24"/>
          <w:szCs w:val="24"/>
        </w:rPr>
      </w:pPr>
    </w:p>
    <w:p w:rsidR="003D2BE1" w:rsidRPr="003D2BE1" w:rsidRDefault="003D2BE1">
      <w:pPr>
        <w:pStyle w:val="ConsPlusNormal"/>
        <w:jc w:val="center"/>
        <w:rPr>
          <w:rFonts w:ascii="Times New Roman" w:hAnsi="Times New Roman" w:cs="Times New Roman"/>
          <w:sz w:val="24"/>
          <w:szCs w:val="24"/>
        </w:rPr>
      </w:pPr>
      <w:bookmarkStart w:id="18" w:name="P316"/>
      <w:bookmarkEnd w:id="18"/>
      <w:r w:rsidRPr="003D2BE1">
        <w:rPr>
          <w:rFonts w:ascii="Times New Roman" w:hAnsi="Times New Roman" w:cs="Times New Roman"/>
          <w:sz w:val="24"/>
          <w:szCs w:val="24"/>
        </w:rPr>
        <w:t>СХЕМА</w:t>
      </w:r>
    </w:p>
    <w:p w:rsidR="003D2BE1" w:rsidRPr="003D2BE1" w:rsidRDefault="003D2BE1">
      <w:pPr>
        <w:pStyle w:val="ConsPlusNormal"/>
        <w:jc w:val="center"/>
        <w:rPr>
          <w:rFonts w:ascii="Times New Roman" w:hAnsi="Times New Roman" w:cs="Times New Roman"/>
          <w:sz w:val="24"/>
          <w:szCs w:val="24"/>
        </w:rPr>
      </w:pPr>
      <w:r w:rsidRPr="003D2BE1">
        <w:rPr>
          <w:rFonts w:ascii="Times New Roman" w:hAnsi="Times New Roman" w:cs="Times New Roman"/>
          <w:sz w:val="24"/>
          <w:szCs w:val="24"/>
        </w:rPr>
        <w:t>РАЗМЕЩЕНИЯ НЕСТАЦИОНАРНЫХ ТОРГОВЫХ ОБЪЕКТОВ НА ТЕРРИТОРИИ</w:t>
      </w:r>
    </w:p>
    <w:p w:rsidR="003D2BE1" w:rsidRPr="003D2BE1" w:rsidRDefault="003D2BE1">
      <w:pPr>
        <w:pStyle w:val="ConsPlusNormal"/>
        <w:jc w:val="center"/>
        <w:rPr>
          <w:rFonts w:ascii="Times New Roman" w:hAnsi="Times New Roman" w:cs="Times New Roman"/>
          <w:sz w:val="24"/>
          <w:szCs w:val="24"/>
        </w:rPr>
      </w:pPr>
      <w:r w:rsidRPr="003D2BE1">
        <w:rPr>
          <w:rFonts w:ascii="Times New Roman" w:hAnsi="Times New Roman" w:cs="Times New Roman"/>
          <w:sz w:val="24"/>
          <w:szCs w:val="24"/>
        </w:rPr>
        <w:t>ГОРОДСКОГО ОКРУГА ГОРОДА КАЛУГИ КАЛУЖСКОЙ ОБЛАСТИ</w:t>
      </w:r>
    </w:p>
    <w:p w:rsidR="003D2BE1" w:rsidRPr="003D2BE1" w:rsidRDefault="003D2BE1">
      <w:pPr>
        <w:pStyle w:val="ConsPlusNormal"/>
        <w:jc w:val="both"/>
        <w:rPr>
          <w:rFonts w:ascii="Times New Roman" w:hAnsi="Times New Roman" w:cs="Times New Roman"/>
          <w:sz w:val="24"/>
          <w:szCs w:val="24"/>
        </w:rPr>
      </w:pPr>
    </w:p>
    <w:p w:rsidR="003D2BE1" w:rsidRPr="003D2BE1" w:rsidRDefault="003D2BE1">
      <w:pPr>
        <w:pStyle w:val="ConsPlusNormal"/>
        <w:rPr>
          <w:rFonts w:ascii="Times New Roman" w:hAnsi="Times New Roman" w:cs="Times New Roman"/>
          <w:sz w:val="24"/>
          <w:szCs w:val="24"/>
        </w:rPr>
        <w:sectPr w:rsidR="003D2BE1" w:rsidRPr="003D2BE1" w:rsidSect="00E67940">
          <w:pgSz w:w="11906" w:h="16838"/>
          <w:pgMar w:top="1134" w:right="850" w:bottom="1134" w:left="1701" w:header="708" w:footer="708"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288"/>
        <w:gridCol w:w="755"/>
        <w:gridCol w:w="676"/>
        <w:gridCol w:w="639"/>
        <w:gridCol w:w="601"/>
        <w:gridCol w:w="446"/>
        <w:gridCol w:w="601"/>
        <w:gridCol w:w="801"/>
        <w:gridCol w:w="720"/>
        <w:gridCol w:w="860"/>
        <w:gridCol w:w="611"/>
        <w:gridCol w:w="596"/>
        <w:gridCol w:w="601"/>
        <w:gridCol w:w="405"/>
        <w:gridCol w:w="785"/>
        <w:gridCol w:w="683"/>
        <w:gridCol w:w="683"/>
        <w:gridCol w:w="522"/>
        <w:gridCol w:w="908"/>
        <w:gridCol w:w="920"/>
        <w:gridCol w:w="1003"/>
        <w:gridCol w:w="683"/>
        <w:gridCol w:w="491"/>
        <w:gridCol w:w="756"/>
      </w:tblGrid>
      <w:tr w:rsidR="003D2BE1" w:rsidRPr="003D2BE1">
        <w:tc>
          <w:tcPr>
            <w:tcW w:w="444" w:type="dxa"/>
            <w:vMerge w:val="restart"/>
          </w:tcPr>
          <w:p w:rsidR="003D2BE1" w:rsidRPr="003D2BE1" w:rsidRDefault="003D2BE1">
            <w:pPr>
              <w:pStyle w:val="ConsPlusNormal"/>
              <w:jc w:val="center"/>
              <w:rPr>
                <w:rFonts w:ascii="Times New Roman" w:hAnsi="Times New Roman" w:cs="Times New Roman"/>
                <w:sz w:val="24"/>
                <w:szCs w:val="24"/>
              </w:rPr>
            </w:pPr>
            <w:r w:rsidRPr="003D2BE1">
              <w:rPr>
                <w:rFonts w:ascii="Times New Roman" w:hAnsi="Times New Roman" w:cs="Times New Roman"/>
                <w:sz w:val="24"/>
                <w:szCs w:val="24"/>
              </w:rPr>
              <w:t>N п/п</w:t>
            </w:r>
          </w:p>
        </w:tc>
        <w:tc>
          <w:tcPr>
            <w:tcW w:w="1361" w:type="dxa"/>
            <w:vMerge w:val="restart"/>
          </w:tcPr>
          <w:p w:rsidR="003D2BE1" w:rsidRPr="003D2BE1" w:rsidRDefault="003D2BE1">
            <w:pPr>
              <w:pStyle w:val="ConsPlusNormal"/>
              <w:jc w:val="center"/>
              <w:rPr>
                <w:rFonts w:ascii="Times New Roman" w:hAnsi="Times New Roman" w:cs="Times New Roman"/>
                <w:sz w:val="24"/>
                <w:szCs w:val="24"/>
              </w:rPr>
            </w:pPr>
            <w:r w:rsidRPr="003D2BE1">
              <w:rPr>
                <w:rFonts w:ascii="Times New Roman" w:hAnsi="Times New Roman" w:cs="Times New Roman"/>
                <w:sz w:val="24"/>
                <w:szCs w:val="24"/>
              </w:rPr>
              <w:t>Место нахождения НТО (адресный ориентир)</w:t>
            </w:r>
          </w:p>
        </w:tc>
        <w:tc>
          <w:tcPr>
            <w:tcW w:w="850" w:type="dxa"/>
            <w:vMerge w:val="restart"/>
          </w:tcPr>
          <w:p w:rsidR="003D2BE1" w:rsidRPr="003D2BE1" w:rsidRDefault="003D2BE1">
            <w:pPr>
              <w:pStyle w:val="ConsPlusNormal"/>
              <w:jc w:val="center"/>
              <w:rPr>
                <w:rFonts w:ascii="Times New Roman" w:hAnsi="Times New Roman" w:cs="Times New Roman"/>
                <w:sz w:val="24"/>
                <w:szCs w:val="24"/>
              </w:rPr>
            </w:pPr>
            <w:r w:rsidRPr="003D2BE1">
              <w:rPr>
                <w:rFonts w:ascii="Times New Roman" w:hAnsi="Times New Roman" w:cs="Times New Roman"/>
                <w:sz w:val="24"/>
                <w:szCs w:val="24"/>
              </w:rPr>
              <w:t>Кол-во НТО по адресному ориентиру</w:t>
            </w:r>
          </w:p>
        </w:tc>
        <w:tc>
          <w:tcPr>
            <w:tcW w:w="9808" w:type="dxa"/>
            <w:gridSpan w:val="11"/>
          </w:tcPr>
          <w:p w:rsidR="003D2BE1" w:rsidRPr="003D2BE1" w:rsidRDefault="003D2BE1">
            <w:pPr>
              <w:pStyle w:val="ConsPlusNormal"/>
              <w:jc w:val="center"/>
              <w:rPr>
                <w:rFonts w:ascii="Times New Roman" w:hAnsi="Times New Roman" w:cs="Times New Roman"/>
                <w:sz w:val="24"/>
                <w:szCs w:val="24"/>
              </w:rPr>
            </w:pPr>
            <w:r w:rsidRPr="003D2BE1">
              <w:rPr>
                <w:rFonts w:ascii="Times New Roman" w:hAnsi="Times New Roman" w:cs="Times New Roman"/>
                <w:sz w:val="24"/>
                <w:szCs w:val="24"/>
              </w:rPr>
              <w:t>Тип НТО</w:t>
            </w:r>
          </w:p>
        </w:tc>
        <w:tc>
          <w:tcPr>
            <w:tcW w:w="964" w:type="dxa"/>
          </w:tcPr>
          <w:p w:rsidR="003D2BE1" w:rsidRPr="003D2BE1" w:rsidRDefault="003D2BE1">
            <w:pPr>
              <w:pStyle w:val="ConsPlusNormal"/>
              <w:jc w:val="center"/>
              <w:rPr>
                <w:rFonts w:ascii="Times New Roman" w:hAnsi="Times New Roman" w:cs="Times New Roman"/>
                <w:sz w:val="24"/>
                <w:szCs w:val="24"/>
              </w:rPr>
            </w:pPr>
            <w:r w:rsidRPr="003D2BE1">
              <w:rPr>
                <w:rFonts w:ascii="Times New Roman" w:hAnsi="Times New Roman" w:cs="Times New Roman"/>
                <w:sz w:val="24"/>
                <w:szCs w:val="24"/>
              </w:rPr>
              <w:t>Группа товаров</w:t>
            </w:r>
          </w:p>
        </w:tc>
        <w:tc>
          <w:tcPr>
            <w:tcW w:w="7258" w:type="dxa"/>
            <w:gridSpan w:val="8"/>
          </w:tcPr>
          <w:p w:rsidR="003D2BE1" w:rsidRPr="003D2BE1" w:rsidRDefault="003D2BE1">
            <w:pPr>
              <w:pStyle w:val="ConsPlusNormal"/>
              <w:rPr>
                <w:rFonts w:ascii="Times New Roman" w:hAnsi="Times New Roman" w:cs="Times New Roman"/>
                <w:sz w:val="24"/>
                <w:szCs w:val="24"/>
              </w:rPr>
            </w:pPr>
          </w:p>
        </w:tc>
        <w:tc>
          <w:tcPr>
            <w:tcW w:w="794" w:type="dxa"/>
            <w:vMerge w:val="restart"/>
          </w:tcPr>
          <w:p w:rsidR="003D2BE1" w:rsidRPr="003D2BE1" w:rsidRDefault="003D2BE1">
            <w:pPr>
              <w:pStyle w:val="ConsPlusNormal"/>
              <w:jc w:val="center"/>
              <w:rPr>
                <w:rFonts w:ascii="Times New Roman" w:hAnsi="Times New Roman" w:cs="Times New Roman"/>
                <w:sz w:val="24"/>
                <w:szCs w:val="24"/>
              </w:rPr>
            </w:pPr>
            <w:r w:rsidRPr="003D2BE1">
              <w:rPr>
                <w:rFonts w:ascii="Times New Roman" w:hAnsi="Times New Roman" w:cs="Times New Roman"/>
                <w:sz w:val="24"/>
                <w:szCs w:val="24"/>
              </w:rPr>
              <w:t>Срок размещения НТО</w:t>
            </w:r>
          </w:p>
        </w:tc>
      </w:tr>
      <w:tr w:rsidR="003D2BE1" w:rsidRPr="003D2BE1">
        <w:tc>
          <w:tcPr>
            <w:tcW w:w="0" w:type="auto"/>
            <w:vMerge/>
          </w:tcPr>
          <w:p w:rsidR="003D2BE1" w:rsidRPr="003D2BE1" w:rsidRDefault="003D2BE1">
            <w:pPr>
              <w:pStyle w:val="ConsPlusNormal"/>
              <w:rPr>
                <w:rFonts w:ascii="Times New Roman" w:hAnsi="Times New Roman" w:cs="Times New Roman"/>
                <w:sz w:val="24"/>
                <w:szCs w:val="24"/>
              </w:rPr>
            </w:pPr>
          </w:p>
        </w:tc>
        <w:tc>
          <w:tcPr>
            <w:tcW w:w="0" w:type="auto"/>
            <w:vMerge/>
          </w:tcPr>
          <w:p w:rsidR="003D2BE1" w:rsidRPr="003D2BE1" w:rsidRDefault="003D2BE1">
            <w:pPr>
              <w:pStyle w:val="ConsPlusNormal"/>
              <w:rPr>
                <w:rFonts w:ascii="Times New Roman" w:hAnsi="Times New Roman" w:cs="Times New Roman"/>
                <w:sz w:val="24"/>
                <w:szCs w:val="24"/>
              </w:rPr>
            </w:pPr>
          </w:p>
        </w:tc>
        <w:tc>
          <w:tcPr>
            <w:tcW w:w="0" w:type="auto"/>
            <w:vMerge/>
          </w:tcPr>
          <w:p w:rsidR="003D2BE1" w:rsidRPr="003D2BE1" w:rsidRDefault="003D2BE1">
            <w:pPr>
              <w:pStyle w:val="ConsPlusNormal"/>
              <w:rPr>
                <w:rFonts w:ascii="Times New Roman" w:hAnsi="Times New Roman" w:cs="Times New Roman"/>
                <w:sz w:val="24"/>
                <w:szCs w:val="24"/>
              </w:rPr>
            </w:pPr>
          </w:p>
        </w:tc>
        <w:tc>
          <w:tcPr>
            <w:tcW w:w="794" w:type="dxa"/>
          </w:tcPr>
          <w:p w:rsidR="003D2BE1" w:rsidRPr="003D2BE1" w:rsidRDefault="003D2BE1">
            <w:pPr>
              <w:pStyle w:val="ConsPlusNormal"/>
              <w:jc w:val="center"/>
              <w:rPr>
                <w:rFonts w:ascii="Times New Roman" w:hAnsi="Times New Roman" w:cs="Times New Roman"/>
                <w:sz w:val="24"/>
                <w:szCs w:val="24"/>
              </w:rPr>
            </w:pPr>
            <w:r w:rsidRPr="003D2BE1">
              <w:rPr>
                <w:rFonts w:ascii="Times New Roman" w:hAnsi="Times New Roman" w:cs="Times New Roman"/>
                <w:sz w:val="24"/>
                <w:szCs w:val="24"/>
              </w:rPr>
              <w:t>Торговый павильон</w:t>
            </w:r>
          </w:p>
        </w:tc>
        <w:tc>
          <w:tcPr>
            <w:tcW w:w="737" w:type="dxa"/>
          </w:tcPr>
          <w:p w:rsidR="003D2BE1" w:rsidRPr="003D2BE1" w:rsidRDefault="003D2BE1">
            <w:pPr>
              <w:pStyle w:val="ConsPlusNormal"/>
              <w:jc w:val="center"/>
              <w:rPr>
                <w:rFonts w:ascii="Times New Roman" w:hAnsi="Times New Roman" w:cs="Times New Roman"/>
                <w:sz w:val="24"/>
                <w:szCs w:val="24"/>
              </w:rPr>
            </w:pPr>
            <w:r w:rsidRPr="003D2BE1">
              <w:rPr>
                <w:rFonts w:ascii="Times New Roman" w:hAnsi="Times New Roman" w:cs="Times New Roman"/>
                <w:sz w:val="24"/>
                <w:szCs w:val="24"/>
              </w:rPr>
              <w:t>Торговая палатка</w:t>
            </w:r>
          </w:p>
        </w:tc>
        <w:tc>
          <w:tcPr>
            <w:tcW w:w="850" w:type="dxa"/>
          </w:tcPr>
          <w:p w:rsidR="003D2BE1" w:rsidRPr="003D2BE1" w:rsidRDefault="003D2BE1">
            <w:pPr>
              <w:pStyle w:val="ConsPlusNormal"/>
              <w:jc w:val="center"/>
              <w:rPr>
                <w:rFonts w:ascii="Times New Roman" w:hAnsi="Times New Roman" w:cs="Times New Roman"/>
                <w:sz w:val="24"/>
                <w:szCs w:val="24"/>
              </w:rPr>
            </w:pPr>
            <w:r w:rsidRPr="003D2BE1">
              <w:rPr>
                <w:rFonts w:ascii="Times New Roman" w:hAnsi="Times New Roman" w:cs="Times New Roman"/>
                <w:sz w:val="24"/>
                <w:szCs w:val="24"/>
              </w:rPr>
              <w:t>Киоск</w:t>
            </w:r>
          </w:p>
        </w:tc>
        <w:tc>
          <w:tcPr>
            <w:tcW w:w="794" w:type="dxa"/>
          </w:tcPr>
          <w:p w:rsidR="003D2BE1" w:rsidRPr="003D2BE1" w:rsidRDefault="003D2BE1">
            <w:pPr>
              <w:pStyle w:val="ConsPlusNormal"/>
              <w:jc w:val="center"/>
              <w:rPr>
                <w:rFonts w:ascii="Times New Roman" w:hAnsi="Times New Roman" w:cs="Times New Roman"/>
                <w:sz w:val="24"/>
                <w:szCs w:val="24"/>
              </w:rPr>
            </w:pPr>
            <w:r w:rsidRPr="003D2BE1">
              <w:rPr>
                <w:rFonts w:ascii="Times New Roman" w:hAnsi="Times New Roman" w:cs="Times New Roman"/>
                <w:sz w:val="24"/>
                <w:szCs w:val="24"/>
              </w:rPr>
              <w:t>Торговая галерея</w:t>
            </w:r>
          </w:p>
        </w:tc>
        <w:tc>
          <w:tcPr>
            <w:tcW w:w="1531" w:type="dxa"/>
          </w:tcPr>
          <w:p w:rsidR="003D2BE1" w:rsidRPr="003D2BE1" w:rsidRDefault="003D2BE1">
            <w:pPr>
              <w:pStyle w:val="ConsPlusNormal"/>
              <w:jc w:val="center"/>
              <w:rPr>
                <w:rFonts w:ascii="Times New Roman" w:hAnsi="Times New Roman" w:cs="Times New Roman"/>
                <w:sz w:val="24"/>
                <w:szCs w:val="24"/>
              </w:rPr>
            </w:pPr>
            <w:r w:rsidRPr="003D2BE1">
              <w:rPr>
                <w:rFonts w:ascii="Times New Roman" w:hAnsi="Times New Roman" w:cs="Times New Roman"/>
                <w:sz w:val="24"/>
                <w:szCs w:val="24"/>
              </w:rPr>
              <w:t>Автомагазин (торговый автофургон, автолавка)</w:t>
            </w:r>
          </w:p>
        </w:tc>
        <w:tc>
          <w:tcPr>
            <w:tcW w:w="1191" w:type="dxa"/>
          </w:tcPr>
          <w:p w:rsidR="003D2BE1" w:rsidRPr="003D2BE1" w:rsidRDefault="003D2BE1">
            <w:pPr>
              <w:pStyle w:val="ConsPlusNormal"/>
              <w:jc w:val="center"/>
              <w:rPr>
                <w:rFonts w:ascii="Times New Roman" w:hAnsi="Times New Roman" w:cs="Times New Roman"/>
                <w:sz w:val="24"/>
                <w:szCs w:val="24"/>
              </w:rPr>
            </w:pPr>
            <w:r w:rsidRPr="003D2BE1">
              <w:rPr>
                <w:rFonts w:ascii="Times New Roman" w:hAnsi="Times New Roman" w:cs="Times New Roman"/>
                <w:sz w:val="24"/>
                <w:szCs w:val="24"/>
              </w:rPr>
              <w:t>Автомат, объект реализации питьевой воды в розлив</w:t>
            </w:r>
          </w:p>
        </w:tc>
        <w:tc>
          <w:tcPr>
            <w:tcW w:w="907" w:type="dxa"/>
          </w:tcPr>
          <w:p w:rsidR="003D2BE1" w:rsidRPr="003D2BE1" w:rsidRDefault="003D2BE1">
            <w:pPr>
              <w:pStyle w:val="ConsPlusNormal"/>
              <w:jc w:val="center"/>
              <w:rPr>
                <w:rFonts w:ascii="Times New Roman" w:hAnsi="Times New Roman" w:cs="Times New Roman"/>
                <w:sz w:val="24"/>
                <w:szCs w:val="24"/>
              </w:rPr>
            </w:pPr>
            <w:r w:rsidRPr="003D2BE1">
              <w:rPr>
                <w:rFonts w:ascii="Times New Roman" w:hAnsi="Times New Roman" w:cs="Times New Roman"/>
                <w:sz w:val="24"/>
                <w:szCs w:val="24"/>
              </w:rPr>
              <w:t>Автоцистерна</w:t>
            </w:r>
          </w:p>
        </w:tc>
        <w:tc>
          <w:tcPr>
            <w:tcW w:w="850" w:type="dxa"/>
          </w:tcPr>
          <w:p w:rsidR="003D2BE1" w:rsidRPr="003D2BE1" w:rsidRDefault="003D2BE1">
            <w:pPr>
              <w:pStyle w:val="ConsPlusNormal"/>
              <w:jc w:val="center"/>
              <w:rPr>
                <w:rFonts w:ascii="Times New Roman" w:hAnsi="Times New Roman" w:cs="Times New Roman"/>
                <w:sz w:val="24"/>
                <w:szCs w:val="24"/>
              </w:rPr>
            </w:pPr>
            <w:r w:rsidRPr="003D2BE1">
              <w:rPr>
                <w:rFonts w:ascii="Times New Roman" w:hAnsi="Times New Roman" w:cs="Times New Roman"/>
                <w:sz w:val="24"/>
                <w:szCs w:val="24"/>
              </w:rPr>
              <w:t>Бахчевой развал</w:t>
            </w:r>
          </w:p>
        </w:tc>
        <w:tc>
          <w:tcPr>
            <w:tcW w:w="737" w:type="dxa"/>
          </w:tcPr>
          <w:p w:rsidR="003D2BE1" w:rsidRPr="003D2BE1" w:rsidRDefault="003D2BE1">
            <w:pPr>
              <w:pStyle w:val="ConsPlusNormal"/>
              <w:jc w:val="center"/>
              <w:rPr>
                <w:rFonts w:ascii="Times New Roman" w:hAnsi="Times New Roman" w:cs="Times New Roman"/>
                <w:sz w:val="24"/>
                <w:szCs w:val="24"/>
              </w:rPr>
            </w:pPr>
            <w:r w:rsidRPr="003D2BE1">
              <w:rPr>
                <w:rFonts w:ascii="Times New Roman" w:hAnsi="Times New Roman" w:cs="Times New Roman"/>
                <w:sz w:val="24"/>
                <w:szCs w:val="24"/>
              </w:rPr>
              <w:t>Елочный базар</w:t>
            </w:r>
          </w:p>
        </w:tc>
        <w:tc>
          <w:tcPr>
            <w:tcW w:w="737" w:type="dxa"/>
          </w:tcPr>
          <w:p w:rsidR="003D2BE1" w:rsidRPr="003D2BE1" w:rsidRDefault="003D2BE1">
            <w:pPr>
              <w:pStyle w:val="ConsPlusNormal"/>
              <w:jc w:val="center"/>
              <w:rPr>
                <w:rFonts w:ascii="Times New Roman" w:hAnsi="Times New Roman" w:cs="Times New Roman"/>
                <w:sz w:val="24"/>
                <w:szCs w:val="24"/>
              </w:rPr>
            </w:pPr>
            <w:r w:rsidRPr="003D2BE1">
              <w:rPr>
                <w:rFonts w:ascii="Times New Roman" w:hAnsi="Times New Roman" w:cs="Times New Roman"/>
                <w:sz w:val="24"/>
                <w:szCs w:val="24"/>
              </w:rPr>
              <w:t>Торговая тележка</w:t>
            </w:r>
          </w:p>
        </w:tc>
        <w:tc>
          <w:tcPr>
            <w:tcW w:w="680" w:type="dxa"/>
          </w:tcPr>
          <w:p w:rsidR="003D2BE1" w:rsidRPr="003D2BE1" w:rsidRDefault="003D2BE1">
            <w:pPr>
              <w:pStyle w:val="ConsPlusNormal"/>
              <w:jc w:val="center"/>
              <w:rPr>
                <w:rFonts w:ascii="Times New Roman" w:hAnsi="Times New Roman" w:cs="Times New Roman"/>
                <w:sz w:val="24"/>
                <w:szCs w:val="24"/>
              </w:rPr>
            </w:pPr>
            <w:r w:rsidRPr="003D2BE1">
              <w:rPr>
                <w:rFonts w:ascii="Times New Roman" w:hAnsi="Times New Roman" w:cs="Times New Roman"/>
                <w:sz w:val="24"/>
                <w:szCs w:val="24"/>
              </w:rPr>
              <w:t>Иной</w:t>
            </w:r>
          </w:p>
        </w:tc>
        <w:tc>
          <w:tcPr>
            <w:tcW w:w="964" w:type="dxa"/>
          </w:tcPr>
          <w:p w:rsidR="003D2BE1" w:rsidRPr="003D2BE1" w:rsidRDefault="003D2BE1">
            <w:pPr>
              <w:pStyle w:val="ConsPlusNormal"/>
              <w:jc w:val="center"/>
              <w:rPr>
                <w:rFonts w:ascii="Times New Roman" w:hAnsi="Times New Roman" w:cs="Times New Roman"/>
                <w:sz w:val="24"/>
                <w:szCs w:val="24"/>
              </w:rPr>
            </w:pPr>
            <w:r w:rsidRPr="003D2BE1">
              <w:rPr>
                <w:rFonts w:ascii="Times New Roman" w:hAnsi="Times New Roman" w:cs="Times New Roman"/>
                <w:sz w:val="24"/>
                <w:szCs w:val="24"/>
              </w:rPr>
              <w:t>Мясо, мясная гастрономия</w:t>
            </w:r>
          </w:p>
        </w:tc>
        <w:tc>
          <w:tcPr>
            <w:tcW w:w="964" w:type="dxa"/>
          </w:tcPr>
          <w:p w:rsidR="003D2BE1" w:rsidRPr="003D2BE1" w:rsidRDefault="003D2BE1">
            <w:pPr>
              <w:pStyle w:val="ConsPlusNormal"/>
              <w:jc w:val="center"/>
              <w:rPr>
                <w:rFonts w:ascii="Times New Roman" w:hAnsi="Times New Roman" w:cs="Times New Roman"/>
                <w:sz w:val="24"/>
                <w:szCs w:val="24"/>
              </w:rPr>
            </w:pPr>
            <w:r w:rsidRPr="003D2BE1">
              <w:rPr>
                <w:rFonts w:ascii="Times New Roman" w:hAnsi="Times New Roman" w:cs="Times New Roman"/>
                <w:sz w:val="24"/>
                <w:szCs w:val="24"/>
              </w:rPr>
              <w:t>Молоко, молочная продукция</w:t>
            </w:r>
          </w:p>
        </w:tc>
        <w:tc>
          <w:tcPr>
            <w:tcW w:w="964" w:type="dxa"/>
          </w:tcPr>
          <w:p w:rsidR="003D2BE1" w:rsidRPr="003D2BE1" w:rsidRDefault="003D2BE1">
            <w:pPr>
              <w:pStyle w:val="ConsPlusNormal"/>
              <w:jc w:val="center"/>
              <w:rPr>
                <w:rFonts w:ascii="Times New Roman" w:hAnsi="Times New Roman" w:cs="Times New Roman"/>
                <w:sz w:val="24"/>
                <w:szCs w:val="24"/>
              </w:rPr>
            </w:pPr>
            <w:r w:rsidRPr="003D2BE1">
              <w:rPr>
                <w:rFonts w:ascii="Times New Roman" w:hAnsi="Times New Roman" w:cs="Times New Roman"/>
                <w:sz w:val="24"/>
                <w:szCs w:val="24"/>
              </w:rPr>
              <w:t>Рыба, рыбная продукция</w:t>
            </w:r>
          </w:p>
        </w:tc>
        <w:tc>
          <w:tcPr>
            <w:tcW w:w="964" w:type="dxa"/>
          </w:tcPr>
          <w:p w:rsidR="003D2BE1" w:rsidRPr="003D2BE1" w:rsidRDefault="003D2BE1">
            <w:pPr>
              <w:pStyle w:val="ConsPlusNormal"/>
              <w:jc w:val="center"/>
              <w:rPr>
                <w:rFonts w:ascii="Times New Roman" w:hAnsi="Times New Roman" w:cs="Times New Roman"/>
                <w:sz w:val="24"/>
                <w:szCs w:val="24"/>
              </w:rPr>
            </w:pPr>
            <w:r w:rsidRPr="003D2BE1">
              <w:rPr>
                <w:rFonts w:ascii="Times New Roman" w:hAnsi="Times New Roman" w:cs="Times New Roman"/>
                <w:sz w:val="24"/>
                <w:szCs w:val="24"/>
              </w:rPr>
              <w:t>Овощи, фрукты и ягоды</w:t>
            </w:r>
          </w:p>
        </w:tc>
        <w:tc>
          <w:tcPr>
            <w:tcW w:w="964" w:type="dxa"/>
          </w:tcPr>
          <w:p w:rsidR="003D2BE1" w:rsidRPr="003D2BE1" w:rsidRDefault="003D2BE1">
            <w:pPr>
              <w:pStyle w:val="ConsPlusNormal"/>
              <w:jc w:val="center"/>
              <w:rPr>
                <w:rFonts w:ascii="Times New Roman" w:hAnsi="Times New Roman" w:cs="Times New Roman"/>
                <w:sz w:val="24"/>
                <w:szCs w:val="24"/>
              </w:rPr>
            </w:pPr>
            <w:r w:rsidRPr="003D2BE1">
              <w:rPr>
                <w:rFonts w:ascii="Times New Roman" w:hAnsi="Times New Roman" w:cs="Times New Roman"/>
                <w:sz w:val="24"/>
                <w:szCs w:val="24"/>
              </w:rPr>
              <w:t>Хлеб, хлебобулочная продукция</w:t>
            </w:r>
          </w:p>
        </w:tc>
        <w:tc>
          <w:tcPr>
            <w:tcW w:w="964" w:type="dxa"/>
          </w:tcPr>
          <w:p w:rsidR="003D2BE1" w:rsidRPr="003D2BE1" w:rsidRDefault="003D2BE1">
            <w:pPr>
              <w:pStyle w:val="ConsPlusNormal"/>
              <w:jc w:val="center"/>
              <w:rPr>
                <w:rFonts w:ascii="Times New Roman" w:hAnsi="Times New Roman" w:cs="Times New Roman"/>
                <w:sz w:val="24"/>
                <w:szCs w:val="24"/>
              </w:rPr>
            </w:pPr>
            <w:r w:rsidRPr="003D2BE1">
              <w:rPr>
                <w:rFonts w:ascii="Times New Roman" w:hAnsi="Times New Roman" w:cs="Times New Roman"/>
                <w:sz w:val="24"/>
                <w:szCs w:val="24"/>
              </w:rPr>
              <w:t>Продукция общественного питания</w:t>
            </w:r>
          </w:p>
        </w:tc>
        <w:tc>
          <w:tcPr>
            <w:tcW w:w="1077" w:type="dxa"/>
          </w:tcPr>
          <w:p w:rsidR="003D2BE1" w:rsidRPr="003D2BE1" w:rsidRDefault="003D2BE1">
            <w:pPr>
              <w:pStyle w:val="ConsPlusNormal"/>
              <w:jc w:val="center"/>
              <w:rPr>
                <w:rFonts w:ascii="Times New Roman" w:hAnsi="Times New Roman" w:cs="Times New Roman"/>
                <w:sz w:val="24"/>
                <w:szCs w:val="24"/>
              </w:rPr>
            </w:pPr>
            <w:r w:rsidRPr="003D2BE1">
              <w:rPr>
                <w:rFonts w:ascii="Times New Roman" w:hAnsi="Times New Roman" w:cs="Times New Roman"/>
                <w:sz w:val="24"/>
                <w:szCs w:val="24"/>
              </w:rPr>
              <w:t>Товары народных художественных промыслов</w:t>
            </w:r>
          </w:p>
        </w:tc>
        <w:tc>
          <w:tcPr>
            <w:tcW w:w="794" w:type="dxa"/>
          </w:tcPr>
          <w:p w:rsidR="003D2BE1" w:rsidRPr="003D2BE1" w:rsidRDefault="003D2BE1">
            <w:pPr>
              <w:pStyle w:val="ConsPlusNormal"/>
              <w:jc w:val="center"/>
              <w:rPr>
                <w:rFonts w:ascii="Times New Roman" w:hAnsi="Times New Roman" w:cs="Times New Roman"/>
                <w:sz w:val="24"/>
                <w:szCs w:val="24"/>
              </w:rPr>
            </w:pPr>
            <w:r w:rsidRPr="003D2BE1">
              <w:rPr>
                <w:rFonts w:ascii="Times New Roman" w:hAnsi="Times New Roman" w:cs="Times New Roman"/>
                <w:sz w:val="24"/>
                <w:szCs w:val="24"/>
              </w:rPr>
              <w:t>Печатная продукция</w:t>
            </w:r>
          </w:p>
        </w:tc>
        <w:tc>
          <w:tcPr>
            <w:tcW w:w="567" w:type="dxa"/>
          </w:tcPr>
          <w:p w:rsidR="003D2BE1" w:rsidRPr="003D2BE1" w:rsidRDefault="003D2BE1">
            <w:pPr>
              <w:pStyle w:val="ConsPlusNormal"/>
              <w:jc w:val="center"/>
              <w:rPr>
                <w:rFonts w:ascii="Times New Roman" w:hAnsi="Times New Roman" w:cs="Times New Roman"/>
                <w:sz w:val="24"/>
                <w:szCs w:val="24"/>
              </w:rPr>
            </w:pPr>
            <w:r w:rsidRPr="003D2BE1">
              <w:rPr>
                <w:rFonts w:ascii="Times New Roman" w:hAnsi="Times New Roman" w:cs="Times New Roman"/>
                <w:sz w:val="24"/>
                <w:szCs w:val="24"/>
              </w:rPr>
              <w:t>Другая</w:t>
            </w:r>
          </w:p>
        </w:tc>
        <w:tc>
          <w:tcPr>
            <w:tcW w:w="0" w:type="auto"/>
            <w:vMerge/>
          </w:tcPr>
          <w:p w:rsidR="003D2BE1" w:rsidRPr="003D2BE1" w:rsidRDefault="003D2BE1">
            <w:pPr>
              <w:pStyle w:val="ConsPlusNormal"/>
              <w:rPr>
                <w:rFonts w:ascii="Times New Roman" w:hAnsi="Times New Roman" w:cs="Times New Roman"/>
                <w:sz w:val="24"/>
                <w:szCs w:val="24"/>
              </w:rPr>
            </w:pPr>
          </w:p>
        </w:tc>
      </w:tr>
      <w:tr w:rsidR="003D2BE1" w:rsidRPr="003D2BE1">
        <w:tc>
          <w:tcPr>
            <w:tcW w:w="444" w:type="dxa"/>
          </w:tcPr>
          <w:p w:rsidR="003D2BE1" w:rsidRPr="003D2BE1" w:rsidRDefault="003D2BE1">
            <w:pPr>
              <w:pStyle w:val="ConsPlusNormal"/>
              <w:jc w:val="center"/>
              <w:rPr>
                <w:rFonts w:ascii="Times New Roman" w:hAnsi="Times New Roman" w:cs="Times New Roman"/>
                <w:sz w:val="24"/>
                <w:szCs w:val="24"/>
              </w:rPr>
            </w:pPr>
            <w:r w:rsidRPr="003D2BE1">
              <w:rPr>
                <w:rFonts w:ascii="Times New Roman" w:hAnsi="Times New Roman" w:cs="Times New Roman"/>
                <w:sz w:val="24"/>
                <w:szCs w:val="24"/>
              </w:rPr>
              <w:t>1</w:t>
            </w:r>
          </w:p>
        </w:tc>
        <w:tc>
          <w:tcPr>
            <w:tcW w:w="1361" w:type="dxa"/>
          </w:tcPr>
          <w:p w:rsidR="003D2BE1" w:rsidRPr="003D2BE1" w:rsidRDefault="003D2BE1">
            <w:pPr>
              <w:pStyle w:val="ConsPlusNormal"/>
              <w:jc w:val="center"/>
              <w:rPr>
                <w:rFonts w:ascii="Times New Roman" w:hAnsi="Times New Roman" w:cs="Times New Roman"/>
                <w:sz w:val="24"/>
                <w:szCs w:val="24"/>
              </w:rPr>
            </w:pPr>
            <w:r w:rsidRPr="003D2BE1">
              <w:rPr>
                <w:rFonts w:ascii="Times New Roman" w:hAnsi="Times New Roman" w:cs="Times New Roman"/>
                <w:sz w:val="24"/>
                <w:szCs w:val="24"/>
              </w:rPr>
              <w:t>2</w:t>
            </w:r>
          </w:p>
        </w:tc>
        <w:tc>
          <w:tcPr>
            <w:tcW w:w="850" w:type="dxa"/>
          </w:tcPr>
          <w:p w:rsidR="003D2BE1" w:rsidRPr="003D2BE1" w:rsidRDefault="003D2BE1">
            <w:pPr>
              <w:pStyle w:val="ConsPlusNormal"/>
              <w:jc w:val="center"/>
              <w:rPr>
                <w:rFonts w:ascii="Times New Roman" w:hAnsi="Times New Roman" w:cs="Times New Roman"/>
                <w:sz w:val="24"/>
                <w:szCs w:val="24"/>
              </w:rPr>
            </w:pPr>
            <w:r w:rsidRPr="003D2BE1">
              <w:rPr>
                <w:rFonts w:ascii="Times New Roman" w:hAnsi="Times New Roman" w:cs="Times New Roman"/>
                <w:sz w:val="24"/>
                <w:szCs w:val="24"/>
              </w:rPr>
              <w:t>3</w:t>
            </w:r>
          </w:p>
        </w:tc>
        <w:tc>
          <w:tcPr>
            <w:tcW w:w="794" w:type="dxa"/>
          </w:tcPr>
          <w:p w:rsidR="003D2BE1" w:rsidRPr="003D2BE1" w:rsidRDefault="003D2BE1">
            <w:pPr>
              <w:pStyle w:val="ConsPlusNormal"/>
              <w:jc w:val="center"/>
              <w:rPr>
                <w:rFonts w:ascii="Times New Roman" w:hAnsi="Times New Roman" w:cs="Times New Roman"/>
                <w:sz w:val="24"/>
                <w:szCs w:val="24"/>
              </w:rPr>
            </w:pPr>
            <w:r w:rsidRPr="003D2BE1">
              <w:rPr>
                <w:rFonts w:ascii="Times New Roman" w:hAnsi="Times New Roman" w:cs="Times New Roman"/>
                <w:sz w:val="24"/>
                <w:szCs w:val="24"/>
              </w:rPr>
              <w:t>4</w:t>
            </w:r>
          </w:p>
        </w:tc>
        <w:tc>
          <w:tcPr>
            <w:tcW w:w="737" w:type="dxa"/>
          </w:tcPr>
          <w:p w:rsidR="003D2BE1" w:rsidRPr="003D2BE1" w:rsidRDefault="003D2BE1">
            <w:pPr>
              <w:pStyle w:val="ConsPlusNormal"/>
              <w:jc w:val="center"/>
              <w:rPr>
                <w:rFonts w:ascii="Times New Roman" w:hAnsi="Times New Roman" w:cs="Times New Roman"/>
                <w:sz w:val="24"/>
                <w:szCs w:val="24"/>
              </w:rPr>
            </w:pPr>
            <w:r w:rsidRPr="003D2BE1">
              <w:rPr>
                <w:rFonts w:ascii="Times New Roman" w:hAnsi="Times New Roman" w:cs="Times New Roman"/>
                <w:sz w:val="24"/>
                <w:szCs w:val="24"/>
              </w:rPr>
              <w:t>5</w:t>
            </w:r>
          </w:p>
        </w:tc>
        <w:tc>
          <w:tcPr>
            <w:tcW w:w="850" w:type="dxa"/>
          </w:tcPr>
          <w:p w:rsidR="003D2BE1" w:rsidRPr="003D2BE1" w:rsidRDefault="003D2BE1">
            <w:pPr>
              <w:pStyle w:val="ConsPlusNormal"/>
              <w:jc w:val="center"/>
              <w:rPr>
                <w:rFonts w:ascii="Times New Roman" w:hAnsi="Times New Roman" w:cs="Times New Roman"/>
                <w:sz w:val="24"/>
                <w:szCs w:val="24"/>
              </w:rPr>
            </w:pPr>
            <w:r w:rsidRPr="003D2BE1">
              <w:rPr>
                <w:rFonts w:ascii="Times New Roman" w:hAnsi="Times New Roman" w:cs="Times New Roman"/>
                <w:sz w:val="24"/>
                <w:szCs w:val="24"/>
              </w:rPr>
              <w:t>6</w:t>
            </w:r>
          </w:p>
        </w:tc>
        <w:tc>
          <w:tcPr>
            <w:tcW w:w="794" w:type="dxa"/>
          </w:tcPr>
          <w:p w:rsidR="003D2BE1" w:rsidRPr="003D2BE1" w:rsidRDefault="003D2BE1">
            <w:pPr>
              <w:pStyle w:val="ConsPlusNormal"/>
              <w:jc w:val="center"/>
              <w:rPr>
                <w:rFonts w:ascii="Times New Roman" w:hAnsi="Times New Roman" w:cs="Times New Roman"/>
                <w:sz w:val="24"/>
                <w:szCs w:val="24"/>
              </w:rPr>
            </w:pPr>
            <w:r w:rsidRPr="003D2BE1">
              <w:rPr>
                <w:rFonts w:ascii="Times New Roman" w:hAnsi="Times New Roman" w:cs="Times New Roman"/>
                <w:sz w:val="24"/>
                <w:szCs w:val="24"/>
              </w:rPr>
              <w:t>7</w:t>
            </w:r>
          </w:p>
        </w:tc>
        <w:tc>
          <w:tcPr>
            <w:tcW w:w="1531" w:type="dxa"/>
          </w:tcPr>
          <w:p w:rsidR="003D2BE1" w:rsidRPr="003D2BE1" w:rsidRDefault="003D2BE1">
            <w:pPr>
              <w:pStyle w:val="ConsPlusNormal"/>
              <w:jc w:val="center"/>
              <w:rPr>
                <w:rFonts w:ascii="Times New Roman" w:hAnsi="Times New Roman" w:cs="Times New Roman"/>
                <w:sz w:val="24"/>
                <w:szCs w:val="24"/>
              </w:rPr>
            </w:pPr>
            <w:r w:rsidRPr="003D2BE1">
              <w:rPr>
                <w:rFonts w:ascii="Times New Roman" w:hAnsi="Times New Roman" w:cs="Times New Roman"/>
                <w:sz w:val="24"/>
                <w:szCs w:val="24"/>
              </w:rPr>
              <w:t>8</w:t>
            </w:r>
          </w:p>
        </w:tc>
        <w:tc>
          <w:tcPr>
            <w:tcW w:w="1191" w:type="dxa"/>
          </w:tcPr>
          <w:p w:rsidR="003D2BE1" w:rsidRPr="003D2BE1" w:rsidRDefault="003D2BE1">
            <w:pPr>
              <w:pStyle w:val="ConsPlusNormal"/>
              <w:jc w:val="center"/>
              <w:rPr>
                <w:rFonts w:ascii="Times New Roman" w:hAnsi="Times New Roman" w:cs="Times New Roman"/>
                <w:sz w:val="24"/>
                <w:szCs w:val="24"/>
              </w:rPr>
            </w:pPr>
            <w:r w:rsidRPr="003D2BE1">
              <w:rPr>
                <w:rFonts w:ascii="Times New Roman" w:hAnsi="Times New Roman" w:cs="Times New Roman"/>
                <w:sz w:val="24"/>
                <w:szCs w:val="24"/>
              </w:rPr>
              <w:t>9</w:t>
            </w:r>
          </w:p>
        </w:tc>
        <w:tc>
          <w:tcPr>
            <w:tcW w:w="907" w:type="dxa"/>
          </w:tcPr>
          <w:p w:rsidR="003D2BE1" w:rsidRPr="003D2BE1" w:rsidRDefault="003D2BE1">
            <w:pPr>
              <w:pStyle w:val="ConsPlusNormal"/>
              <w:jc w:val="center"/>
              <w:rPr>
                <w:rFonts w:ascii="Times New Roman" w:hAnsi="Times New Roman" w:cs="Times New Roman"/>
                <w:sz w:val="24"/>
                <w:szCs w:val="24"/>
              </w:rPr>
            </w:pPr>
            <w:r w:rsidRPr="003D2BE1">
              <w:rPr>
                <w:rFonts w:ascii="Times New Roman" w:hAnsi="Times New Roman" w:cs="Times New Roman"/>
                <w:sz w:val="24"/>
                <w:szCs w:val="24"/>
              </w:rPr>
              <w:t>10</w:t>
            </w:r>
          </w:p>
        </w:tc>
        <w:tc>
          <w:tcPr>
            <w:tcW w:w="850" w:type="dxa"/>
          </w:tcPr>
          <w:p w:rsidR="003D2BE1" w:rsidRPr="003D2BE1" w:rsidRDefault="003D2BE1">
            <w:pPr>
              <w:pStyle w:val="ConsPlusNormal"/>
              <w:jc w:val="center"/>
              <w:rPr>
                <w:rFonts w:ascii="Times New Roman" w:hAnsi="Times New Roman" w:cs="Times New Roman"/>
                <w:sz w:val="24"/>
                <w:szCs w:val="24"/>
              </w:rPr>
            </w:pPr>
            <w:r w:rsidRPr="003D2BE1">
              <w:rPr>
                <w:rFonts w:ascii="Times New Roman" w:hAnsi="Times New Roman" w:cs="Times New Roman"/>
                <w:sz w:val="24"/>
                <w:szCs w:val="24"/>
              </w:rPr>
              <w:t>11</w:t>
            </w:r>
          </w:p>
        </w:tc>
        <w:tc>
          <w:tcPr>
            <w:tcW w:w="737" w:type="dxa"/>
          </w:tcPr>
          <w:p w:rsidR="003D2BE1" w:rsidRPr="003D2BE1" w:rsidRDefault="003D2BE1">
            <w:pPr>
              <w:pStyle w:val="ConsPlusNormal"/>
              <w:jc w:val="center"/>
              <w:rPr>
                <w:rFonts w:ascii="Times New Roman" w:hAnsi="Times New Roman" w:cs="Times New Roman"/>
                <w:sz w:val="24"/>
                <w:szCs w:val="24"/>
              </w:rPr>
            </w:pPr>
            <w:r w:rsidRPr="003D2BE1">
              <w:rPr>
                <w:rFonts w:ascii="Times New Roman" w:hAnsi="Times New Roman" w:cs="Times New Roman"/>
                <w:sz w:val="24"/>
                <w:szCs w:val="24"/>
              </w:rPr>
              <w:t>12</w:t>
            </w:r>
          </w:p>
        </w:tc>
        <w:tc>
          <w:tcPr>
            <w:tcW w:w="737" w:type="dxa"/>
          </w:tcPr>
          <w:p w:rsidR="003D2BE1" w:rsidRPr="003D2BE1" w:rsidRDefault="003D2BE1">
            <w:pPr>
              <w:pStyle w:val="ConsPlusNormal"/>
              <w:jc w:val="center"/>
              <w:rPr>
                <w:rFonts w:ascii="Times New Roman" w:hAnsi="Times New Roman" w:cs="Times New Roman"/>
                <w:sz w:val="24"/>
                <w:szCs w:val="24"/>
              </w:rPr>
            </w:pPr>
            <w:r w:rsidRPr="003D2BE1">
              <w:rPr>
                <w:rFonts w:ascii="Times New Roman" w:hAnsi="Times New Roman" w:cs="Times New Roman"/>
                <w:sz w:val="24"/>
                <w:szCs w:val="24"/>
              </w:rPr>
              <w:t>13</w:t>
            </w:r>
          </w:p>
        </w:tc>
        <w:tc>
          <w:tcPr>
            <w:tcW w:w="680" w:type="dxa"/>
          </w:tcPr>
          <w:p w:rsidR="003D2BE1" w:rsidRPr="003D2BE1" w:rsidRDefault="003D2BE1">
            <w:pPr>
              <w:pStyle w:val="ConsPlusNormal"/>
              <w:jc w:val="center"/>
              <w:rPr>
                <w:rFonts w:ascii="Times New Roman" w:hAnsi="Times New Roman" w:cs="Times New Roman"/>
                <w:sz w:val="24"/>
                <w:szCs w:val="24"/>
              </w:rPr>
            </w:pPr>
            <w:r w:rsidRPr="003D2BE1">
              <w:rPr>
                <w:rFonts w:ascii="Times New Roman" w:hAnsi="Times New Roman" w:cs="Times New Roman"/>
                <w:sz w:val="24"/>
                <w:szCs w:val="24"/>
              </w:rPr>
              <w:t>14</w:t>
            </w:r>
          </w:p>
        </w:tc>
        <w:tc>
          <w:tcPr>
            <w:tcW w:w="964" w:type="dxa"/>
          </w:tcPr>
          <w:p w:rsidR="003D2BE1" w:rsidRPr="003D2BE1" w:rsidRDefault="003D2BE1">
            <w:pPr>
              <w:pStyle w:val="ConsPlusNormal"/>
              <w:jc w:val="center"/>
              <w:rPr>
                <w:rFonts w:ascii="Times New Roman" w:hAnsi="Times New Roman" w:cs="Times New Roman"/>
                <w:sz w:val="24"/>
                <w:szCs w:val="24"/>
              </w:rPr>
            </w:pPr>
            <w:r w:rsidRPr="003D2BE1">
              <w:rPr>
                <w:rFonts w:ascii="Times New Roman" w:hAnsi="Times New Roman" w:cs="Times New Roman"/>
                <w:sz w:val="24"/>
                <w:szCs w:val="24"/>
              </w:rPr>
              <w:t>15</w:t>
            </w:r>
          </w:p>
        </w:tc>
        <w:tc>
          <w:tcPr>
            <w:tcW w:w="964" w:type="dxa"/>
          </w:tcPr>
          <w:p w:rsidR="003D2BE1" w:rsidRPr="003D2BE1" w:rsidRDefault="003D2BE1">
            <w:pPr>
              <w:pStyle w:val="ConsPlusNormal"/>
              <w:jc w:val="center"/>
              <w:rPr>
                <w:rFonts w:ascii="Times New Roman" w:hAnsi="Times New Roman" w:cs="Times New Roman"/>
                <w:sz w:val="24"/>
                <w:szCs w:val="24"/>
              </w:rPr>
            </w:pPr>
            <w:r w:rsidRPr="003D2BE1">
              <w:rPr>
                <w:rFonts w:ascii="Times New Roman" w:hAnsi="Times New Roman" w:cs="Times New Roman"/>
                <w:sz w:val="24"/>
                <w:szCs w:val="24"/>
              </w:rPr>
              <w:t>16</w:t>
            </w:r>
          </w:p>
        </w:tc>
        <w:tc>
          <w:tcPr>
            <w:tcW w:w="964" w:type="dxa"/>
          </w:tcPr>
          <w:p w:rsidR="003D2BE1" w:rsidRPr="003D2BE1" w:rsidRDefault="003D2BE1">
            <w:pPr>
              <w:pStyle w:val="ConsPlusNormal"/>
              <w:jc w:val="center"/>
              <w:rPr>
                <w:rFonts w:ascii="Times New Roman" w:hAnsi="Times New Roman" w:cs="Times New Roman"/>
                <w:sz w:val="24"/>
                <w:szCs w:val="24"/>
              </w:rPr>
            </w:pPr>
            <w:r w:rsidRPr="003D2BE1">
              <w:rPr>
                <w:rFonts w:ascii="Times New Roman" w:hAnsi="Times New Roman" w:cs="Times New Roman"/>
                <w:sz w:val="24"/>
                <w:szCs w:val="24"/>
              </w:rPr>
              <w:t>17</w:t>
            </w:r>
          </w:p>
        </w:tc>
        <w:tc>
          <w:tcPr>
            <w:tcW w:w="964" w:type="dxa"/>
          </w:tcPr>
          <w:p w:rsidR="003D2BE1" w:rsidRPr="003D2BE1" w:rsidRDefault="003D2BE1">
            <w:pPr>
              <w:pStyle w:val="ConsPlusNormal"/>
              <w:jc w:val="center"/>
              <w:rPr>
                <w:rFonts w:ascii="Times New Roman" w:hAnsi="Times New Roman" w:cs="Times New Roman"/>
                <w:sz w:val="24"/>
                <w:szCs w:val="24"/>
              </w:rPr>
            </w:pPr>
            <w:r w:rsidRPr="003D2BE1">
              <w:rPr>
                <w:rFonts w:ascii="Times New Roman" w:hAnsi="Times New Roman" w:cs="Times New Roman"/>
                <w:sz w:val="24"/>
                <w:szCs w:val="24"/>
              </w:rPr>
              <w:t>18</w:t>
            </w:r>
          </w:p>
        </w:tc>
        <w:tc>
          <w:tcPr>
            <w:tcW w:w="964" w:type="dxa"/>
          </w:tcPr>
          <w:p w:rsidR="003D2BE1" w:rsidRPr="003D2BE1" w:rsidRDefault="003D2BE1">
            <w:pPr>
              <w:pStyle w:val="ConsPlusNormal"/>
              <w:jc w:val="center"/>
              <w:rPr>
                <w:rFonts w:ascii="Times New Roman" w:hAnsi="Times New Roman" w:cs="Times New Roman"/>
                <w:sz w:val="24"/>
                <w:szCs w:val="24"/>
              </w:rPr>
            </w:pPr>
            <w:r w:rsidRPr="003D2BE1">
              <w:rPr>
                <w:rFonts w:ascii="Times New Roman" w:hAnsi="Times New Roman" w:cs="Times New Roman"/>
                <w:sz w:val="24"/>
                <w:szCs w:val="24"/>
              </w:rPr>
              <w:t>19</w:t>
            </w:r>
          </w:p>
        </w:tc>
        <w:tc>
          <w:tcPr>
            <w:tcW w:w="964" w:type="dxa"/>
          </w:tcPr>
          <w:p w:rsidR="003D2BE1" w:rsidRPr="003D2BE1" w:rsidRDefault="003D2BE1">
            <w:pPr>
              <w:pStyle w:val="ConsPlusNormal"/>
              <w:jc w:val="center"/>
              <w:rPr>
                <w:rFonts w:ascii="Times New Roman" w:hAnsi="Times New Roman" w:cs="Times New Roman"/>
                <w:sz w:val="24"/>
                <w:szCs w:val="24"/>
              </w:rPr>
            </w:pPr>
            <w:r w:rsidRPr="003D2BE1">
              <w:rPr>
                <w:rFonts w:ascii="Times New Roman" w:hAnsi="Times New Roman" w:cs="Times New Roman"/>
                <w:sz w:val="24"/>
                <w:szCs w:val="24"/>
              </w:rPr>
              <w:t>20</w:t>
            </w:r>
          </w:p>
        </w:tc>
        <w:tc>
          <w:tcPr>
            <w:tcW w:w="1077" w:type="dxa"/>
          </w:tcPr>
          <w:p w:rsidR="003D2BE1" w:rsidRPr="003D2BE1" w:rsidRDefault="003D2BE1">
            <w:pPr>
              <w:pStyle w:val="ConsPlusNormal"/>
              <w:jc w:val="center"/>
              <w:rPr>
                <w:rFonts w:ascii="Times New Roman" w:hAnsi="Times New Roman" w:cs="Times New Roman"/>
                <w:sz w:val="24"/>
                <w:szCs w:val="24"/>
              </w:rPr>
            </w:pPr>
            <w:r w:rsidRPr="003D2BE1">
              <w:rPr>
                <w:rFonts w:ascii="Times New Roman" w:hAnsi="Times New Roman" w:cs="Times New Roman"/>
                <w:sz w:val="24"/>
                <w:szCs w:val="24"/>
              </w:rPr>
              <w:t>21</w:t>
            </w:r>
          </w:p>
        </w:tc>
        <w:tc>
          <w:tcPr>
            <w:tcW w:w="794" w:type="dxa"/>
          </w:tcPr>
          <w:p w:rsidR="003D2BE1" w:rsidRPr="003D2BE1" w:rsidRDefault="003D2BE1">
            <w:pPr>
              <w:pStyle w:val="ConsPlusNormal"/>
              <w:jc w:val="center"/>
              <w:rPr>
                <w:rFonts w:ascii="Times New Roman" w:hAnsi="Times New Roman" w:cs="Times New Roman"/>
                <w:sz w:val="24"/>
                <w:szCs w:val="24"/>
              </w:rPr>
            </w:pPr>
            <w:r w:rsidRPr="003D2BE1">
              <w:rPr>
                <w:rFonts w:ascii="Times New Roman" w:hAnsi="Times New Roman" w:cs="Times New Roman"/>
                <w:sz w:val="24"/>
                <w:szCs w:val="24"/>
              </w:rPr>
              <w:t>22</w:t>
            </w:r>
          </w:p>
        </w:tc>
        <w:tc>
          <w:tcPr>
            <w:tcW w:w="567" w:type="dxa"/>
          </w:tcPr>
          <w:p w:rsidR="003D2BE1" w:rsidRPr="003D2BE1" w:rsidRDefault="003D2BE1">
            <w:pPr>
              <w:pStyle w:val="ConsPlusNormal"/>
              <w:jc w:val="center"/>
              <w:rPr>
                <w:rFonts w:ascii="Times New Roman" w:hAnsi="Times New Roman" w:cs="Times New Roman"/>
                <w:sz w:val="24"/>
                <w:szCs w:val="24"/>
              </w:rPr>
            </w:pPr>
            <w:r w:rsidRPr="003D2BE1">
              <w:rPr>
                <w:rFonts w:ascii="Times New Roman" w:hAnsi="Times New Roman" w:cs="Times New Roman"/>
                <w:sz w:val="24"/>
                <w:szCs w:val="24"/>
              </w:rPr>
              <w:t>23</w:t>
            </w:r>
          </w:p>
        </w:tc>
        <w:tc>
          <w:tcPr>
            <w:tcW w:w="794" w:type="dxa"/>
          </w:tcPr>
          <w:p w:rsidR="003D2BE1" w:rsidRPr="003D2BE1" w:rsidRDefault="003D2BE1">
            <w:pPr>
              <w:pStyle w:val="ConsPlusNormal"/>
              <w:jc w:val="center"/>
              <w:rPr>
                <w:rFonts w:ascii="Times New Roman" w:hAnsi="Times New Roman" w:cs="Times New Roman"/>
                <w:sz w:val="24"/>
                <w:szCs w:val="24"/>
              </w:rPr>
            </w:pPr>
            <w:r w:rsidRPr="003D2BE1">
              <w:rPr>
                <w:rFonts w:ascii="Times New Roman" w:hAnsi="Times New Roman" w:cs="Times New Roman"/>
                <w:sz w:val="24"/>
                <w:szCs w:val="24"/>
              </w:rPr>
              <w:t>24</w:t>
            </w:r>
          </w:p>
        </w:tc>
      </w:tr>
      <w:tr w:rsidR="003D2BE1" w:rsidRPr="003D2BE1">
        <w:tc>
          <w:tcPr>
            <w:tcW w:w="444" w:type="dxa"/>
          </w:tcPr>
          <w:p w:rsidR="003D2BE1" w:rsidRPr="003D2BE1" w:rsidRDefault="003D2BE1">
            <w:pPr>
              <w:pStyle w:val="ConsPlusNormal"/>
              <w:jc w:val="center"/>
              <w:rPr>
                <w:rFonts w:ascii="Times New Roman" w:hAnsi="Times New Roman" w:cs="Times New Roman"/>
                <w:sz w:val="24"/>
                <w:szCs w:val="24"/>
              </w:rPr>
            </w:pPr>
            <w:r w:rsidRPr="003D2BE1">
              <w:rPr>
                <w:rFonts w:ascii="Times New Roman" w:hAnsi="Times New Roman" w:cs="Times New Roman"/>
                <w:sz w:val="24"/>
                <w:szCs w:val="24"/>
              </w:rPr>
              <w:t>1</w:t>
            </w:r>
          </w:p>
        </w:tc>
        <w:tc>
          <w:tcPr>
            <w:tcW w:w="1361" w:type="dxa"/>
          </w:tcPr>
          <w:p w:rsidR="003D2BE1" w:rsidRPr="003D2BE1" w:rsidRDefault="003D2BE1">
            <w:pPr>
              <w:pStyle w:val="ConsPlusNormal"/>
              <w:rPr>
                <w:rFonts w:ascii="Times New Roman" w:hAnsi="Times New Roman" w:cs="Times New Roman"/>
                <w:sz w:val="24"/>
                <w:szCs w:val="24"/>
              </w:rPr>
            </w:pPr>
          </w:p>
        </w:tc>
        <w:tc>
          <w:tcPr>
            <w:tcW w:w="850" w:type="dxa"/>
          </w:tcPr>
          <w:p w:rsidR="003D2BE1" w:rsidRPr="003D2BE1" w:rsidRDefault="003D2BE1">
            <w:pPr>
              <w:pStyle w:val="ConsPlusNormal"/>
              <w:rPr>
                <w:rFonts w:ascii="Times New Roman" w:hAnsi="Times New Roman" w:cs="Times New Roman"/>
                <w:sz w:val="24"/>
                <w:szCs w:val="24"/>
              </w:rPr>
            </w:pPr>
          </w:p>
        </w:tc>
        <w:tc>
          <w:tcPr>
            <w:tcW w:w="794" w:type="dxa"/>
          </w:tcPr>
          <w:p w:rsidR="003D2BE1" w:rsidRPr="003D2BE1" w:rsidRDefault="003D2BE1">
            <w:pPr>
              <w:pStyle w:val="ConsPlusNormal"/>
              <w:rPr>
                <w:rFonts w:ascii="Times New Roman" w:hAnsi="Times New Roman" w:cs="Times New Roman"/>
                <w:sz w:val="24"/>
                <w:szCs w:val="24"/>
              </w:rPr>
            </w:pPr>
          </w:p>
        </w:tc>
        <w:tc>
          <w:tcPr>
            <w:tcW w:w="737" w:type="dxa"/>
          </w:tcPr>
          <w:p w:rsidR="003D2BE1" w:rsidRPr="003D2BE1" w:rsidRDefault="003D2BE1">
            <w:pPr>
              <w:pStyle w:val="ConsPlusNormal"/>
              <w:rPr>
                <w:rFonts w:ascii="Times New Roman" w:hAnsi="Times New Roman" w:cs="Times New Roman"/>
                <w:sz w:val="24"/>
                <w:szCs w:val="24"/>
              </w:rPr>
            </w:pPr>
          </w:p>
        </w:tc>
        <w:tc>
          <w:tcPr>
            <w:tcW w:w="850" w:type="dxa"/>
          </w:tcPr>
          <w:p w:rsidR="003D2BE1" w:rsidRPr="003D2BE1" w:rsidRDefault="003D2BE1">
            <w:pPr>
              <w:pStyle w:val="ConsPlusNormal"/>
              <w:rPr>
                <w:rFonts w:ascii="Times New Roman" w:hAnsi="Times New Roman" w:cs="Times New Roman"/>
                <w:sz w:val="24"/>
                <w:szCs w:val="24"/>
              </w:rPr>
            </w:pPr>
          </w:p>
        </w:tc>
        <w:tc>
          <w:tcPr>
            <w:tcW w:w="794" w:type="dxa"/>
          </w:tcPr>
          <w:p w:rsidR="003D2BE1" w:rsidRPr="003D2BE1" w:rsidRDefault="003D2BE1">
            <w:pPr>
              <w:pStyle w:val="ConsPlusNormal"/>
              <w:rPr>
                <w:rFonts w:ascii="Times New Roman" w:hAnsi="Times New Roman" w:cs="Times New Roman"/>
                <w:sz w:val="24"/>
                <w:szCs w:val="24"/>
              </w:rPr>
            </w:pPr>
          </w:p>
        </w:tc>
        <w:tc>
          <w:tcPr>
            <w:tcW w:w="1531" w:type="dxa"/>
          </w:tcPr>
          <w:p w:rsidR="003D2BE1" w:rsidRPr="003D2BE1" w:rsidRDefault="003D2BE1">
            <w:pPr>
              <w:pStyle w:val="ConsPlusNormal"/>
              <w:rPr>
                <w:rFonts w:ascii="Times New Roman" w:hAnsi="Times New Roman" w:cs="Times New Roman"/>
                <w:sz w:val="24"/>
                <w:szCs w:val="24"/>
              </w:rPr>
            </w:pPr>
          </w:p>
        </w:tc>
        <w:tc>
          <w:tcPr>
            <w:tcW w:w="1191" w:type="dxa"/>
          </w:tcPr>
          <w:p w:rsidR="003D2BE1" w:rsidRPr="003D2BE1" w:rsidRDefault="003D2BE1">
            <w:pPr>
              <w:pStyle w:val="ConsPlusNormal"/>
              <w:rPr>
                <w:rFonts w:ascii="Times New Roman" w:hAnsi="Times New Roman" w:cs="Times New Roman"/>
                <w:sz w:val="24"/>
                <w:szCs w:val="24"/>
              </w:rPr>
            </w:pPr>
          </w:p>
        </w:tc>
        <w:tc>
          <w:tcPr>
            <w:tcW w:w="907" w:type="dxa"/>
          </w:tcPr>
          <w:p w:rsidR="003D2BE1" w:rsidRPr="003D2BE1" w:rsidRDefault="003D2BE1">
            <w:pPr>
              <w:pStyle w:val="ConsPlusNormal"/>
              <w:rPr>
                <w:rFonts w:ascii="Times New Roman" w:hAnsi="Times New Roman" w:cs="Times New Roman"/>
                <w:sz w:val="24"/>
                <w:szCs w:val="24"/>
              </w:rPr>
            </w:pPr>
          </w:p>
        </w:tc>
        <w:tc>
          <w:tcPr>
            <w:tcW w:w="850" w:type="dxa"/>
          </w:tcPr>
          <w:p w:rsidR="003D2BE1" w:rsidRPr="003D2BE1" w:rsidRDefault="003D2BE1">
            <w:pPr>
              <w:pStyle w:val="ConsPlusNormal"/>
              <w:rPr>
                <w:rFonts w:ascii="Times New Roman" w:hAnsi="Times New Roman" w:cs="Times New Roman"/>
                <w:sz w:val="24"/>
                <w:szCs w:val="24"/>
              </w:rPr>
            </w:pPr>
          </w:p>
        </w:tc>
        <w:tc>
          <w:tcPr>
            <w:tcW w:w="737" w:type="dxa"/>
          </w:tcPr>
          <w:p w:rsidR="003D2BE1" w:rsidRPr="003D2BE1" w:rsidRDefault="003D2BE1">
            <w:pPr>
              <w:pStyle w:val="ConsPlusNormal"/>
              <w:rPr>
                <w:rFonts w:ascii="Times New Roman" w:hAnsi="Times New Roman" w:cs="Times New Roman"/>
                <w:sz w:val="24"/>
                <w:szCs w:val="24"/>
              </w:rPr>
            </w:pPr>
          </w:p>
        </w:tc>
        <w:tc>
          <w:tcPr>
            <w:tcW w:w="737" w:type="dxa"/>
          </w:tcPr>
          <w:p w:rsidR="003D2BE1" w:rsidRPr="003D2BE1" w:rsidRDefault="003D2BE1">
            <w:pPr>
              <w:pStyle w:val="ConsPlusNormal"/>
              <w:rPr>
                <w:rFonts w:ascii="Times New Roman" w:hAnsi="Times New Roman" w:cs="Times New Roman"/>
                <w:sz w:val="24"/>
                <w:szCs w:val="24"/>
              </w:rPr>
            </w:pPr>
          </w:p>
        </w:tc>
        <w:tc>
          <w:tcPr>
            <w:tcW w:w="680" w:type="dxa"/>
          </w:tcPr>
          <w:p w:rsidR="003D2BE1" w:rsidRPr="003D2BE1" w:rsidRDefault="003D2BE1">
            <w:pPr>
              <w:pStyle w:val="ConsPlusNormal"/>
              <w:rPr>
                <w:rFonts w:ascii="Times New Roman" w:hAnsi="Times New Roman" w:cs="Times New Roman"/>
                <w:sz w:val="24"/>
                <w:szCs w:val="24"/>
              </w:rPr>
            </w:pPr>
          </w:p>
        </w:tc>
        <w:tc>
          <w:tcPr>
            <w:tcW w:w="964" w:type="dxa"/>
          </w:tcPr>
          <w:p w:rsidR="003D2BE1" w:rsidRPr="003D2BE1" w:rsidRDefault="003D2BE1">
            <w:pPr>
              <w:pStyle w:val="ConsPlusNormal"/>
              <w:rPr>
                <w:rFonts w:ascii="Times New Roman" w:hAnsi="Times New Roman" w:cs="Times New Roman"/>
                <w:sz w:val="24"/>
                <w:szCs w:val="24"/>
              </w:rPr>
            </w:pPr>
          </w:p>
        </w:tc>
        <w:tc>
          <w:tcPr>
            <w:tcW w:w="964" w:type="dxa"/>
          </w:tcPr>
          <w:p w:rsidR="003D2BE1" w:rsidRPr="003D2BE1" w:rsidRDefault="003D2BE1">
            <w:pPr>
              <w:pStyle w:val="ConsPlusNormal"/>
              <w:rPr>
                <w:rFonts w:ascii="Times New Roman" w:hAnsi="Times New Roman" w:cs="Times New Roman"/>
                <w:sz w:val="24"/>
                <w:szCs w:val="24"/>
              </w:rPr>
            </w:pPr>
          </w:p>
        </w:tc>
        <w:tc>
          <w:tcPr>
            <w:tcW w:w="964" w:type="dxa"/>
          </w:tcPr>
          <w:p w:rsidR="003D2BE1" w:rsidRPr="003D2BE1" w:rsidRDefault="003D2BE1">
            <w:pPr>
              <w:pStyle w:val="ConsPlusNormal"/>
              <w:rPr>
                <w:rFonts w:ascii="Times New Roman" w:hAnsi="Times New Roman" w:cs="Times New Roman"/>
                <w:sz w:val="24"/>
                <w:szCs w:val="24"/>
              </w:rPr>
            </w:pPr>
          </w:p>
        </w:tc>
        <w:tc>
          <w:tcPr>
            <w:tcW w:w="964" w:type="dxa"/>
          </w:tcPr>
          <w:p w:rsidR="003D2BE1" w:rsidRPr="003D2BE1" w:rsidRDefault="003D2BE1">
            <w:pPr>
              <w:pStyle w:val="ConsPlusNormal"/>
              <w:rPr>
                <w:rFonts w:ascii="Times New Roman" w:hAnsi="Times New Roman" w:cs="Times New Roman"/>
                <w:sz w:val="24"/>
                <w:szCs w:val="24"/>
              </w:rPr>
            </w:pPr>
          </w:p>
        </w:tc>
        <w:tc>
          <w:tcPr>
            <w:tcW w:w="964" w:type="dxa"/>
          </w:tcPr>
          <w:p w:rsidR="003D2BE1" w:rsidRPr="003D2BE1" w:rsidRDefault="003D2BE1">
            <w:pPr>
              <w:pStyle w:val="ConsPlusNormal"/>
              <w:rPr>
                <w:rFonts w:ascii="Times New Roman" w:hAnsi="Times New Roman" w:cs="Times New Roman"/>
                <w:sz w:val="24"/>
                <w:szCs w:val="24"/>
              </w:rPr>
            </w:pPr>
          </w:p>
        </w:tc>
        <w:tc>
          <w:tcPr>
            <w:tcW w:w="964" w:type="dxa"/>
          </w:tcPr>
          <w:p w:rsidR="003D2BE1" w:rsidRPr="003D2BE1" w:rsidRDefault="003D2BE1">
            <w:pPr>
              <w:pStyle w:val="ConsPlusNormal"/>
              <w:rPr>
                <w:rFonts w:ascii="Times New Roman" w:hAnsi="Times New Roman" w:cs="Times New Roman"/>
                <w:sz w:val="24"/>
                <w:szCs w:val="24"/>
              </w:rPr>
            </w:pPr>
          </w:p>
        </w:tc>
        <w:tc>
          <w:tcPr>
            <w:tcW w:w="1077" w:type="dxa"/>
          </w:tcPr>
          <w:p w:rsidR="003D2BE1" w:rsidRPr="003D2BE1" w:rsidRDefault="003D2BE1">
            <w:pPr>
              <w:pStyle w:val="ConsPlusNormal"/>
              <w:rPr>
                <w:rFonts w:ascii="Times New Roman" w:hAnsi="Times New Roman" w:cs="Times New Roman"/>
                <w:sz w:val="24"/>
                <w:szCs w:val="24"/>
              </w:rPr>
            </w:pPr>
          </w:p>
        </w:tc>
        <w:tc>
          <w:tcPr>
            <w:tcW w:w="794" w:type="dxa"/>
          </w:tcPr>
          <w:p w:rsidR="003D2BE1" w:rsidRPr="003D2BE1" w:rsidRDefault="003D2BE1">
            <w:pPr>
              <w:pStyle w:val="ConsPlusNormal"/>
              <w:rPr>
                <w:rFonts w:ascii="Times New Roman" w:hAnsi="Times New Roman" w:cs="Times New Roman"/>
                <w:sz w:val="24"/>
                <w:szCs w:val="24"/>
              </w:rPr>
            </w:pPr>
          </w:p>
        </w:tc>
        <w:tc>
          <w:tcPr>
            <w:tcW w:w="567" w:type="dxa"/>
          </w:tcPr>
          <w:p w:rsidR="003D2BE1" w:rsidRPr="003D2BE1" w:rsidRDefault="003D2BE1">
            <w:pPr>
              <w:pStyle w:val="ConsPlusNormal"/>
              <w:rPr>
                <w:rFonts w:ascii="Times New Roman" w:hAnsi="Times New Roman" w:cs="Times New Roman"/>
                <w:sz w:val="24"/>
                <w:szCs w:val="24"/>
              </w:rPr>
            </w:pPr>
          </w:p>
        </w:tc>
        <w:tc>
          <w:tcPr>
            <w:tcW w:w="794" w:type="dxa"/>
          </w:tcPr>
          <w:p w:rsidR="003D2BE1" w:rsidRPr="003D2BE1" w:rsidRDefault="003D2BE1">
            <w:pPr>
              <w:pStyle w:val="ConsPlusNormal"/>
              <w:rPr>
                <w:rFonts w:ascii="Times New Roman" w:hAnsi="Times New Roman" w:cs="Times New Roman"/>
                <w:sz w:val="24"/>
                <w:szCs w:val="24"/>
              </w:rPr>
            </w:pPr>
          </w:p>
        </w:tc>
      </w:tr>
      <w:tr w:rsidR="003D2BE1" w:rsidRPr="003D2BE1">
        <w:tc>
          <w:tcPr>
            <w:tcW w:w="444" w:type="dxa"/>
          </w:tcPr>
          <w:p w:rsidR="003D2BE1" w:rsidRPr="003D2BE1" w:rsidRDefault="003D2BE1">
            <w:pPr>
              <w:pStyle w:val="ConsPlusNormal"/>
              <w:jc w:val="center"/>
              <w:rPr>
                <w:rFonts w:ascii="Times New Roman" w:hAnsi="Times New Roman" w:cs="Times New Roman"/>
                <w:sz w:val="24"/>
                <w:szCs w:val="24"/>
              </w:rPr>
            </w:pPr>
            <w:r w:rsidRPr="003D2BE1">
              <w:rPr>
                <w:rFonts w:ascii="Times New Roman" w:hAnsi="Times New Roman" w:cs="Times New Roman"/>
                <w:sz w:val="24"/>
                <w:szCs w:val="24"/>
              </w:rPr>
              <w:t>2</w:t>
            </w:r>
          </w:p>
        </w:tc>
        <w:tc>
          <w:tcPr>
            <w:tcW w:w="1361" w:type="dxa"/>
          </w:tcPr>
          <w:p w:rsidR="003D2BE1" w:rsidRPr="003D2BE1" w:rsidRDefault="003D2BE1">
            <w:pPr>
              <w:pStyle w:val="ConsPlusNormal"/>
              <w:rPr>
                <w:rFonts w:ascii="Times New Roman" w:hAnsi="Times New Roman" w:cs="Times New Roman"/>
                <w:sz w:val="24"/>
                <w:szCs w:val="24"/>
              </w:rPr>
            </w:pPr>
          </w:p>
        </w:tc>
        <w:tc>
          <w:tcPr>
            <w:tcW w:w="850" w:type="dxa"/>
          </w:tcPr>
          <w:p w:rsidR="003D2BE1" w:rsidRPr="003D2BE1" w:rsidRDefault="003D2BE1">
            <w:pPr>
              <w:pStyle w:val="ConsPlusNormal"/>
              <w:rPr>
                <w:rFonts w:ascii="Times New Roman" w:hAnsi="Times New Roman" w:cs="Times New Roman"/>
                <w:sz w:val="24"/>
                <w:szCs w:val="24"/>
              </w:rPr>
            </w:pPr>
          </w:p>
        </w:tc>
        <w:tc>
          <w:tcPr>
            <w:tcW w:w="794" w:type="dxa"/>
          </w:tcPr>
          <w:p w:rsidR="003D2BE1" w:rsidRPr="003D2BE1" w:rsidRDefault="003D2BE1">
            <w:pPr>
              <w:pStyle w:val="ConsPlusNormal"/>
              <w:rPr>
                <w:rFonts w:ascii="Times New Roman" w:hAnsi="Times New Roman" w:cs="Times New Roman"/>
                <w:sz w:val="24"/>
                <w:szCs w:val="24"/>
              </w:rPr>
            </w:pPr>
          </w:p>
        </w:tc>
        <w:tc>
          <w:tcPr>
            <w:tcW w:w="737" w:type="dxa"/>
          </w:tcPr>
          <w:p w:rsidR="003D2BE1" w:rsidRPr="003D2BE1" w:rsidRDefault="003D2BE1">
            <w:pPr>
              <w:pStyle w:val="ConsPlusNormal"/>
              <w:rPr>
                <w:rFonts w:ascii="Times New Roman" w:hAnsi="Times New Roman" w:cs="Times New Roman"/>
                <w:sz w:val="24"/>
                <w:szCs w:val="24"/>
              </w:rPr>
            </w:pPr>
          </w:p>
        </w:tc>
        <w:tc>
          <w:tcPr>
            <w:tcW w:w="850" w:type="dxa"/>
          </w:tcPr>
          <w:p w:rsidR="003D2BE1" w:rsidRPr="003D2BE1" w:rsidRDefault="003D2BE1">
            <w:pPr>
              <w:pStyle w:val="ConsPlusNormal"/>
              <w:rPr>
                <w:rFonts w:ascii="Times New Roman" w:hAnsi="Times New Roman" w:cs="Times New Roman"/>
                <w:sz w:val="24"/>
                <w:szCs w:val="24"/>
              </w:rPr>
            </w:pPr>
          </w:p>
        </w:tc>
        <w:tc>
          <w:tcPr>
            <w:tcW w:w="794" w:type="dxa"/>
          </w:tcPr>
          <w:p w:rsidR="003D2BE1" w:rsidRPr="003D2BE1" w:rsidRDefault="003D2BE1">
            <w:pPr>
              <w:pStyle w:val="ConsPlusNormal"/>
              <w:rPr>
                <w:rFonts w:ascii="Times New Roman" w:hAnsi="Times New Roman" w:cs="Times New Roman"/>
                <w:sz w:val="24"/>
                <w:szCs w:val="24"/>
              </w:rPr>
            </w:pPr>
          </w:p>
        </w:tc>
        <w:tc>
          <w:tcPr>
            <w:tcW w:w="1531" w:type="dxa"/>
          </w:tcPr>
          <w:p w:rsidR="003D2BE1" w:rsidRPr="003D2BE1" w:rsidRDefault="003D2BE1">
            <w:pPr>
              <w:pStyle w:val="ConsPlusNormal"/>
              <w:rPr>
                <w:rFonts w:ascii="Times New Roman" w:hAnsi="Times New Roman" w:cs="Times New Roman"/>
                <w:sz w:val="24"/>
                <w:szCs w:val="24"/>
              </w:rPr>
            </w:pPr>
          </w:p>
        </w:tc>
        <w:tc>
          <w:tcPr>
            <w:tcW w:w="1191" w:type="dxa"/>
          </w:tcPr>
          <w:p w:rsidR="003D2BE1" w:rsidRPr="003D2BE1" w:rsidRDefault="003D2BE1">
            <w:pPr>
              <w:pStyle w:val="ConsPlusNormal"/>
              <w:rPr>
                <w:rFonts w:ascii="Times New Roman" w:hAnsi="Times New Roman" w:cs="Times New Roman"/>
                <w:sz w:val="24"/>
                <w:szCs w:val="24"/>
              </w:rPr>
            </w:pPr>
          </w:p>
        </w:tc>
        <w:tc>
          <w:tcPr>
            <w:tcW w:w="907" w:type="dxa"/>
          </w:tcPr>
          <w:p w:rsidR="003D2BE1" w:rsidRPr="003D2BE1" w:rsidRDefault="003D2BE1">
            <w:pPr>
              <w:pStyle w:val="ConsPlusNormal"/>
              <w:rPr>
                <w:rFonts w:ascii="Times New Roman" w:hAnsi="Times New Roman" w:cs="Times New Roman"/>
                <w:sz w:val="24"/>
                <w:szCs w:val="24"/>
              </w:rPr>
            </w:pPr>
          </w:p>
        </w:tc>
        <w:tc>
          <w:tcPr>
            <w:tcW w:w="850" w:type="dxa"/>
          </w:tcPr>
          <w:p w:rsidR="003D2BE1" w:rsidRPr="003D2BE1" w:rsidRDefault="003D2BE1">
            <w:pPr>
              <w:pStyle w:val="ConsPlusNormal"/>
              <w:rPr>
                <w:rFonts w:ascii="Times New Roman" w:hAnsi="Times New Roman" w:cs="Times New Roman"/>
                <w:sz w:val="24"/>
                <w:szCs w:val="24"/>
              </w:rPr>
            </w:pPr>
          </w:p>
        </w:tc>
        <w:tc>
          <w:tcPr>
            <w:tcW w:w="737" w:type="dxa"/>
          </w:tcPr>
          <w:p w:rsidR="003D2BE1" w:rsidRPr="003D2BE1" w:rsidRDefault="003D2BE1">
            <w:pPr>
              <w:pStyle w:val="ConsPlusNormal"/>
              <w:rPr>
                <w:rFonts w:ascii="Times New Roman" w:hAnsi="Times New Roman" w:cs="Times New Roman"/>
                <w:sz w:val="24"/>
                <w:szCs w:val="24"/>
              </w:rPr>
            </w:pPr>
          </w:p>
        </w:tc>
        <w:tc>
          <w:tcPr>
            <w:tcW w:w="737" w:type="dxa"/>
          </w:tcPr>
          <w:p w:rsidR="003D2BE1" w:rsidRPr="003D2BE1" w:rsidRDefault="003D2BE1">
            <w:pPr>
              <w:pStyle w:val="ConsPlusNormal"/>
              <w:rPr>
                <w:rFonts w:ascii="Times New Roman" w:hAnsi="Times New Roman" w:cs="Times New Roman"/>
                <w:sz w:val="24"/>
                <w:szCs w:val="24"/>
              </w:rPr>
            </w:pPr>
          </w:p>
        </w:tc>
        <w:tc>
          <w:tcPr>
            <w:tcW w:w="680" w:type="dxa"/>
          </w:tcPr>
          <w:p w:rsidR="003D2BE1" w:rsidRPr="003D2BE1" w:rsidRDefault="003D2BE1">
            <w:pPr>
              <w:pStyle w:val="ConsPlusNormal"/>
              <w:rPr>
                <w:rFonts w:ascii="Times New Roman" w:hAnsi="Times New Roman" w:cs="Times New Roman"/>
                <w:sz w:val="24"/>
                <w:szCs w:val="24"/>
              </w:rPr>
            </w:pPr>
          </w:p>
        </w:tc>
        <w:tc>
          <w:tcPr>
            <w:tcW w:w="964" w:type="dxa"/>
          </w:tcPr>
          <w:p w:rsidR="003D2BE1" w:rsidRPr="003D2BE1" w:rsidRDefault="003D2BE1">
            <w:pPr>
              <w:pStyle w:val="ConsPlusNormal"/>
              <w:rPr>
                <w:rFonts w:ascii="Times New Roman" w:hAnsi="Times New Roman" w:cs="Times New Roman"/>
                <w:sz w:val="24"/>
                <w:szCs w:val="24"/>
              </w:rPr>
            </w:pPr>
          </w:p>
        </w:tc>
        <w:tc>
          <w:tcPr>
            <w:tcW w:w="964" w:type="dxa"/>
          </w:tcPr>
          <w:p w:rsidR="003D2BE1" w:rsidRPr="003D2BE1" w:rsidRDefault="003D2BE1">
            <w:pPr>
              <w:pStyle w:val="ConsPlusNormal"/>
              <w:rPr>
                <w:rFonts w:ascii="Times New Roman" w:hAnsi="Times New Roman" w:cs="Times New Roman"/>
                <w:sz w:val="24"/>
                <w:szCs w:val="24"/>
              </w:rPr>
            </w:pPr>
          </w:p>
        </w:tc>
        <w:tc>
          <w:tcPr>
            <w:tcW w:w="964" w:type="dxa"/>
          </w:tcPr>
          <w:p w:rsidR="003D2BE1" w:rsidRPr="003D2BE1" w:rsidRDefault="003D2BE1">
            <w:pPr>
              <w:pStyle w:val="ConsPlusNormal"/>
              <w:rPr>
                <w:rFonts w:ascii="Times New Roman" w:hAnsi="Times New Roman" w:cs="Times New Roman"/>
                <w:sz w:val="24"/>
                <w:szCs w:val="24"/>
              </w:rPr>
            </w:pPr>
          </w:p>
        </w:tc>
        <w:tc>
          <w:tcPr>
            <w:tcW w:w="964" w:type="dxa"/>
          </w:tcPr>
          <w:p w:rsidR="003D2BE1" w:rsidRPr="003D2BE1" w:rsidRDefault="003D2BE1">
            <w:pPr>
              <w:pStyle w:val="ConsPlusNormal"/>
              <w:rPr>
                <w:rFonts w:ascii="Times New Roman" w:hAnsi="Times New Roman" w:cs="Times New Roman"/>
                <w:sz w:val="24"/>
                <w:szCs w:val="24"/>
              </w:rPr>
            </w:pPr>
          </w:p>
        </w:tc>
        <w:tc>
          <w:tcPr>
            <w:tcW w:w="964" w:type="dxa"/>
          </w:tcPr>
          <w:p w:rsidR="003D2BE1" w:rsidRPr="003D2BE1" w:rsidRDefault="003D2BE1">
            <w:pPr>
              <w:pStyle w:val="ConsPlusNormal"/>
              <w:rPr>
                <w:rFonts w:ascii="Times New Roman" w:hAnsi="Times New Roman" w:cs="Times New Roman"/>
                <w:sz w:val="24"/>
                <w:szCs w:val="24"/>
              </w:rPr>
            </w:pPr>
          </w:p>
        </w:tc>
        <w:tc>
          <w:tcPr>
            <w:tcW w:w="964" w:type="dxa"/>
          </w:tcPr>
          <w:p w:rsidR="003D2BE1" w:rsidRPr="003D2BE1" w:rsidRDefault="003D2BE1">
            <w:pPr>
              <w:pStyle w:val="ConsPlusNormal"/>
              <w:rPr>
                <w:rFonts w:ascii="Times New Roman" w:hAnsi="Times New Roman" w:cs="Times New Roman"/>
                <w:sz w:val="24"/>
                <w:szCs w:val="24"/>
              </w:rPr>
            </w:pPr>
          </w:p>
        </w:tc>
        <w:tc>
          <w:tcPr>
            <w:tcW w:w="1077" w:type="dxa"/>
          </w:tcPr>
          <w:p w:rsidR="003D2BE1" w:rsidRPr="003D2BE1" w:rsidRDefault="003D2BE1">
            <w:pPr>
              <w:pStyle w:val="ConsPlusNormal"/>
              <w:rPr>
                <w:rFonts w:ascii="Times New Roman" w:hAnsi="Times New Roman" w:cs="Times New Roman"/>
                <w:sz w:val="24"/>
                <w:szCs w:val="24"/>
              </w:rPr>
            </w:pPr>
          </w:p>
        </w:tc>
        <w:tc>
          <w:tcPr>
            <w:tcW w:w="794" w:type="dxa"/>
          </w:tcPr>
          <w:p w:rsidR="003D2BE1" w:rsidRPr="003D2BE1" w:rsidRDefault="003D2BE1">
            <w:pPr>
              <w:pStyle w:val="ConsPlusNormal"/>
              <w:rPr>
                <w:rFonts w:ascii="Times New Roman" w:hAnsi="Times New Roman" w:cs="Times New Roman"/>
                <w:sz w:val="24"/>
                <w:szCs w:val="24"/>
              </w:rPr>
            </w:pPr>
          </w:p>
        </w:tc>
        <w:tc>
          <w:tcPr>
            <w:tcW w:w="567" w:type="dxa"/>
          </w:tcPr>
          <w:p w:rsidR="003D2BE1" w:rsidRPr="003D2BE1" w:rsidRDefault="003D2BE1">
            <w:pPr>
              <w:pStyle w:val="ConsPlusNormal"/>
              <w:rPr>
                <w:rFonts w:ascii="Times New Roman" w:hAnsi="Times New Roman" w:cs="Times New Roman"/>
                <w:sz w:val="24"/>
                <w:szCs w:val="24"/>
              </w:rPr>
            </w:pPr>
          </w:p>
        </w:tc>
        <w:tc>
          <w:tcPr>
            <w:tcW w:w="794" w:type="dxa"/>
          </w:tcPr>
          <w:p w:rsidR="003D2BE1" w:rsidRPr="003D2BE1" w:rsidRDefault="003D2BE1">
            <w:pPr>
              <w:pStyle w:val="ConsPlusNormal"/>
              <w:rPr>
                <w:rFonts w:ascii="Times New Roman" w:hAnsi="Times New Roman" w:cs="Times New Roman"/>
                <w:sz w:val="24"/>
                <w:szCs w:val="24"/>
              </w:rPr>
            </w:pPr>
          </w:p>
        </w:tc>
      </w:tr>
      <w:tr w:rsidR="003D2BE1" w:rsidRPr="003D2BE1">
        <w:tc>
          <w:tcPr>
            <w:tcW w:w="444" w:type="dxa"/>
          </w:tcPr>
          <w:p w:rsidR="003D2BE1" w:rsidRPr="003D2BE1" w:rsidRDefault="003D2BE1">
            <w:pPr>
              <w:pStyle w:val="ConsPlusNormal"/>
              <w:jc w:val="center"/>
              <w:rPr>
                <w:rFonts w:ascii="Times New Roman" w:hAnsi="Times New Roman" w:cs="Times New Roman"/>
                <w:sz w:val="24"/>
                <w:szCs w:val="24"/>
              </w:rPr>
            </w:pPr>
            <w:r w:rsidRPr="003D2BE1">
              <w:rPr>
                <w:rFonts w:ascii="Times New Roman" w:hAnsi="Times New Roman" w:cs="Times New Roman"/>
                <w:sz w:val="24"/>
                <w:szCs w:val="24"/>
              </w:rPr>
              <w:t>3</w:t>
            </w:r>
          </w:p>
        </w:tc>
        <w:tc>
          <w:tcPr>
            <w:tcW w:w="1361" w:type="dxa"/>
          </w:tcPr>
          <w:p w:rsidR="003D2BE1" w:rsidRPr="003D2BE1" w:rsidRDefault="003D2BE1">
            <w:pPr>
              <w:pStyle w:val="ConsPlusNormal"/>
              <w:rPr>
                <w:rFonts w:ascii="Times New Roman" w:hAnsi="Times New Roman" w:cs="Times New Roman"/>
                <w:sz w:val="24"/>
                <w:szCs w:val="24"/>
              </w:rPr>
            </w:pPr>
          </w:p>
        </w:tc>
        <w:tc>
          <w:tcPr>
            <w:tcW w:w="850" w:type="dxa"/>
          </w:tcPr>
          <w:p w:rsidR="003D2BE1" w:rsidRPr="003D2BE1" w:rsidRDefault="003D2BE1">
            <w:pPr>
              <w:pStyle w:val="ConsPlusNormal"/>
              <w:rPr>
                <w:rFonts w:ascii="Times New Roman" w:hAnsi="Times New Roman" w:cs="Times New Roman"/>
                <w:sz w:val="24"/>
                <w:szCs w:val="24"/>
              </w:rPr>
            </w:pPr>
          </w:p>
        </w:tc>
        <w:tc>
          <w:tcPr>
            <w:tcW w:w="794" w:type="dxa"/>
          </w:tcPr>
          <w:p w:rsidR="003D2BE1" w:rsidRPr="003D2BE1" w:rsidRDefault="003D2BE1">
            <w:pPr>
              <w:pStyle w:val="ConsPlusNormal"/>
              <w:rPr>
                <w:rFonts w:ascii="Times New Roman" w:hAnsi="Times New Roman" w:cs="Times New Roman"/>
                <w:sz w:val="24"/>
                <w:szCs w:val="24"/>
              </w:rPr>
            </w:pPr>
          </w:p>
        </w:tc>
        <w:tc>
          <w:tcPr>
            <w:tcW w:w="737" w:type="dxa"/>
          </w:tcPr>
          <w:p w:rsidR="003D2BE1" w:rsidRPr="003D2BE1" w:rsidRDefault="003D2BE1">
            <w:pPr>
              <w:pStyle w:val="ConsPlusNormal"/>
              <w:rPr>
                <w:rFonts w:ascii="Times New Roman" w:hAnsi="Times New Roman" w:cs="Times New Roman"/>
                <w:sz w:val="24"/>
                <w:szCs w:val="24"/>
              </w:rPr>
            </w:pPr>
          </w:p>
        </w:tc>
        <w:tc>
          <w:tcPr>
            <w:tcW w:w="850" w:type="dxa"/>
          </w:tcPr>
          <w:p w:rsidR="003D2BE1" w:rsidRPr="003D2BE1" w:rsidRDefault="003D2BE1">
            <w:pPr>
              <w:pStyle w:val="ConsPlusNormal"/>
              <w:rPr>
                <w:rFonts w:ascii="Times New Roman" w:hAnsi="Times New Roman" w:cs="Times New Roman"/>
                <w:sz w:val="24"/>
                <w:szCs w:val="24"/>
              </w:rPr>
            </w:pPr>
          </w:p>
        </w:tc>
        <w:tc>
          <w:tcPr>
            <w:tcW w:w="794" w:type="dxa"/>
          </w:tcPr>
          <w:p w:rsidR="003D2BE1" w:rsidRPr="003D2BE1" w:rsidRDefault="003D2BE1">
            <w:pPr>
              <w:pStyle w:val="ConsPlusNormal"/>
              <w:rPr>
                <w:rFonts w:ascii="Times New Roman" w:hAnsi="Times New Roman" w:cs="Times New Roman"/>
                <w:sz w:val="24"/>
                <w:szCs w:val="24"/>
              </w:rPr>
            </w:pPr>
          </w:p>
        </w:tc>
        <w:tc>
          <w:tcPr>
            <w:tcW w:w="1531" w:type="dxa"/>
          </w:tcPr>
          <w:p w:rsidR="003D2BE1" w:rsidRPr="003D2BE1" w:rsidRDefault="003D2BE1">
            <w:pPr>
              <w:pStyle w:val="ConsPlusNormal"/>
              <w:rPr>
                <w:rFonts w:ascii="Times New Roman" w:hAnsi="Times New Roman" w:cs="Times New Roman"/>
                <w:sz w:val="24"/>
                <w:szCs w:val="24"/>
              </w:rPr>
            </w:pPr>
          </w:p>
        </w:tc>
        <w:tc>
          <w:tcPr>
            <w:tcW w:w="1191" w:type="dxa"/>
          </w:tcPr>
          <w:p w:rsidR="003D2BE1" w:rsidRPr="003D2BE1" w:rsidRDefault="003D2BE1">
            <w:pPr>
              <w:pStyle w:val="ConsPlusNormal"/>
              <w:rPr>
                <w:rFonts w:ascii="Times New Roman" w:hAnsi="Times New Roman" w:cs="Times New Roman"/>
                <w:sz w:val="24"/>
                <w:szCs w:val="24"/>
              </w:rPr>
            </w:pPr>
          </w:p>
        </w:tc>
        <w:tc>
          <w:tcPr>
            <w:tcW w:w="907" w:type="dxa"/>
          </w:tcPr>
          <w:p w:rsidR="003D2BE1" w:rsidRPr="003D2BE1" w:rsidRDefault="003D2BE1">
            <w:pPr>
              <w:pStyle w:val="ConsPlusNormal"/>
              <w:rPr>
                <w:rFonts w:ascii="Times New Roman" w:hAnsi="Times New Roman" w:cs="Times New Roman"/>
                <w:sz w:val="24"/>
                <w:szCs w:val="24"/>
              </w:rPr>
            </w:pPr>
          </w:p>
        </w:tc>
        <w:tc>
          <w:tcPr>
            <w:tcW w:w="850" w:type="dxa"/>
          </w:tcPr>
          <w:p w:rsidR="003D2BE1" w:rsidRPr="003D2BE1" w:rsidRDefault="003D2BE1">
            <w:pPr>
              <w:pStyle w:val="ConsPlusNormal"/>
              <w:rPr>
                <w:rFonts w:ascii="Times New Roman" w:hAnsi="Times New Roman" w:cs="Times New Roman"/>
                <w:sz w:val="24"/>
                <w:szCs w:val="24"/>
              </w:rPr>
            </w:pPr>
          </w:p>
        </w:tc>
        <w:tc>
          <w:tcPr>
            <w:tcW w:w="737" w:type="dxa"/>
          </w:tcPr>
          <w:p w:rsidR="003D2BE1" w:rsidRPr="003D2BE1" w:rsidRDefault="003D2BE1">
            <w:pPr>
              <w:pStyle w:val="ConsPlusNormal"/>
              <w:rPr>
                <w:rFonts w:ascii="Times New Roman" w:hAnsi="Times New Roman" w:cs="Times New Roman"/>
                <w:sz w:val="24"/>
                <w:szCs w:val="24"/>
              </w:rPr>
            </w:pPr>
          </w:p>
        </w:tc>
        <w:tc>
          <w:tcPr>
            <w:tcW w:w="737" w:type="dxa"/>
          </w:tcPr>
          <w:p w:rsidR="003D2BE1" w:rsidRPr="003D2BE1" w:rsidRDefault="003D2BE1">
            <w:pPr>
              <w:pStyle w:val="ConsPlusNormal"/>
              <w:rPr>
                <w:rFonts w:ascii="Times New Roman" w:hAnsi="Times New Roman" w:cs="Times New Roman"/>
                <w:sz w:val="24"/>
                <w:szCs w:val="24"/>
              </w:rPr>
            </w:pPr>
          </w:p>
        </w:tc>
        <w:tc>
          <w:tcPr>
            <w:tcW w:w="680" w:type="dxa"/>
          </w:tcPr>
          <w:p w:rsidR="003D2BE1" w:rsidRPr="003D2BE1" w:rsidRDefault="003D2BE1">
            <w:pPr>
              <w:pStyle w:val="ConsPlusNormal"/>
              <w:rPr>
                <w:rFonts w:ascii="Times New Roman" w:hAnsi="Times New Roman" w:cs="Times New Roman"/>
                <w:sz w:val="24"/>
                <w:szCs w:val="24"/>
              </w:rPr>
            </w:pPr>
          </w:p>
        </w:tc>
        <w:tc>
          <w:tcPr>
            <w:tcW w:w="964" w:type="dxa"/>
          </w:tcPr>
          <w:p w:rsidR="003D2BE1" w:rsidRPr="003D2BE1" w:rsidRDefault="003D2BE1">
            <w:pPr>
              <w:pStyle w:val="ConsPlusNormal"/>
              <w:rPr>
                <w:rFonts w:ascii="Times New Roman" w:hAnsi="Times New Roman" w:cs="Times New Roman"/>
                <w:sz w:val="24"/>
                <w:szCs w:val="24"/>
              </w:rPr>
            </w:pPr>
          </w:p>
        </w:tc>
        <w:tc>
          <w:tcPr>
            <w:tcW w:w="964" w:type="dxa"/>
          </w:tcPr>
          <w:p w:rsidR="003D2BE1" w:rsidRPr="003D2BE1" w:rsidRDefault="003D2BE1">
            <w:pPr>
              <w:pStyle w:val="ConsPlusNormal"/>
              <w:rPr>
                <w:rFonts w:ascii="Times New Roman" w:hAnsi="Times New Roman" w:cs="Times New Roman"/>
                <w:sz w:val="24"/>
                <w:szCs w:val="24"/>
              </w:rPr>
            </w:pPr>
          </w:p>
        </w:tc>
        <w:tc>
          <w:tcPr>
            <w:tcW w:w="964" w:type="dxa"/>
          </w:tcPr>
          <w:p w:rsidR="003D2BE1" w:rsidRPr="003D2BE1" w:rsidRDefault="003D2BE1">
            <w:pPr>
              <w:pStyle w:val="ConsPlusNormal"/>
              <w:rPr>
                <w:rFonts w:ascii="Times New Roman" w:hAnsi="Times New Roman" w:cs="Times New Roman"/>
                <w:sz w:val="24"/>
                <w:szCs w:val="24"/>
              </w:rPr>
            </w:pPr>
          </w:p>
        </w:tc>
        <w:tc>
          <w:tcPr>
            <w:tcW w:w="964" w:type="dxa"/>
          </w:tcPr>
          <w:p w:rsidR="003D2BE1" w:rsidRPr="003D2BE1" w:rsidRDefault="003D2BE1">
            <w:pPr>
              <w:pStyle w:val="ConsPlusNormal"/>
              <w:rPr>
                <w:rFonts w:ascii="Times New Roman" w:hAnsi="Times New Roman" w:cs="Times New Roman"/>
                <w:sz w:val="24"/>
                <w:szCs w:val="24"/>
              </w:rPr>
            </w:pPr>
          </w:p>
        </w:tc>
        <w:tc>
          <w:tcPr>
            <w:tcW w:w="964" w:type="dxa"/>
          </w:tcPr>
          <w:p w:rsidR="003D2BE1" w:rsidRPr="003D2BE1" w:rsidRDefault="003D2BE1">
            <w:pPr>
              <w:pStyle w:val="ConsPlusNormal"/>
              <w:rPr>
                <w:rFonts w:ascii="Times New Roman" w:hAnsi="Times New Roman" w:cs="Times New Roman"/>
                <w:sz w:val="24"/>
                <w:szCs w:val="24"/>
              </w:rPr>
            </w:pPr>
          </w:p>
        </w:tc>
        <w:tc>
          <w:tcPr>
            <w:tcW w:w="964" w:type="dxa"/>
          </w:tcPr>
          <w:p w:rsidR="003D2BE1" w:rsidRPr="003D2BE1" w:rsidRDefault="003D2BE1">
            <w:pPr>
              <w:pStyle w:val="ConsPlusNormal"/>
              <w:rPr>
                <w:rFonts w:ascii="Times New Roman" w:hAnsi="Times New Roman" w:cs="Times New Roman"/>
                <w:sz w:val="24"/>
                <w:szCs w:val="24"/>
              </w:rPr>
            </w:pPr>
          </w:p>
        </w:tc>
        <w:tc>
          <w:tcPr>
            <w:tcW w:w="1077" w:type="dxa"/>
          </w:tcPr>
          <w:p w:rsidR="003D2BE1" w:rsidRPr="003D2BE1" w:rsidRDefault="003D2BE1">
            <w:pPr>
              <w:pStyle w:val="ConsPlusNormal"/>
              <w:rPr>
                <w:rFonts w:ascii="Times New Roman" w:hAnsi="Times New Roman" w:cs="Times New Roman"/>
                <w:sz w:val="24"/>
                <w:szCs w:val="24"/>
              </w:rPr>
            </w:pPr>
          </w:p>
        </w:tc>
        <w:tc>
          <w:tcPr>
            <w:tcW w:w="794" w:type="dxa"/>
          </w:tcPr>
          <w:p w:rsidR="003D2BE1" w:rsidRPr="003D2BE1" w:rsidRDefault="003D2BE1">
            <w:pPr>
              <w:pStyle w:val="ConsPlusNormal"/>
              <w:rPr>
                <w:rFonts w:ascii="Times New Roman" w:hAnsi="Times New Roman" w:cs="Times New Roman"/>
                <w:sz w:val="24"/>
                <w:szCs w:val="24"/>
              </w:rPr>
            </w:pPr>
          </w:p>
        </w:tc>
        <w:tc>
          <w:tcPr>
            <w:tcW w:w="567" w:type="dxa"/>
          </w:tcPr>
          <w:p w:rsidR="003D2BE1" w:rsidRPr="003D2BE1" w:rsidRDefault="003D2BE1">
            <w:pPr>
              <w:pStyle w:val="ConsPlusNormal"/>
              <w:rPr>
                <w:rFonts w:ascii="Times New Roman" w:hAnsi="Times New Roman" w:cs="Times New Roman"/>
                <w:sz w:val="24"/>
                <w:szCs w:val="24"/>
              </w:rPr>
            </w:pPr>
          </w:p>
        </w:tc>
        <w:tc>
          <w:tcPr>
            <w:tcW w:w="794" w:type="dxa"/>
          </w:tcPr>
          <w:p w:rsidR="003D2BE1" w:rsidRPr="003D2BE1" w:rsidRDefault="003D2BE1">
            <w:pPr>
              <w:pStyle w:val="ConsPlusNormal"/>
              <w:rPr>
                <w:rFonts w:ascii="Times New Roman" w:hAnsi="Times New Roman" w:cs="Times New Roman"/>
                <w:sz w:val="24"/>
                <w:szCs w:val="24"/>
              </w:rPr>
            </w:pPr>
          </w:p>
        </w:tc>
      </w:tr>
    </w:tbl>
    <w:p w:rsidR="003D2BE1" w:rsidRPr="003D2BE1" w:rsidRDefault="003D2BE1">
      <w:pPr>
        <w:pStyle w:val="ConsPlusNormal"/>
        <w:jc w:val="both"/>
        <w:rPr>
          <w:rFonts w:ascii="Times New Roman" w:hAnsi="Times New Roman" w:cs="Times New Roman"/>
          <w:sz w:val="24"/>
          <w:szCs w:val="24"/>
        </w:rPr>
      </w:pPr>
    </w:p>
    <w:p w:rsidR="003D2BE1" w:rsidRPr="003D2BE1" w:rsidRDefault="003D2BE1">
      <w:pPr>
        <w:pStyle w:val="ConsPlusNormal"/>
        <w:jc w:val="both"/>
        <w:rPr>
          <w:rFonts w:ascii="Times New Roman" w:hAnsi="Times New Roman" w:cs="Times New Roman"/>
          <w:sz w:val="24"/>
          <w:szCs w:val="24"/>
        </w:rPr>
      </w:pPr>
    </w:p>
    <w:p w:rsidR="003D2BE1" w:rsidRPr="003D2BE1" w:rsidRDefault="003D2BE1">
      <w:pPr>
        <w:pStyle w:val="ConsPlusNormal"/>
        <w:pBdr>
          <w:bottom w:val="single" w:sz="6" w:space="0" w:color="auto"/>
        </w:pBdr>
        <w:spacing w:before="100" w:after="100"/>
        <w:jc w:val="both"/>
        <w:rPr>
          <w:rFonts w:ascii="Times New Roman" w:hAnsi="Times New Roman" w:cs="Times New Roman"/>
          <w:sz w:val="24"/>
          <w:szCs w:val="24"/>
        </w:rPr>
      </w:pPr>
    </w:p>
    <w:p w:rsidR="00BB4F8C" w:rsidRPr="003D2BE1" w:rsidRDefault="00BB4F8C">
      <w:pPr>
        <w:rPr>
          <w:rFonts w:ascii="Times New Roman" w:hAnsi="Times New Roman" w:cs="Times New Roman"/>
          <w:sz w:val="24"/>
          <w:szCs w:val="24"/>
        </w:rPr>
      </w:pPr>
    </w:p>
    <w:sectPr w:rsidR="00BB4F8C" w:rsidRPr="003D2BE1">
      <w:pgSz w:w="16838" w:h="11905" w:orient="landscape"/>
      <w:pgMar w:top="1701" w:right="397" w:bottom="850" w:left="397"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BE1"/>
    <w:rsid w:val="003D2BE1"/>
    <w:rsid w:val="00BB4F8C"/>
    <w:rsid w:val="00D05588"/>
    <w:rsid w:val="00F95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3302B"/>
  <w15:chartTrackingRefBased/>
  <w15:docId w15:val="{2175C70A-7447-44E3-BCB0-2CD83E08C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D2BE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D2BE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D2BE1"/>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6727</Words>
  <Characters>38344</Characters>
  <Application>Microsoft Office Word</Application>
  <DocSecurity>0</DocSecurity>
  <Lines>319</Lines>
  <Paragraphs>89</Paragraphs>
  <ScaleCrop>false</ScaleCrop>
  <Company/>
  <LinksUpToDate>false</LinksUpToDate>
  <CharactersWithSpaces>44982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Скок Ольга Викторовна</dc:creator>
  <cp:keywords/>
  <dc:description/>
  <cp:lastModifiedBy>Скок Ольга Викторовна</cp:lastModifiedBy>
  <cp:revision>1</cp:revision>
  <dcterms:created xsi:type="dcterms:W3CDTF">2026-07-10T12:46:00Z</dcterms:created>
  <dcterms:modified xsi:type="dcterms:W3CDTF">2026-07-10T12:47:00Z</dcterms:modified>
</cp:coreProperties>
</file>