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ind w:firstLine="708"/>
        <w:jc w:val="center"/>
        <w:rPr>
          <w:b/>
          <w:sz w:val="28"/>
          <w:szCs w:val="28"/>
          <w:highlight w:val="none"/>
          <w:shd w:fill="FFFFFF" w:val="clear"/>
        </w:rPr>
      </w:pPr>
      <w:r>
        <w:rPr>
          <w:b/>
          <w:sz w:val="28"/>
          <w:szCs w:val="28"/>
          <w:shd w:fill="FFFFFF" w:val="clear"/>
        </w:rPr>
      </w:r>
    </w:p>
    <w:p>
      <w:pPr>
        <w:pStyle w:val="Normal"/>
        <w:ind w:firstLine="708"/>
        <w:jc w:val="center"/>
        <w:rPr>
          <w:b/>
          <w:sz w:val="28"/>
          <w:szCs w:val="28"/>
          <w:highlight w:val="none"/>
          <w:shd w:fill="FFFFFF" w:val="clear"/>
        </w:rPr>
      </w:pPr>
      <w:r>
        <w:rPr>
          <w:b/>
          <w:sz w:val="28"/>
          <w:szCs w:val="28"/>
          <w:shd w:fill="FFFFFF" w:val="clear"/>
        </w:rPr>
      </w:r>
    </w:p>
    <w:p>
      <w:pPr>
        <w:pStyle w:val="Normal"/>
        <w:ind w:firstLine="708"/>
        <w:jc w:val="center"/>
        <w:rPr>
          <w:b/>
          <w:sz w:val="28"/>
          <w:szCs w:val="28"/>
          <w:highlight w:val="none"/>
          <w:shd w:fill="FFFFFF" w:val="clear"/>
        </w:rPr>
      </w:pPr>
      <w:r>
        <w:rPr>
          <w:b/>
          <w:sz w:val="28"/>
          <w:szCs w:val="28"/>
          <w:shd w:fill="FFFFFF" w:val="clear"/>
        </w:rPr>
      </w:r>
    </w:p>
    <w:p>
      <w:pPr>
        <w:pStyle w:val="Normal"/>
        <w:ind w:firstLine="708"/>
        <w:jc w:val="center"/>
        <w:rPr>
          <w:b/>
          <w:sz w:val="28"/>
          <w:szCs w:val="28"/>
          <w:highlight w:val="none"/>
          <w:shd w:fill="FFFFFF" w:val="clear"/>
        </w:rPr>
      </w:pPr>
      <w:r>
        <w:rPr>
          <w:b/>
          <w:sz w:val="28"/>
          <w:szCs w:val="28"/>
          <w:shd w:fill="FFFFFF" w:val="clear"/>
        </w:rPr>
      </w:r>
    </w:p>
    <w:p>
      <w:pPr>
        <w:pStyle w:val="Normal"/>
        <w:ind w:firstLine="708"/>
        <w:jc w:val="center"/>
        <w:rPr>
          <w:b/>
          <w:sz w:val="28"/>
          <w:szCs w:val="28"/>
          <w:highlight w:val="none"/>
          <w:shd w:fill="FFFFFF" w:val="clear"/>
        </w:rPr>
      </w:pPr>
      <w:r>
        <w:rPr>
          <w:b/>
          <w:sz w:val="28"/>
          <w:szCs w:val="28"/>
          <w:shd w:fill="FFFFFF" w:val="clear"/>
        </w:rPr>
      </w:r>
    </w:p>
    <w:p>
      <w:pPr>
        <w:pStyle w:val="Normal"/>
        <w:ind w:firstLine="708"/>
        <w:jc w:val="center"/>
        <w:rPr>
          <w:b/>
          <w:sz w:val="28"/>
          <w:szCs w:val="28"/>
          <w:highlight w:val="none"/>
          <w:shd w:fill="FFFFFF" w:val="clear"/>
        </w:rPr>
      </w:pPr>
      <w:r>
        <w:rPr>
          <w:b/>
          <w:sz w:val="28"/>
          <w:szCs w:val="28"/>
          <w:shd w:fill="FFFFFF" w:val="clear"/>
        </w:rPr>
      </w:r>
    </w:p>
    <w:p>
      <w:pPr>
        <w:pStyle w:val="Normal"/>
        <w:ind w:firstLine="708"/>
        <w:jc w:val="center"/>
        <w:rPr>
          <w:b/>
          <w:sz w:val="28"/>
          <w:szCs w:val="28"/>
          <w:highlight w:val="none"/>
          <w:shd w:fill="FFFFFF" w:val="clear"/>
        </w:rPr>
      </w:pPr>
      <w:r>
        <w:rPr>
          <w:b/>
          <w:sz w:val="28"/>
          <w:szCs w:val="28"/>
          <w:shd w:fill="FFFFFF" w:val="clear"/>
        </w:rPr>
      </w:r>
    </w:p>
    <w:p>
      <w:pPr>
        <w:pStyle w:val="Normal"/>
        <w:ind w:firstLine="708"/>
        <w:jc w:val="center"/>
        <w:rPr>
          <w:b/>
          <w:sz w:val="28"/>
          <w:szCs w:val="28"/>
          <w:highlight w:val="none"/>
          <w:shd w:fill="FFFFFF" w:val="clear"/>
        </w:rPr>
      </w:pPr>
      <w:r>
        <w:rPr>
          <w:b/>
          <w:sz w:val="28"/>
          <w:szCs w:val="28"/>
          <w:shd w:fill="FFFFFF" w:val="clear"/>
        </w:rPr>
      </w:r>
    </w:p>
    <w:p>
      <w:pPr>
        <w:pStyle w:val="Normal"/>
        <w:ind w:firstLine="708"/>
        <w:jc w:val="center"/>
        <w:rPr>
          <w:b/>
          <w:sz w:val="28"/>
          <w:szCs w:val="28"/>
          <w:highlight w:val="none"/>
          <w:shd w:fill="FFFFFF" w:val="clear"/>
        </w:rPr>
      </w:pPr>
      <w:r>
        <w:rPr>
          <w:b/>
          <w:sz w:val="28"/>
          <w:szCs w:val="28"/>
          <w:shd w:fill="FFFFFF" w:val="clear"/>
        </w:rPr>
      </w:r>
    </w:p>
    <w:p>
      <w:pPr>
        <w:pStyle w:val="Normal"/>
        <w:ind w:firstLine="708"/>
        <w:jc w:val="center"/>
        <w:rPr>
          <w:b/>
          <w:sz w:val="28"/>
          <w:szCs w:val="28"/>
          <w:highlight w:val="none"/>
          <w:shd w:fill="FFFFFF" w:val="clear"/>
        </w:rPr>
      </w:pPr>
      <w:r>
        <w:rPr>
          <w:b/>
          <w:sz w:val="28"/>
          <w:szCs w:val="28"/>
          <w:shd w:fill="FFFFFF" w:val="clear"/>
        </w:rPr>
      </w:r>
    </w:p>
    <w:p>
      <w:pPr>
        <w:pStyle w:val="Normal"/>
        <w:ind w:firstLine="708"/>
        <w:jc w:val="center"/>
        <w:rPr>
          <w:b/>
          <w:sz w:val="28"/>
          <w:szCs w:val="28"/>
          <w:highlight w:val="none"/>
          <w:shd w:fill="FFFFFF" w:val="clear"/>
        </w:rPr>
      </w:pPr>
      <w:r>
        <w:rPr>
          <w:b/>
          <w:sz w:val="28"/>
          <w:szCs w:val="28"/>
          <w:shd w:fill="FFFFFF" w:val="clear"/>
        </w:rPr>
      </w:r>
    </w:p>
    <w:p>
      <w:pPr>
        <w:pStyle w:val="Normal"/>
        <w:ind w:firstLine="708"/>
        <w:jc w:val="center"/>
        <w:rPr>
          <w:b/>
          <w:sz w:val="28"/>
          <w:szCs w:val="28"/>
          <w:highlight w:val="none"/>
          <w:shd w:fill="FFFFFF" w:val="clear"/>
        </w:rPr>
      </w:pPr>
      <w:r>
        <w:rPr>
          <w:b/>
          <w:sz w:val="28"/>
          <w:szCs w:val="28"/>
          <w:shd w:fill="FFFFFF" w:val="clear"/>
        </w:rPr>
      </w:r>
    </w:p>
    <w:p>
      <w:pPr>
        <w:pStyle w:val="Normal"/>
        <w:ind w:firstLine="708"/>
        <w:jc w:val="center"/>
        <w:rPr>
          <w:b/>
          <w:sz w:val="28"/>
          <w:szCs w:val="28"/>
          <w:highlight w:val="none"/>
          <w:shd w:fill="FFFFFF" w:val="clear"/>
        </w:rPr>
      </w:pPr>
      <w:r>
        <w:rPr>
          <w:b/>
          <w:sz w:val="28"/>
          <w:szCs w:val="28"/>
          <w:shd w:fill="FFFFFF" w:val="clear"/>
        </w:rPr>
      </w:r>
    </w:p>
    <w:p>
      <w:pPr>
        <w:pStyle w:val="Normal"/>
        <w:tabs>
          <w:tab w:val="clear" w:pos="720"/>
          <w:tab w:val="left" w:pos="2513" w:leader="none"/>
        </w:tabs>
        <w:jc w:val="center"/>
        <w:rPr>
          <w:highlight w:val="none"/>
          <w:shd w:fill="FFFFFF" w:val="clear"/>
        </w:rPr>
      </w:pPr>
      <w:r>
        <w:rPr>
          <w:b/>
          <w:sz w:val="28"/>
          <w:szCs w:val="28"/>
          <w:shd w:fill="FFFFFF" w:val="clear"/>
        </w:rPr>
        <w:t>Отчет</w:t>
      </w:r>
    </w:p>
    <w:p>
      <w:pPr>
        <w:pStyle w:val="Normal"/>
        <w:tabs>
          <w:tab w:val="clear" w:pos="720"/>
          <w:tab w:val="left" w:pos="2513" w:leader="none"/>
        </w:tabs>
        <w:jc w:val="center"/>
        <w:rPr/>
      </w:pPr>
      <w:r>
        <w:rPr>
          <w:b/>
          <w:sz w:val="28"/>
          <w:szCs w:val="28"/>
          <w:shd w:fill="FFFFFF" w:val="clear"/>
        </w:rPr>
        <w:t xml:space="preserve"> </w:t>
      </w:r>
      <w:r>
        <w:rPr>
          <w:b/>
          <w:sz w:val="28"/>
          <w:szCs w:val="28"/>
          <w:shd w:fill="FFFFFF" w:val="clear"/>
        </w:rPr>
        <w:t>о ходе реализации и оценке эффективности реализации муниципальной программы муниципального образования «Город Калуга» «Формирование современной городской среды» за 2024 год (в соответствии с последней редакцией Программы, утвержденной постановлением Городской Управы города Калуги «О внесении изменений в муниципальную программу муниципального образования «Город Калуга»</w:t>
      </w:r>
      <w:r>
        <w:rPr>
          <w:rStyle w:val="Strong"/>
          <w:sz w:val="28"/>
          <w:szCs w:val="28"/>
          <w:shd w:fill="FFFFFF" w:val="clear"/>
          <w:lang w:eastAsia="en-US"/>
        </w:rPr>
        <w:t xml:space="preserve"> «Формирование современной городской среды»</w:t>
      </w:r>
      <w:r>
        <w:rPr>
          <w:b/>
          <w:sz w:val="28"/>
          <w:szCs w:val="28"/>
          <w:shd w:fill="FFFFFF" w:val="clear"/>
        </w:rPr>
        <w:t xml:space="preserve"> от </w:t>
      </w:r>
      <w:r>
        <w:rPr>
          <w:rStyle w:val="Strong"/>
          <w:sz w:val="28"/>
          <w:szCs w:val="28"/>
          <w:shd w:fill="FFFFFF" w:val="clear"/>
          <w:lang w:eastAsia="en-US"/>
        </w:rPr>
        <w:t>27.12.2017 № 439-п</w:t>
      </w:r>
      <w:r>
        <w:rPr>
          <w:b/>
          <w:bCs/>
          <w:sz w:val="28"/>
          <w:szCs w:val="28"/>
          <w:shd w:fill="FFFFFF" w:val="clear"/>
        </w:rPr>
        <w:t>,</w:t>
      </w:r>
      <w:r>
        <w:rPr>
          <w:b/>
          <w:sz w:val="28"/>
          <w:szCs w:val="28"/>
          <w:shd w:fill="FFFFFF" w:val="clear"/>
        </w:rPr>
        <w:t xml:space="preserve"> от 30.03.2018 № 114-п, от 23.10.2018 № 356-п, от 05.12.2018 № 424-п,</w:t>
      </w:r>
      <w:r>
        <w:rPr>
          <w:shd w:fill="FFFFFF" w:val="clear"/>
        </w:rPr>
        <w:t xml:space="preserve"> </w:t>
      </w:r>
      <w:r>
        <w:rPr>
          <w:b/>
          <w:sz w:val="28"/>
          <w:szCs w:val="28"/>
          <w:shd w:fill="FFFFFF" w:val="clear"/>
        </w:rPr>
        <w:t>от 29.03.2019 № 218-п, от 09.08.2019 № 301-п (ред. 12.08.2019), от 27.12.2019 № 517-п, от 28.02.2020 № 61-п, от 29.10.2020 № 318-п, от 09.03.2021 № 73-п, от 17.03.2021 № 85-п, 22.09.2021 № 338-п, 02.03.2022 № 86-п, 08.04.2022 № 136-п, от 01.11.2022 № 397-п, от 28.04.2023 № 154-п, от 04.10.2023 № 358-п, от 24.07.2024 № 226-П, от 09.10.2024 № 328-П).</w:t>
      </w:r>
      <w:r>
        <w:rPr>
          <w:b/>
          <w:bCs/>
          <w:sz w:val="28"/>
          <w:szCs w:val="28"/>
          <w:shd w:fill="FFFFFF" w:val="clear"/>
        </w:rPr>
        <w:tab/>
      </w:r>
    </w:p>
    <w:p>
      <w:pPr>
        <w:pStyle w:val="Normal"/>
        <w:jc w:val="both"/>
        <w:rPr>
          <w:b/>
          <w:sz w:val="28"/>
          <w:szCs w:val="28"/>
          <w:highlight w:val="none"/>
          <w:shd w:fill="FFFFFF" w:val="clear"/>
        </w:rPr>
      </w:pPr>
      <w:r>
        <w:rPr>
          <w:b/>
          <w:sz w:val="28"/>
          <w:szCs w:val="28"/>
          <w:shd w:fill="FFFFFF" w:val="clear"/>
        </w:rPr>
      </w:r>
    </w:p>
    <w:p>
      <w:pPr>
        <w:pStyle w:val="Normal"/>
        <w:jc w:val="center"/>
        <w:rPr>
          <w:b/>
          <w:sz w:val="28"/>
          <w:szCs w:val="28"/>
          <w:highlight w:val="none"/>
          <w:shd w:fill="FFFFFF" w:val="clear"/>
        </w:rPr>
      </w:pPr>
      <w:r>
        <w:rPr>
          <w:b/>
          <w:sz w:val="28"/>
          <w:szCs w:val="28"/>
          <w:shd w:fill="FFFFFF" w:val="clear"/>
        </w:rPr>
      </w:r>
    </w:p>
    <w:p>
      <w:pPr>
        <w:pStyle w:val="Normal"/>
        <w:jc w:val="center"/>
        <w:rPr>
          <w:b/>
          <w:sz w:val="28"/>
          <w:szCs w:val="28"/>
          <w:highlight w:val="none"/>
          <w:shd w:fill="FFFFFF" w:val="clear"/>
        </w:rPr>
      </w:pPr>
      <w:r>
        <w:rPr>
          <w:b/>
          <w:sz w:val="28"/>
          <w:szCs w:val="28"/>
          <w:shd w:fill="FFFFFF" w:val="clear"/>
        </w:rPr>
      </w:r>
    </w:p>
    <w:p>
      <w:pPr>
        <w:pStyle w:val="Normal"/>
        <w:jc w:val="center"/>
        <w:rPr>
          <w:b/>
          <w:sz w:val="28"/>
          <w:szCs w:val="28"/>
          <w:highlight w:val="none"/>
          <w:shd w:fill="FFFFFF" w:val="clear"/>
        </w:rPr>
      </w:pPr>
      <w:r>
        <w:rPr>
          <w:b/>
          <w:sz w:val="28"/>
          <w:szCs w:val="28"/>
          <w:shd w:fill="FFFFFF" w:val="clear"/>
        </w:rPr>
      </w:r>
    </w:p>
    <w:p>
      <w:pPr>
        <w:pStyle w:val="Normal"/>
        <w:jc w:val="center"/>
        <w:rPr>
          <w:b/>
          <w:sz w:val="28"/>
          <w:szCs w:val="28"/>
          <w:highlight w:val="none"/>
          <w:shd w:fill="FFFFFF" w:val="clear"/>
        </w:rPr>
      </w:pPr>
      <w:r>
        <w:rPr>
          <w:b/>
          <w:sz w:val="28"/>
          <w:szCs w:val="28"/>
          <w:shd w:fill="FFFFFF" w:val="clear"/>
        </w:rPr>
      </w:r>
    </w:p>
    <w:p>
      <w:pPr>
        <w:pStyle w:val="Normal"/>
        <w:jc w:val="center"/>
        <w:rPr>
          <w:b/>
          <w:sz w:val="28"/>
          <w:szCs w:val="28"/>
          <w:highlight w:val="none"/>
          <w:shd w:fill="FFFFFF" w:val="clear"/>
        </w:rPr>
      </w:pPr>
      <w:r>
        <w:rPr>
          <w:b/>
          <w:sz w:val="28"/>
          <w:szCs w:val="28"/>
          <w:shd w:fill="FFFFFF" w:val="clear"/>
        </w:rPr>
      </w:r>
    </w:p>
    <w:p>
      <w:pPr>
        <w:pStyle w:val="Normal"/>
        <w:jc w:val="center"/>
        <w:rPr>
          <w:b/>
          <w:sz w:val="28"/>
          <w:szCs w:val="28"/>
          <w:highlight w:val="none"/>
          <w:shd w:fill="FFFFFF" w:val="clear"/>
        </w:rPr>
      </w:pPr>
      <w:r>
        <w:rPr>
          <w:b/>
          <w:sz w:val="28"/>
          <w:szCs w:val="28"/>
          <w:shd w:fill="FFFFFF" w:val="clear"/>
        </w:rPr>
      </w:r>
    </w:p>
    <w:p>
      <w:pPr>
        <w:pStyle w:val="Normal"/>
        <w:jc w:val="center"/>
        <w:rPr>
          <w:b/>
          <w:sz w:val="28"/>
          <w:szCs w:val="28"/>
          <w:highlight w:val="none"/>
          <w:shd w:fill="FFFFFF" w:val="clear"/>
        </w:rPr>
      </w:pPr>
      <w:r>
        <w:rPr>
          <w:b/>
          <w:sz w:val="28"/>
          <w:szCs w:val="28"/>
          <w:shd w:fill="FFFFFF" w:val="clear"/>
        </w:rPr>
      </w:r>
    </w:p>
    <w:p>
      <w:pPr>
        <w:pStyle w:val="Normal"/>
        <w:jc w:val="center"/>
        <w:rPr>
          <w:b/>
          <w:sz w:val="28"/>
          <w:szCs w:val="28"/>
          <w:highlight w:val="none"/>
          <w:shd w:fill="FFFFFF" w:val="clear"/>
        </w:rPr>
      </w:pPr>
      <w:r>
        <w:rPr>
          <w:b/>
          <w:sz w:val="28"/>
          <w:szCs w:val="28"/>
          <w:shd w:fill="FFFFFF" w:val="clear"/>
        </w:rPr>
      </w:r>
    </w:p>
    <w:p>
      <w:pPr>
        <w:pStyle w:val="Normal"/>
        <w:jc w:val="center"/>
        <w:rPr>
          <w:b/>
          <w:sz w:val="28"/>
          <w:szCs w:val="28"/>
          <w:highlight w:val="none"/>
          <w:shd w:fill="FFFFFF" w:val="clear"/>
        </w:rPr>
      </w:pPr>
      <w:r>
        <w:rPr>
          <w:b/>
          <w:sz w:val="28"/>
          <w:szCs w:val="28"/>
          <w:shd w:fill="FFFFFF" w:val="clear"/>
        </w:rPr>
      </w:r>
    </w:p>
    <w:p>
      <w:pPr>
        <w:sectPr>
          <w:type w:val="nextPage"/>
          <w:pgSz w:w="11906" w:h="16838"/>
          <w:pgMar w:left="1134" w:right="1134" w:gutter="0" w:header="0" w:top="1134" w:footer="0" w:bottom="1134"/>
          <w:pgNumType w:start="1" w:fmt="decimal"/>
          <w:formProt w:val="false"/>
          <w:textDirection w:val="lrTb"/>
          <w:docGrid w:type="default" w:linePitch="100" w:charSpace="8192"/>
        </w:sectPr>
        <w:pStyle w:val="Normal"/>
        <w:jc w:val="center"/>
        <w:rPr>
          <w:b/>
          <w:sz w:val="28"/>
          <w:szCs w:val="28"/>
          <w:highlight w:val="none"/>
          <w:shd w:fill="FFFFFF" w:val="clear"/>
        </w:rPr>
      </w:pPr>
      <w:r>
        <w:rPr>
          <w:b/>
          <w:sz w:val="28"/>
          <w:szCs w:val="28"/>
          <w:shd w:fill="FFFFFF" w:val="clear"/>
        </w:rPr>
      </w:r>
    </w:p>
    <w:p>
      <w:pPr>
        <w:pStyle w:val="Normal"/>
        <w:numPr>
          <w:ilvl w:val="0"/>
          <w:numId w:val="4"/>
        </w:numPr>
        <w:spacing w:before="0" w:after="0"/>
        <w:contextualSpacing/>
        <w:jc w:val="both"/>
        <w:rPr>
          <w:highlight w:val="none"/>
          <w:shd w:fill="FFFFFF" w:val="clear"/>
        </w:rPr>
      </w:pPr>
      <w:r>
        <w:rPr>
          <w:b/>
          <w:bCs/>
          <w:sz w:val="24"/>
          <w:szCs w:val="24"/>
          <w:shd w:fill="FFFFFF" w:val="clear"/>
          <w:lang w:eastAsia="ru-RU"/>
        </w:rPr>
        <w:t xml:space="preserve"> </w:t>
      </w:r>
      <w:r>
        <w:rPr>
          <w:b/>
          <w:bCs/>
          <w:sz w:val="24"/>
          <w:szCs w:val="24"/>
          <w:shd w:fill="FFFFFF" w:val="clear"/>
          <w:lang w:eastAsia="ru-RU"/>
        </w:rPr>
        <w:t>Конкретные результаты, достигнутые за отчетный период.</w:t>
      </w:r>
    </w:p>
    <w:p>
      <w:pPr>
        <w:pStyle w:val="Normal"/>
        <w:spacing w:before="0" w:after="0"/>
        <w:contextualSpacing/>
        <w:jc w:val="both"/>
        <w:rPr/>
      </w:pPr>
      <w:r>
        <w:rPr>
          <w:sz w:val="24"/>
          <w:szCs w:val="24"/>
          <w:shd w:fill="FFFFFF" w:val="clear"/>
        </w:rPr>
        <w:tab/>
        <w:t xml:space="preserve">Основными целями муниципальной программы муниципального образования «Город Калуга» </w:t>
      </w:r>
      <w:r>
        <w:rPr>
          <w:rStyle w:val="Strong"/>
          <w:b w:val="false"/>
          <w:bCs w:val="false"/>
          <w:sz w:val="24"/>
          <w:szCs w:val="24"/>
          <w:shd w:fill="FFFFFF" w:val="clear"/>
          <w:lang w:eastAsia="en-US"/>
        </w:rPr>
        <w:t>«Формирование современной городской среды»</w:t>
      </w:r>
      <w:r>
        <w:rPr>
          <w:sz w:val="24"/>
          <w:szCs w:val="24"/>
          <w:shd w:fill="FFFFFF" w:val="clear"/>
        </w:rPr>
        <w:t xml:space="preserve"> (далее – Программа) являются:</w:t>
      </w:r>
    </w:p>
    <w:p>
      <w:pPr>
        <w:pStyle w:val="Normal"/>
        <w:spacing w:before="0" w:after="0"/>
        <w:contextualSpacing/>
        <w:jc w:val="both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ab/>
        <w:t>1. Создание условий для системного повышения качества и комфорта городской среды на территории муниципального образования «Город Калуга».</w:t>
      </w:r>
    </w:p>
    <w:p>
      <w:pPr>
        <w:pStyle w:val="Normal"/>
        <w:spacing w:before="0" w:after="0"/>
        <w:contextualSpacing/>
        <w:jc w:val="both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ab/>
        <w:t>В качестве основных задач Программы выступают:</w:t>
      </w:r>
    </w:p>
    <w:p>
      <w:pPr>
        <w:pStyle w:val="Normal"/>
        <w:spacing w:before="0" w:after="0"/>
        <w:contextualSpacing/>
        <w:jc w:val="both"/>
        <w:rPr>
          <w:highlight w:val="none"/>
          <w:shd w:fill="FFFFFF" w:val="clear"/>
        </w:rPr>
      </w:pPr>
      <w:r>
        <w:rPr>
          <w:color w:val="000000"/>
          <w:sz w:val="24"/>
          <w:szCs w:val="24"/>
          <w:shd w:fill="FFFFFF" w:val="clear"/>
        </w:rPr>
        <w:tab/>
        <w:t>1. Повышение комфортности условий проживания граждан;</w:t>
      </w:r>
    </w:p>
    <w:p>
      <w:pPr>
        <w:pStyle w:val="Normal"/>
        <w:jc w:val="both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ab/>
        <w:t>2. Привлечение заинтересованных лиц (жителей) к выполнению комплекса работ по благоустройству дворовых территорий.</w:t>
      </w:r>
    </w:p>
    <w:p>
      <w:pPr>
        <w:pStyle w:val="Normal"/>
        <w:jc w:val="both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ab/>
        <w:t>Программа реализуется в период с 2018 года по 2026 год.</w:t>
      </w:r>
    </w:p>
    <w:p>
      <w:pPr>
        <w:pStyle w:val="ConsPlusNormal"/>
        <w:ind w:firstLine="540"/>
        <w:jc w:val="both"/>
        <w:rPr/>
      </w:pPr>
      <w:r>
        <w:rPr>
          <w:sz w:val="24"/>
          <w:szCs w:val="24"/>
          <w:shd w:fill="FFFFFF" w:val="clear"/>
        </w:rPr>
        <w:t xml:space="preserve">Для решения поставленных в Программе задач предусмотрены </w:t>
      </w:r>
      <w:hyperlink w:anchor="P397">
        <w:r>
          <w:rPr>
            <w:rStyle w:val="ListLabel55"/>
            <w:color w:val="000000"/>
            <w:sz w:val="24"/>
            <w:szCs w:val="24"/>
            <w:shd w:fill="FFFFFF" w:val="clear"/>
            <w:lang w:bidi="en-US"/>
          </w:rPr>
          <w:t>мероприятия</w:t>
        </w:r>
      </w:hyperlink>
      <w:r>
        <w:rPr>
          <w:color w:val="000000"/>
          <w:sz w:val="24"/>
          <w:szCs w:val="24"/>
          <w:shd w:fill="FFFFFF" w:val="clear"/>
        </w:rPr>
        <w:t xml:space="preserve"> </w:t>
      </w:r>
      <w:r>
        <w:rPr>
          <w:sz w:val="24"/>
          <w:szCs w:val="24"/>
          <w:shd w:fill="FFFFFF" w:val="clear"/>
        </w:rPr>
        <w:t>по следующим направлениям:</w:t>
      </w:r>
    </w:p>
    <w:p>
      <w:pPr>
        <w:pStyle w:val="15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ab/>
        <w:t>- увеличение количества благоустроенных дворовых территорий многоквартирных домов до 2728 шт.;</w:t>
      </w:r>
    </w:p>
    <w:p>
      <w:pPr>
        <w:pStyle w:val="15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ab/>
        <w:t>- увеличение количества благоустроенных общественных территорий до 65 шт.;</w:t>
      </w:r>
    </w:p>
    <w:p>
      <w:pPr>
        <w:pStyle w:val="15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ab/>
        <w:t>- повышение комфортности условий проживания граждан;</w:t>
      </w:r>
    </w:p>
    <w:p>
      <w:pPr>
        <w:pStyle w:val="15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ab/>
        <w:t>- обеспечение вовлеченности населения, организаций в реализацию мероприятий по благоустройству территории города Калуги;</w:t>
      </w:r>
    </w:p>
    <w:p>
      <w:pPr>
        <w:pStyle w:val="15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ab/>
        <w:t>- увеличение мест отдыха населения.</w:t>
      </w:r>
    </w:p>
    <w:p>
      <w:pPr>
        <w:pStyle w:val="Normal"/>
        <w:jc w:val="both"/>
        <w:rPr/>
      </w:pPr>
      <w:r>
        <w:rPr>
          <w:sz w:val="24"/>
          <w:szCs w:val="24"/>
          <w:shd w:fill="FFFFFF" w:val="clear"/>
        </w:rPr>
        <w:tab/>
      </w:r>
      <w:r>
        <w:rPr>
          <w:rStyle w:val="Strong"/>
          <w:b w:val="false"/>
          <w:bCs w:val="false"/>
          <w:color w:val="000000"/>
          <w:sz w:val="24"/>
          <w:szCs w:val="24"/>
          <w:shd w:fill="FFFFFF" w:val="clear"/>
        </w:rPr>
        <w:t>В 2024 году в рамках реализации муниципальной программы «Формирование современной городской среды» осуществлены работы по благоустройству одной общественной территории общей площадью 3 003 кв.м. Следует отметить, что в предшествующем году количество благоустроенных общественных территорий составило 63 единицы, при этом на 2024 год был установлен плановый показатель в 65 территорий. Фактически по итогам отчетного периода благоустроено 65 общественные территории. Общая площадь всех благоустроенных общественных пространств за 2024 год достигла 983 247 кв.м., что полностью соответствует установленному плановому значению.</w:t>
      </w:r>
    </w:p>
    <w:p>
      <w:pPr>
        <w:pStyle w:val="Normal"/>
        <w:jc w:val="both"/>
        <w:rPr/>
      </w:pPr>
      <w:r>
        <w:rPr>
          <w:sz w:val="24"/>
          <w:szCs w:val="24"/>
          <w:shd w:fill="FFFFFF" w:val="clear"/>
        </w:rPr>
        <w:tab/>
        <w:t xml:space="preserve">Кроме этого а 2024 году были проведены работы по </w:t>
      </w:r>
      <w:r>
        <w:rPr>
          <w:rStyle w:val="Strong"/>
          <w:b w:val="false"/>
          <w:bCs w:val="false"/>
          <w:color w:val="000000"/>
          <w:sz w:val="24"/>
          <w:szCs w:val="24"/>
          <w:shd w:fill="FFFFFF" w:val="clear"/>
          <w:lang w:eastAsia="en-US"/>
        </w:rPr>
        <w:t>Б</w:t>
      </w:r>
      <w:r>
        <w:rPr>
          <w:rStyle w:val="Strong"/>
          <w:b w:val="false"/>
          <w:bCs w:val="false"/>
          <w:sz w:val="24"/>
          <w:szCs w:val="24"/>
          <w:shd w:fill="FFFFFF" w:val="clear"/>
          <w:lang w:eastAsia="en-US"/>
        </w:rPr>
        <w:t>лагоустройству территории  Яченского водохранилища и сквера им В.Н.Волкова.</w:t>
      </w:r>
      <w:r>
        <w:rPr>
          <w:rStyle w:val="Strong"/>
          <w:b w:val="false"/>
          <w:bCs w:val="false"/>
          <w:sz w:val="24"/>
          <w:szCs w:val="24"/>
          <w:shd w:fill="FFFFFF" w:val="clear"/>
        </w:rPr>
        <w:t xml:space="preserve"> </w:t>
      </w:r>
    </w:p>
    <w:p>
      <w:pPr>
        <w:pStyle w:val="Style22"/>
        <w:tabs>
          <w:tab w:val="clear" w:pos="720"/>
          <w:tab w:val="left" w:pos="567" w:leader="none"/>
          <w:tab w:val="left" w:pos="709" w:leader="none"/>
          <w:tab w:val="left" w:pos="851" w:leader="none"/>
          <w:tab w:val="left" w:pos="1980" w:leader="none"/>
        </w:tabs>
        <w:jc w:val="both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ab/>
        <w:tab/>
        <w:t>Перечень проведенных работ:</w:t>
      </w:r>
    </w:p>
    <w:p>
      <w:pPr>
        <w:pStyle w:val="Normal"/>
        <w:numPr>
          <w:ilvl w:val="0"/>
          <w:numId w:val="6"/>
        </w:numPr>
        <w:tabs>
          <w:tab w:val="clear" w:pos="720"/>
        </w:tabs>
        <w:ind w:hanging="567" w:left="720"/>
        <w:jc w:val="both"/>
        <w:rPr>
          <w:highlight w:val="none"/>
          <w:shd w:fill="FFFFFF" w:val="clear"/>
        </w:rPr>
      </w:pPr>
      <w:r>
        <w:rPr>
          <w:color w:val="000000"/>
          <w:sz w:val="24"/>
          <w:szCs w:val="24"/>
          <w:shd w:fill="FFFFFF" w:val="clear"/>
        </w:rPr>
        <w:t>Б</w:t>
      </w:r>
      <w:r>
        <w:rPr>
          <w:sz w:val="24"/>
          <w:szCs w:val="24"/>
          <w:shd w:fill="FFFFFF" w:val="clear"/>
        </w:rPr>
        <w:t>лагоустройство территории Яченского водохранилища (устройство ливневой канализации ) (в т.ч.ПИР).</w:t>
      </w:r>
    </w:p>
    <w:p>
      <w:pPr>
        <w:pStyle w:val="Normal"/>
        <w:numPr>
          <w:ilvl w:val="0"/>
          <w:numId w:val="6"/>
        </w:numPr>
        <w:tabs>
          <w:tab w:val="clear" w:pos="720"/>
        </w:tabs>
        <w:ind w:hanging="567" w:left="720"/>
        <w:jc w:val="both"/>
        <w:rPr>
          <w:highlight w:val="none"/>
          <w:shd w:fill="FFFFFF" w:val="clear"/>
        </w:rPr>
      </w:pPr>
      <w:r>
        <w:rPr>
          <w:color w:val="000000"/>
          <w:sz w:val="24"/>
          <w:szCs w:val="24"/>
          <w:shd w:fill="FFFFFF" w:val="clear"/>
        </w:rPr>
        <w:t>Б</w:t>
      </w:r>
      <w:r>
        <w:rPr>
          <w:sz w:val="24"/>
          <w:szCs w:val="24"/>
          <w:shd w:fill="FFFFFF" w:val="clear"/>
        </w:rPr>
        <w:t>лагоустройство</w:t>
      </w:r>
      <w:r>
        <w:rPr>
          <w:color w:val="000000"/>
          <w:sz w:val="24"/>
          <w:szCs w:val="24"/>
          <w:shd w:fill="FFFFFF" w:val="clear"/>
        </w:rPr>
        <w:t xml:space="preserve"> территории, прилегающей к Яченскому водохранилищу (в</w:t>
      </w:r>
      <w:r>
        <w:rPr>
          <w:sz w:val="24"/>
          <w:szCs w:val="24"/>
          <w:shd w:fill="FFFFFF" w:val="clear"/>
        </w:rPr>
        <w:t xml:space="preserve"> т.ч.ПИР).</w:t>
      </w:r>
    </w:p>
    <w:p>
      <w:pPr>
        <w:pStyle w:val="Normal"/>
        <w:numPr>
          <w:ilvl w:val="0"/>
          <w:numId w:val="6"/>
        </w:numPr>
        <w:tabs>
          <w:tab w:val="clear" w:pos="720"/>
        </w:tabs>
        <w:ind w:hanging="567" w:left="720"/>
        <w:jc w:val="both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 xml:space="preserve">Благоустройство территории сквера им В.Н. Волкова. </w:t>
      </w:r>
    </w:p>
    <w:p>
      <w:pPr>
        <w:pStyle w:val="Normal"/>
        <w:jc w:val="both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ab/>
      </w:r>
      <w:r>
        <w:br w:type="page"/>
      </w:r>
    </w:p>
    <w:p>
      <w:pPr>
        <w:pStyle w:val="Normal"/>
        <w:jc w:val="both"/>
        <w:rPr>
          <w:highlight w:val="none"/>
          <w:shd w:fill="FFFFFF" w:val="clear"/>
        </w:rPr>
      </w:pPr>
      <w:r>
        <w:rPr>
          <w:shd w:fill="FFFFFF" w:val="clear"/>
        </w:rPr>
      </w:r>
    </w:p>
    <w:p>
      <w:pPr>
        <w:pStyle w:val="Normal"/>
        <w:jc w:val="both"/>
        <w:rPr>
          <w:highlight w:val="none"/>
          <w:shd w:fill="FFFFFF" w:val="clear"/>
        </w:rPr>
      </w:pPr>
      <w:r>
        <w:rPr>
          <w:b/>
          <w:bCs/>
          <w:sz w:val="24"/>
          <w:szCs w:val="24"/>
          <w:shd w:fill="FFFFFF" w:val="clear"/>
          <w:lang w:eastAsia="ru-RU"/>
        </w:rPr>
        <w:t>2. Результаты, достигнутые за отчетный период, на основании индикаторов муниципальной программы (показателей подпрограммы).</w:t>
      </w:r>
    </w:p>
    <w:p>
      <w:pPr>
        <w:pStyle w:val="Normal"/>
        <w:ind w:left="900"/>
        <w:rPr>
          <w:b/>
          <w:bCs/>
          <w:sz w:val="24"/>
          <w:szCs w:val="24"/>
          <w:highlight w:val="none"/>
          <w:shd w:fill="FFFFFF" w:val="clear"/>
          <w:lang w:eastAsia="ru-RU"/>
        </w:rPr>
      </w:pPr>
      <w:r>
        <w:rPr>
          <w:b/>
          <w:bCs/>
          <w:sz w:val="24"/>
          <w:szCs w:val="24"/>
          <w:shd w:fill="FFFFFF" w:val="clear"/>
          <w:lang w:eastAsia="ru-RU"/>
        </w:rPr>
      </w:r>
    </w:p>
    <w:p>
      <w:pPr>
        <w:pStyle w:val="Normal"/>
        <w:rPr>
          <w:highlight w:val="none"/>
          <w:shd w:fill="FFFFFF" w:val="clear"/>
        </w:rPr>
      </w:pPr>
      <w:r>
        <w:rPr>
          <w:b/>
          <w:sz w:val="24"/>
          <w:szCs w:val="24"/>
          <w:shd w:fill="FFFFFF" w:val="clear"/>
        </w:rPr>
        <w:t>Сведения</w:t>
      </w:r>
      <w:r>
        <w:rPr>
          <w:b/>
          <w:sz w:val="28"/>
          <w:szCs w:val="28"/>
          <w:shd w:fill="FFFFFF" w:val="clear"/>
        </w:rPr>
        <w:t xml:space="preserve"> </w:t>
      </w:r>
      <w:r>
        <w:rPr>
          <w:b/>
          <w:sz w:val="24"/>
          <w:szCs w:val="24"/>
          <w:shd w:fill="FFFFFF" w:val="clear"/>
        </w:rPr>
        <w:t>о достижении значений показателей (индикаторов) Программы.</w:t>
      </w:r>
    </w:p>
    <w:p>
      <w:pPr>
        <w:pStyle w:val="Normal"/>
        <w:rPr>
          <w:b/>
          <w:sz w:val="24"/>
          <w:szCs w:val="24"/>
          <w:highlight w:val="none"/>
          <w:shd w:fill="FFFFFF" w:val="clear"/>
        </w:rPr>
      </w:pPr>
      <w:r>
        <w:rPr>
          <w:b/>
          <w:sz w:val="24"/>
          <w:szCs w:val="24"/>
          <w:shd w:fill="FFFFFF" w:val="clear"/>
        </w:rPr>
      </w:r>
    </w:p>
    <w:tbl>
      <w:tblPr>
        <w:tblW w:w="9782" w:type="dxa"/>
        <w:jc w:val="left"/>
        <w:tblInd w:w="-2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27"/>
        <w:gridCol w:w="2886"/>
        <w:gridCol w:w="708"/>
        <w:gridCol w:w="1278"/>
        <w:gridCol w:w="707"/>
        <w:gridCol w:w="709"/>
        <w:gridCol w:w="2866"/>
      </w:tblGrid>
      <w:tr>
        <w:trPr>
          <w:cantSplit w:val="true"/>
        </w:trPr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№ </w:t>
            </w:r>
            <w:r>
              <w:rPr>
                <w:sz w:val="22"/>
                <w:szCs w:val="22"/>
                <w:shd w:fill="FFFFFF" w:val="clear"/>
              </w:rPr>
              <w:t>п/п</w:t>
            </w:r>
          </w:p>
        </w:tc>
        <w:tc>
          <w:tcPr>
            <w:tcW w:w="2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Наименование показателя (индикатора)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Ед. изм.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Значения показателя (индикатора)</w:t>
            </w:r>
          </w:p>
        </w:tc>
        <w:tc>
          <w:tcPr>
            <w:tcW w:w="2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Обоснование отклонений значений показателя (индикатора) на конец отчетного года (при наличии)</w:t>
            </w:r>
          </w:p>
        </w:tc>
      </w:tr>
      <w:tr>
        <w:trPr>
          <w:trHeight w:val="230" w:hRule="atLeast"/>
          <w:cantSplit w:val="true"/>
        </w:trPr>
        <w:tc>
          <w:tcPr>
            <w:tcW w:w="6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none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</w:r>
          </w:p>
        </w:tc>
        <w:tc>
          <w:tcPr>
            <w:tcW w:w="28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none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</w:r>
          </w:p>
        </w:tc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none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год, предшест-вующий отчетному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отчетный год</w:t>
            </w:r>
          </w:p>
        </w:tc>
        <w:tc>
          <w:tcPr>
            <w:tcW w:w="28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none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</w:r>
          </w:p>
        </w:tc>
      </w:tr>
      <w:tr>
        <w:trPr>
          <w:cantSplit w:val="true"/>
        </w:trPr>
        <w:tc>
          <w:tcPr>
            <w:tcW w:w="6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none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</w:r>
          </w:p>
        </w:tc>
        <w:tc>
          <w:tcPr>
            <w:tcW w:w="28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none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</w:r>
          </w:p>
        </w:tc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none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</w:r>
          </w:p>
        </w:tc>
        <w:tc>
          <w:tcPr>
            <w:tcW w:w="12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none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факт</w:t>
            </w:r>
          </w:p>
        </w:tc>
        <w:tc>
          <w:tcPr>
            <w:tcW w:w="28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none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</w:r>
          </w:p>
        </w:tc>
      </w:tr>
      <w:tr>
        <w:trPr/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6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7</w:t>
            </w:r>
          </w:p>
        </w:tc>
      </w:tr>
      <w:tr>
        <w:trPr/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  <w:shd w:fill="FFFFFF" w:val="clear"/>
              </w:rPr>
              <w:t xml:space="preserve">Муниципальная программа муниципального образования «Город Калуга» </w:t>
            </w:r>
            <w:r>
              <w:rPr>
                <w:rStyle w:val="Strong"/>
                <w:sz w:val="24"/>
                <w:szCs w:val="24"/>
                <w:shd w:fill="FFFFFF" w:val="clear"/>
                <w:lang w:eastAsia="en-US"/>
              </w:rPr>
              <w:t>«Формирование современной городской среды»</w:t>
            </w:r>
          </w:p>
        </w:tc>
      </w:tr>
      <w:tr>
        <w:trPr>
          <w:trHeight w:val="786" w:hRule="atLeast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Normal"/>
              <w:ind w:hanging="0" w:right="-28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Количество благоустроенных дворовых территорий многоквартирных домов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Normal"/>
              <w:ind w:hanging="0" w:right="-28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шт.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2674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2728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2674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Комплексное благоустройство дворовых территорий в 2024 году не производилось.</w:t>
            </w:r>
          </w:p>
        </w:tc>
      </w:tr>
      <w:tr>
        <w:trPr/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2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Площадь благоустроенных дворовых территорий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>кв.м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2093742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2318800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2093742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Комплексное благоустройство дворовых территорий в 2024 году не производилось.</w:t>
            </w:r>
          </w:p>
        </w:tc>
      </w:tr>
      <w:tr>
        <w:trPr>
          <w:trHeight w:val="489" w:hRule="atLeast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>3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Количество благоустроенных общественных территорий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шт.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63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10" w:leader="none"/>
                <w:tab w:val="center" w:pos="347" w:leader="none"/>
              </w:tabs>
              <w:rPr>
                <w:highlight w:val="none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ab/>
              <w:t>65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-</w:t>
            </w:r>
          </w:p>
        </w:tc>
      </w:tr>
      <w:tr>
        <w:trPr>
          <w:trHeight w:val="782" w:hRule="atLeast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4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Площадь благоустроенных общественных территорий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>кв.м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>980244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>1043247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>983247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-</w:t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701" w:right="851" w:gutter="0" w:header="709" w:top="766" w:footer="0" w:bottom="851"/>
          <w:pgNumType w:fmt="none"/>
          <w:formProt w:val="false"/>
          <w:titlePg/>
          <w:textDirection w:val="lrTb"/>
          <w:docGrid w:type="default" w:linePitch="272" w:charSpace="8192"/>
        </w:sectPr>
      </w:pPr>
    </w:p>
    <w:p>
      <w:pPr>
        <w:pStyle w:val="Normal"/>
        <w:numPr>
          <w:ilvl w:val="0"/>
          <w:numId w:val="5"/>
        </w:numPr>
        <w:jc w:val="both"/>
        <w:rPr>
          <w:highlight w:val="none"/>
          <w:shd w:fill="FFFFFF" w:val="clear"/>
        </w:rPr>
      </w:pPr>
      <w:r>
        <w:rPr>
          <w:b/>
          <w:bCs/>
          <w:sz w:val="24"/>
          <w:szCs w:val="24"/>
          <w:shd w:fill="FFFFFF" w:val="clear"/>
          <w:lang w:eastAsia="ru-RU"/>
        </w:rPr>
        <w:t>Перечень мероприятий, выполненных и не выполненных (с указанием причин) в установленные сроки.</w:t>
      </w:r>
    </w:p>
    <w:p>
      <w:pPr>
        <w:pStyle w:val="Normal"/>
        <w:ind w:firstLine="708" w:left="900"/>
        <w:rPr>
          <w:b/>
          <w:bCs/>
          <w:sz w:val="24"/>
          <w:szCs w:val="24"/>
          <w:highlight w:val="none"/>
          <w:shd w:fill="FFFFFF" w:val="clear"/>
          <w:lang w:eastAsia="ru-RU"/>
        </w:rPr>
      </w:pPr>
      <w:r>
        <w:rPr>
          <w:b/>
          <w:bCs/>
          <w:sz w:val="24"/>
          <w:szCs w:val="24"/>
          <w:shd w:fill="FFFFFF" w:val="clear"/>
          <w:lang w:eastAsia="ru-RU"/>
        </w:rPr>
      </w:r>
    </w:p>
    <w:p>
      <w:pPr>
        <w:pStyle w:val="Normal"/>
        <w:jc w:val="center"/>
        <w:rPr>
          <w:highlight w:val="none"/>
          <w:shd w:fill="FFFFFF" w:val="clear"/>
        </w:rPr>
      </w:pPr>
      <w:r>
        <w:rPr>
          <w:b/>
          <w:sz w:val="24"/>
          <w:szCs w:val="24"/>
          <w:shd w:fill="FFFFFF" w:val="clear"/>
        </w:rPr>
        <w:t>Сведения о степени выполнения мероприятий (основных мероприятий) муниципальной программы.</w:t>
      </w:r>
    </w:p>
    <w:p>
      <w:pPr>
        <w:pStyle w:val="Normal"/>
        <w:rPr>
          <w:b/>
          <w:sz w:val="24"/>
          <w:szCs w:val="24"/>
          <w:highlight w:val="none"/>
          <w:shd w:fill="FFFFFF" w:val="clear"/>
        </w:rPr>
      </w:pPr>
      <w:r>
        <w:rPr>
          <w:b/>
          <w:sz w:val="24"/>
          <w:szCs w:val="24"/>
          <w:shd w:fill="FFFFFF" w:val="clear"/>
        </w:rPr>
      </w:r>
    </w:p>
    <w:tbl>
      <w:tblPr>
        <w:tblW w:w="15597" w:type="dxa"/>
        <w:jc w:val="left"/>
        <w:tblInd w:w="-2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8"/>
        <w:gridCol w:w="2155"/>
        <w:gridCol w:w="2785"/>
        <w:gridCol w:w="1363"/>
        <w:gridCol w:w="1360"/>
        <w:gridCol w:w="1305"/>
        <w:gridCol w:w="1190"/>
        <w:gridCol w:w="1757"/>
        <w:gridCol w:w="1698"/>
        <w:gridCol w:w="1474"/>
      </w:tblGrid>
      <w:tr>
        <w:trPr>
          <w:tblHeader w:val="true"/>
          <w:trHeight w:val="1875" w:hRule="atLeast"/>
          <w:cantSplit w:val="true"/>
        </w:trPr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 xml:space="preserve">№ </w:t>
            </w:r>
            <w:r>
              <w:rPr>
                <w:shd w:fill="FFFFFF" w:val="clear"/>
              </w:rPr>
              <w:t>п/п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Наименование мероприятия (основного мероприятия) подпрограммы (ведомственной целевой программы), прочего мероприятия (основного мероприятия) программы</w:t>
            </w:r>
          </w:p>
        </w:tc>
        <w:tc>
          <w:tcPr>
            <w:tcW w:w="2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Ответственный исполнитель, соисполнитель, участник муниципальной программы</w:t>
            </w:r>
          </w:p>
        </w:tc>
        <w:tc>
          <w:tcPr>
            <w:tcW w:w="2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Плановый срок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Фактический срок</w:t>
            </w:r>
          </w:p>
        </w:tc>
        <w:tc>
          <w:tcPr>
            <w:tcW w:w="3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Результаты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Проблемы, возникшие в ходе</w:t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реализации мероприятия</w:t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>
          <w:tblHeader w:val="true"/>
          <w:trHeight w:val="501" w:hRule="atLeast"/>
          <w:cantSplit w:val="true"/>
        </w:trPr>
        <w:tc>
          <w:tcPr>
            <w:tcW w:w="5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1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начало реализации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окончание реализации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начало реализации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right="-255"/>
              <w:jc w:val="both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окончание реализации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запланированные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достигнутые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>
          <w:tblHeader w:val="true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2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6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8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10</w:t>
            </w:r>
          </w:p>
        </w:tc>
      </w:tr>
      <w:tr>
        <w:trPr/>
        <w:tc>
          <w:tcPr>
            <w:tcW w:w="155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shd w:fill="FFFFFF" w:val="clear"/>
              </w:rPr>
              <w:t>Муниципальная программа «Формирование современной городской среды» на 2018-2026 годы</w:t>
            </w:r>
          </w:p>
        </w:tc>
      </w:tr>
      <w:tr>
        <w:trPr/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1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FFFFFF" w:val="clear"/>
              </w:rPr>
            </w:pPr>
            <w:r>
              <w:rPr>
                <w:b/>
                <w:shd w:fill="FFFFFF" w:val="clear"/>
              </w:rPr>
              <w:t>Выполнение комплекса работ по благоустройству дворовых территорий многоквартирных жилых домов</w:t>
            </w:r>
          </w:p>
        </w:tc>
        <w:tc>
          <w:tcPr>
            <w:tcW w:w="27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pacing w:before="0" w:after="200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Управление городского хозяйства города Калуги, управление жилищно-коммунального хозяйства города Калуги, МБУ «Калугаблагоустройство», МКУ «Служба единого заказа городского хозяйства»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2018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2026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2018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2024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851" w:leader="none"/>
                <w:tab w:val="left" w:pos="1980" w:leader="none"/>
              </w:tabs>
              <w:rPr/>
            </w:pPr>
            <w:r>
              <w:rPr>
                <w:rStyle w:val="Strong"/>
                <w:b w:val="false"/>
                <w:bCs w:val="false"/>
                <w:shd w:fill="FFFFFF" w:val="clear"/>
                <w:lang w:eastAsia="en-US"/>
              </w:rPr>
              <w:t>- создание комфортных условий для отдыха и проживания населения в многоквартирных жилых домах за счет частичного обустройства дворовых территорий.</w:t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Комплексное благоустройство дворовых территорий в 2024 году не производилось.</w:t>
            </w:r>
          </w:p>
          <w:p>
            <w:pPr>
              <w:pStyle w:val="Normal"/>
              <w:widowControl w:val="false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-</w:t>
            </w:r>
          </w:p>
        </w:tc>
      </w:tr>
      <w:tr>
        <w:trPr/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2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FFFFFF" w:val="clear"/>
              </w:rPr>
            </w:pPr>
            <w:r>
              <w:rPr>
                <w:b/>
                <w:shd w:fill="FFFFFF" w:val="clear"/>
              </w:rPr>
              <w:t>Выполнение комплекса работ по благоустройству общественных территорий</w:t>
            </w:r>
            <w:r>
              <w:rPr>
                <w:b/>
                <w:color w:val="000000"/>
                <w:shd w:fill="FFFFFF" w:val="clear"/>
              </w:rPr>
              <w:t xml:space="preserve"> муниципального образования «Город Калуга»</w:t>
            </w:r>
          </w:p>
        </w:tc>
        <w:tc>
          <w:tcPr>
            <w:tcW w:w="27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>Управление городского хозяйства города Калуги, МБУ «Калугаблагоустройство», управление архитектуры, градостроительства и земельных отношений города Калуги, МКУ «Управление капитального строительства» г.Калуги, МКУ «Служба единого заказа городского хозяйства»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2018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2026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2018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2024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- создание комфортных условий для отдыха и проживания населения;</w:t>
            </w:r>
          </w:p>
          <w:p>
            <w:pPr>
              <w:pStyle w:val="Normal"/>
              <w:widowControl w:val="false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- увеличение количества благоустроенных общественных территорий.</w:t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  <w:tab w:val="left" w:pos="709" w:leader="none"/>
                <w:tab w:val="left" w:pos="851" w:leader="none"/>
                <w:tab w:val="left" w:pos="1980" w:leader="none"/>
              </w:tabs>
              <w:rPr/>
            </w:pPr>
            <w:r>
              <w:rPr>
                <w:rStyle w:val="Strong"/>
                <w:b w:val="false"/>
                <w:bCs w:val="false"/>
                <w:color w:val="000000"/>
                <w:shd w:fill="FFFFFF" w:val="clear"/>
                <w:lang w:eastAsia="en-US"/>
              </w:rPr>
              <w:t>В 2024 году были благоустроены две общественные территории - Благоустройство территории, прилегающей к Яченскому водохранилищу (в т.ч.ПИР).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567" w:leader="none"/>
                <w:tab w:val="left" w:pos="709" w:leader="none"/>
                <w:tab w:val="left" w:pos="851" w:leader="none"/>
                <w:tab w:val="left" w:pos="1980" w:leader="none"/>
              </w:tabs>
              <w:rPr/>
            </w:pPr>
            <w:r>
              <w:rPr>
                <w:rStyle w:val="Strong"/>
                <w:b w:val="false"/>
                <w:bCs w:val="false"/>
                <w:color w:val="000000"/>
                <w:shd w:fill="FFFFFF" w:val="clear"/>
                <w:lang w:eastAsia="en-US"/>
              </w:rPr>
              <w:t>Благоустройство территории сквера им В.Н. Волкова.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-</w:t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1134" w:right="1134" w:gutter="0" w:header="709" w:top="1701" w:footer="0" w:bottom="851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Normal"/>
        <w:jc w:val="both"/>
        <w:rPr>
          <w:highlight w:val="none"/>
          <w:shd w:fill="FFFFFF" w:val="clear"/>
        </w:rPr>
      </w:pPr>
      <w:r>
        <w:rPr>
          <w:b/>
          <w:sz w:val="24"/>
          <w:szCs w:val="24"/>
          <w:shd w:fill="FFFFFF" w:val="clear"/>
        </w:rPr>
        <w:t>4. Анализ факторов, повлиявших на ход реализации муниципальной программы.</w:t>
      </w:r>
    </w:p>
    <w:p>
      <w:pPr>
        <w:pStyle w:val="Normal"/>
        <w:ind w:firstLine="540"/>
        <w:jc w:val="both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>- дополнительное финансирование из федерального областного и муниципального бюджета программы «Формирование современной городской среды» позволило осуществить запланированные показатели муниципальной программы и обеспечить все пожелания жителей при реализации мероприятий;</w:t>
      </w:r>
    </w:p>
    <w:p>
      <w:pPr>
        <w:pStyle w:val="Normal"/>
        <w:ind w:firstLine="540"/>
        <w:jc w:val="both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>- экономия использования бюджетных средств повлияла на увеличение некоторых показателей муниципальной программы муниципального образования «Город Калуга» «Формирование современной городской среды».</w:t>
      </w:r>
    </w:p>
    <w:p>
      <w:pPr>
        <w:pStyle w:val="Normal"/>
        <w:ind w:left="900"/>
        <w:rPr>
          <w:sz w:val="24"/>
          <w:szCs w:val="24"/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</w:r>
    </w:p>
    <w:p>
      <w:pPr>
        <w:pStyle w:val="Normal"/>
        <w:jc w:val="both"/>
        <w:rPr>
          <w:highlight w:val="none"/>
          <w:shd w:fill="FFFFFF" w:val="clear"/>
        </w:rPr>
      </w:pPr>
      <w:r>
        <w:rPr>
          <w:b/>
          <w:sz w:val="24"/>
          <w:szCs w:val="24"/>
          <w:shd w:fill="FFFFFF" w:val="clear"/>
        </w:rPr>
        <w:t>5. Анализ рисков реализации муниципальной программы и описание мер управление рисками реализации муниципальной программы.</w:t>
      </w:r>
    </w:p>
    <w:p>
      <w:pPr>
        <w:pStyle w:val="Normal"/>
        <w:widowControl w:val="false"/>
        <w:ind w:firstLine="426"/>
        <w:jc w:val="both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 xml:space="preserve"> </w:t>
      </w:r>
      <w:r>
        <w:rPr>
          <w:sz w:val="24"/>
          <w:szCs w:val="24"/>
          <w:shd w:fill="FFFFFF" w:val="clear"/>
        </w:rPr>
        <w:t>Выполнению поставленных задач муниципальной программы и достижению запланированных результатов может препятствовать воздействие негативных факторов финансового, организационного и техногенного характера.</w:t>
      </w:r>
    </w:p>
    <w:p>
      <w:pPr>
        <w:pStyle w:val="Normal"/>
        <w:widowControl w:val="false"/>
        <w:ind w:firstLine="426"/>
        <w:jc w:val="both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 xml:space="preserve"> </w:t>
      </w:r>
      <w:r>
        <w:rPr>
          <w:sz w:val="24"/>
          <w:szCs w:val="24"/>
          <w:shd w:fill="FFFFFF" w:val="clear"/>
        </w:rPr>
        <w:t>Основными рисками реализации муниципальной программы являются финансовые риски, связанные с неполным или несвоевременным финансированием Программы из областного и федерального бюджетов, а также недополучением бюджетных ассигнований из бюджета муниципального образования «Город Калуга» на обеспечение действующих и принимаемых расходных обязательств. Финансовые риски в большей степени повлекут за собой невыполнение мероприятий в запланированные сроки и не достижение целевых индикаторов Программы.</w:t>
      </w:r>
    </w:p>
    <w:p>
      <w:pPr>
        <w:pStyle w:val="Normal"/>
        <w:widowControl w:val="false"/>
        <w:ind w:firstLine="426"/>
        <w:jc w:val="both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>Преодоление финансовых рисков возможно при обеспечении сбалансированного распределения финансовых средств и внесения необходимых изменений путем ежегодного уточнения в бюджет муниципального образования «Город Калуга» на очередной финансовый год и плановый период и в объемы текущего финансирования средств из бюджета муниципального образования «Город Калуга» по мероприятиям программы с одновременной соответствующей корректировкой целевых мероприятий.</w:t>
      </w:r>
    </w:p>
    <w:p>
      <w:pPr>
        <w:pStyle w:val="Normal"/>
        <w:widowControl w:val="false"/>
        <w:ind w:firstLine="426"/>
        <w:jc w:val="both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>Организационные риски также оказывают влияние на своевременное исполнение программы и достижение целевых индикаторов. К организационным рискам относятся:</w:t>
      </w:r>
    </w:p>
    <w:p>
      <w:pPr>
        <w:pStyle w:val="Normal"/>
        <w:widowControl w:val="false"/>
        <w:ind w:firstLine="426"/>
        <w:jc w:val="both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>- непринятие участия подрядных организаций в торгах при осуществлении закупок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что влечет за собой повторное размещение торгов и увеличение сроков исполнение мероприятий;</w:t>
      </w:r>
    </w:p>
    <w:p>
      <w:pPr>
        <w:pStyle w:val="Normal"/>
        <w:widowControl w:val="false"/>
        <w:ind w:firstLine="426"/>
        <w:jc w:val="both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>- заключение муниципальных контрактов с организациями, которые могут оказаться неспособными обеспечить выполнение работ, предусмотренных заключенными контрактами. Минимизация данного риска осуществляется за счет обеспечения жесткой системы контроля за проведением работ;</w:t>
      </w:r>
    </w:p>
    <w:p>
      <w:pPr>
        <w:pStyle w:val="Normal"/>
        <w:widowControl w:val="false"/>
        <w:ind w:firstLine="426"/>
        <w:jc w:val="both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>- недостаточно проработанное принятия нормативных правовых актов, дефицит квалифицированных кадров, пассивное отношение отдельных участников к проведению основных мероприятий Программы. Преодоление указанных рисков возможно путем своевременной подготовки и тщательной разработки проектов и внесения изменений в принятые нормативные правовые акты, оперативного реагирования на выявленные недостатки в системе управления, контроля и кадрового обеспечения.</w:t>
      </w:r>
    </w:p>
    <w:p>
      <w:pPr>
        <w:pStyle w:val="Normal"/>
        <w:widowControl w:val="false"/>
        <w:ind w:firstLine="426"/>
        <w:jc w:val="both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 xml:space="preserve">Кроме того существуют техногенные и экологические риски, которые в случае их возникновения потребуют дополнительных ресурсов по ликвидации их последствий и отвлечению средств от финансирования Программы в пользу других направлений развития и переориентации на ликвидацию последствий катастроф. Частично указанные риски могут быть минимизированы за счет принятия мер государственного регулирования. </w:t>
      </w:r>
    </w:p>
    <w:p>
      <w:pPr>
        <w:pStyle w:val="Normal"/>
        <w:widowControl w:val="false"/>
        <w:ind w:firstLine="426"/>
        <w:jc w:val="both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>Управление всеми рисками реализации муниципальной программы осуществляется путем координации деятельности соисполнителей и участников муниципальной программы.</w:t>
      </w:r>
    </w:p>
    <w:p>
      <w:pPr>
        <w:pStyle w:val="Normal"/>
        <w:widowControl w:val="false"/>
        <w:ind w:firstLine="426"/>
        <w:jc w:val="both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>Ответственность за координацию деятельности по управлению рисками, направленную на достижение целей, задач, целевых индикаторов и конечных результатов муниципальной программы в целом, несет управление городского хозяйства города Калуги.</w:t>
      </w:r>
    </w:p>
    <w:p>
      <w:pPr>
        <w:pStyle w:val="Normal"/>
        <w:rPr>
          <w:sz w:val="24"/>
          <w:szCs w:val="24"/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</w:r>
    </w:p>
    <w:p>
      <w:pPr>
        <w:pStyle w:val="Normal"/>
        <w:rPr>
          <w:highlight w:val="none"/>
          <w:shd w:fill="FFFFFF" w:val="clear"/>
        </w:rPr>
      </w:pPr>
      <w:r>
        <w:rPr>
          <w:b/>
          <w:bCs/>
          <w:sz w:val="24"/>
          <w:szCs w:val="24"/>
          <w:shd w:fill="FFFFFF" w:val="clear"/>
        </w:rPr>
        <w:t>6. Отчет об использовании бюджетных ассигнований бюджета на реализацию муниципальной программы муниципального образования «Город Калуга» «Формирование современной городской среды».</w:t>
      </w:r>
    </w:p>
    <w:p>
      <w:pPr>
        <w:pStyle w:val="Normal"/>
        <w:rPr>
          <w:b/>
          <w:bCs/>
          <w:sz w:val="24"/>
          <w:szCs w:val="24"/>
          <w:highlight w:val="none"/>
          <w:shd w:fill="FFFFFF" w:val="clear"/>
        </w:rPr>
      </w:pPr>
      <w:r>
        <w:rPr>
          <w:b/>
          <w:bCs/>
          <w:sz w:val="24"/>
          <w:szCs w:val="24"/>
          <w:shd w:fill="FFFFFF" w:val="clear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2632"/>
        <w:gridCol w:w="2331"/>
        <w:gridCol w:w="736"/>
        <w:gridCol w:w="736"/>
        <w:gridCol w:w="764"/>
        <w:gridCol w:w="1443"/>
        <w:gridCol w:w="808"/>
        <w:gridCol w:w="1745"/>
        <w:gridCol w:w="1653"/>
        <w:gridCol w:w="1550"/>
      </w:tblGrid>
      <w:tr>
        <w:trPr/>
        <w:tc>
          <w:tcPr>
            <w:tcW w:w="2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17"/>
                <w:highlight w:val="none"/>
                <w:shd w:fill="FFFFFF" w:val="clear"/>
              </w:rPr>
            </w:pPr>
            <w:r>
              <w:rPr>
                <w:b/>
                <w:sz w:val="17"/>
                <w:shd w:fill="FFFFFF" w:val="clear"/>
              </w:rPr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sz w:val="17"/>
                <w:shd w:fill="FFFFFF" w:val="clear"/>
              </w:rPr>
              <w:t>Наименование подпрограммы (ведомственной целевой программы), прочего мероприятия (основного мероприятия)</w:t>
            </w:r>
          </w:p>
        </w:tc>
        <w:tc>
          <w:tcPr>
            <w:tcW w:w="2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17"/>
                <w:highlight w:val="none"/>
                <w:shd w:fill="FFFFFF" w:val="clear"/>
              </w:rPr>
            </w:pPr>
            <w:r>
              <w:rPr>
                <w:b/>
                <w:sz w:val="17"/>
                <w:shd w:fill="FFFFFF" w:val="clear"/>
              </w:rPr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sz w:val="17"/>
                <w:shd w:fill="FFFFFF" w:val="clear"/>
              </w:rPr>
              <w:t>Ответственный исполнитель, соисполнитель, участник муниципальной программы</w:t>
            </w:r>
          </w:p>
          <w:p>
            <w:pPr>
              <w:pStyle w:val="Normal"/>
              <w:widowControl w:val="false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44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sz w:val="17"/>
                <w:shd w:fill="FFFFFF" w:val="clear"/>
              </w:rPr>
              <w:t>Код бюджетной классификации</w:t>
            </w:r>
          </w:p>
          <w:p>
            <w:pPr>
              <w:pStyle w:val="Normal"/>
              <w:widowControl w:val="false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4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sz w:val="17"/>
                <w:shd w:fill="FFFFFF" w:val="clear"/>
              </w:rPr>
              <w:t>Расходы, тыс.руб.</w:t>
            </w:r>
          </w:p>
          <w:p>
            <w:pPr>
              <w:pStyle w:val="Normal"/>
              <w:widowControl w:val="false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/>
        <w:tc>
          <w:tcPr>
            <w:tcW w:w="2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3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17"/>
                <w:highlight w:val="none"/>
                <w:shd w:fill="FFFFFF" w:val="clear"/>
              </w:rPr>
            </w:pPr>
            <w:r>
              <w:rPr>
                <w:b/>
                <w:sz w:val="17"/>
                <w:shd w:fill="FFFFFF" w:val="clear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sz w:val="17"/>
                <w:highlight w:val="none"/>
                <w:shd w:fill="FFFFFF" w:val="clear"/>
              </w:rPr>
            </w:pPr>
            <w:r>
              <w:rPr>
                <w:b/>
                <w:sz w:val="17"/>
                <w:shd w:fill="FFFFFF" w:val="clear"/>
              </w:rPr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sz w:val="17"/>
                <w:shd w:fill="FFFFFF" w:val="clear"/>
              </w:rPr>
              <w:t>ГРБС</w:t>
            </w:r>
          </w:p>
          <w:p>
            <w:pPr>
              <w:pStyle w:val="Normal"/>
              <w:widowControl w:val="false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17"/>
                <w:highlight w:val="none"/>
                <w:shd w:fill="FFFFFF" w:val="clear"/>
              </w:rPr>
            </w:pPr>
            <w:r>
              <w:rPr>
                <w:b/>
                <w:sz w:val="17"/>
                <w:shd w:fill="FFFFFF" w:val="clear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sz w:val="17"/>
                <w:highlight w:val="none"/>
                <w:shd w:fill="FFFFFF" w:val="clear"/>
              </w:rPr>
            </w:pPr>
            <w:r>
              <w:rPr>
                <w:b/>
                <w:sz w:val="17"/>
                <w:shd w:fill="FFFFFF" w:val="clear"/>
              </w:rPr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sz w:val="17"/>
                <w:shd w:fill="FFFFFF" w:val="clear"/>
              </w:rPr>
              <w:t>Раздел</w:t>
            </w:r>
          </w:p>
          <w:p>
            <w:pPr>
              <w:pStyle w:val="Normal"/>
              <w:widowControl w:val="false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17"/>
                <w:highlight w:val="none"/>
                <w:shd w:fill="FFFFFF" w:val="clear"/>
              </w:rPr>
            </w:pPr>
            <w:r>
              <w:rPr>
                <w:b/>
                <w:sz w:val="17"/>
                <w:shd w:fill="FFFFFF" w:val="clear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sz w:val="17"/>
                <w:highlight w:val="none"/>
                <w:shd w:fill="FFFFFF" w:val="clear"/>
              </w:rPr>
            </w:pPr>
            <w:r>
              <w:rPr>
                <w:b/>
                <w:sz w:val="17"/>
                <w:shd w:fill="FFFFFF" w:val="clear"/>
              </w:rPr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sz w:val="17"/>
                <w:shd w:fill="FFFFFF" w:val="clear"/>
              </w:rPr>
              <w:t>Подраздел</w:t>
            </w:r>
          </w:p>
          <w:p>
            <w:pPr>
              <w:pStyle w:val="Normal"/>
              <w:widowControl w:val="false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4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17"/>
                <w:highlight w:val="none"/>
                <w:shd w:fill="FFFFFF" w:val="clear"/>
              </w:rPr>
            </w:pPr>
            <w:r>
              <w:rPr>
                <w:b/>
                <w:sz w:val="17"/>
                <w:shd w:fill="FFFFFF" w:val="clear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sz w:val="17"/>
                <w:highlight w:val="none"/>
                <w:shd w:fill="FFFFFF" w:val="clear"/>
              </w:rPr>
            </w:pPr>
            <w:r>
              <w:rPr>
                <w:b/>
                <w:sz w:val="17"/>
                <w:shd w:fill="FFFFFF" w:val="clear"/>
              </w:rPr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sz w:val="17"/>
                <w:shd w:fill="FFFFFF" w:val="clear"/>
              </w:rPr>
              <w:t>ЦСР</w:t>
            </w:r>
          </w:p>
          <w:p>
            <w:pPr>
              <w:pStyle w:val="Normal"/>
              <w:widowControl w:val="false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17"/>
                <w:highlight w:val="none"/>
                <w:shd w:fill="FFFFFF" w:val="clear"/>
              </w:rPr>
            </w:pPr>
            <w:r>
              <w:rPr>
                <w:b/>
                <w:sz w:val="17"/>
                <w:shd w:fill="FFFFFF" w:val="clear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sz w:val="17"/>
                <w:highlight w:val="none"/>
                <w:shd w:fill="FFFFFF" w:val="clear"/>
              </w:rPr>
            </w:pPr>
            <w:r>
              <w:rPr>
                <w:b/>
                <w:sz w:val="17"/>
                <w:shd w:fill="FFFFFF" w:val="clear"/>
              </w:rPr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sz w:val="17"/>
                <w:shd w:fill="FFFFFF" w:val="clear"/>
              </w:rPr>
              <w:t>ВР</w:t>
            </w:r>
          </w:p>
          <w:p>
            <w:pPr>
              <w:pStyle w:val="Normal"/>
              <w:widowControl w:val="false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sz w:val="17"/>
                <w:shd w:fill="FFFFFF" w:val="clear"/>
              </w:rPr>
              <w:t xml:space="preserve"> </w:t>
            </w:r>
            <w:r>
              <w:rPr>
                <w:b/>
                <w:sz w:val="17"/>
                <w:shd w:fill="FFFFFF" w:val="clear"/>
              </w:rPr>
              <w:t>Сводная бюджетная роспись, план на 1 января отчетного года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sz w:val="17"/>
                <w:shd w:fill="FFFFFF" w:val="clear"/>
              </w:rPr>
              <w:t>Сводная бюджетная роспись,  уточненный план на 31.12.2024</w:t>
            </w:r>
          </w:p>
        </w:tc>
        <w:tc>
          <w:tcPr>
            <w:tcW w:w="1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sz w:val="17"/>
                <w:shd w:fill="FFFFFF" w:val="clear"/>
              </w:rPr>
              <w:t>Кассовое исполнение  на 31 .12.24</w:t>
            </w:r>
          </w:p>
        </w:tc>
      </w:tr>
      <w:tr>
        <w:trPr/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1</w:t>
            </w:r>
          </w:p>
        </w:tc>
        <w:tc>
          <w:tcPr>
            <w:tcW w:w="23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2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3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4</w:t>
            </w:r>
          </w:p>
        </w:tc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5</w:t>
            </w:r>
          </w:p>
        </w:tc>
        <w:tc>
          <w:tcPr>
            <w:tcW w:w="14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6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7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8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9</w:t>
            </w:r>
          </w:p>
        </w:tc>
        <w:tc>
          <w:tcPr>
            <w:tcW w:w="1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10</w:t>
            </w:r>
          </w:p>
        </w:tc>
      </w:tr>
      <w:tr>
        <w:trPr>
          <w:trHeight w:val="1183" w:hRule="atLeast"/>
        </w:trPr>
        <w:tc>
          <w:tcPr>
            <w:tcW w:w="263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FFFFFF" w:val="clear"/>
              </w:rPr>
            </w:pPr>
            <w:r>
              <w:rPr>
                <w:b/>
                <w:i/>
                <w:sz w:val="18"/>
                <w:shd w:fill="FFFFFF" w:val="clear"/>
              </w:rPr>
              <w:t xml:space="preserve"> </w:t>
            </w:r>
            <w:r>
              <w:rPr>
                <w:b/>
                <w:i/>
                <w:sz w:val="18"/>
                <w:shd w:fill="FFFFFF" w:val="clear"/>
              </w:rPr>
              <w:t>Муниципальная программа муниципального образования "Город Калуга" "Формирование современной городской  среды"</w:t>
            </w:r>
          </w:p>
          <w:p>
            <w:pPr>
              <w:pStyle w:val="Normal"/>
              <w:widowControl w:val="false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33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17"/>
                <w:shd w:fill="FFFFFF" w:val="clear"/>
              </w:rPr>
              <w:t>управление городского хозяйства города Калуги; управление архитектуры, градостроительства и земельных отношений г.Калуги, МКУ «Управление капитального строительства г.Калуги»</w:t>
            </w:r>
          </w:p>
          <w:p>
            <w:pPr>
              <w:pStyle w:val="Normal"/>
              <w:widowControl w:val="false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4487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ВСЕГО: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41 209,7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140 547,8</w:t>
            </w:r>
          </w:p>
        </w:tc>
        <w:tc>
          <w:tcPr>
            <w:tcW w:w="1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138 398,9</w:t>
            </w:r>
          </w:p>
        </w:tc>
      </w:tr>
      <w:tr>
        <w:trPr>
          <w:trHeight w:val="791" w:hRule="atLeast"/>
        </w:trPr>
        <w:tc>
          <w:tcPr>
            <w:tcW w:w="263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33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802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05</w:t>
            </w:r>
          </w:p>
        </w:tc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03</w:t>
            </w:r>
          </w:p>
        </w:tc>
        <w:tc>
          <w:tcPr>
            <w:tcW w:w="14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55 0 00 00000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41 209,7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140 547,8</w:t>
            </w:r>
          </w:p>
        </w:tc>
        <w:tc>
          <w:tcPr>
            <w:tcW w:w="1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138 398,9</w:t>
            </w:r>
          </w:p>
        </w:tc>
      </w:tr>
      <w:tr>
        <w:trPr/>
        <w:tc>
          <w:tcPr>
            <w:tcW w:w="9450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В том числе: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>
          <w:trHeight w:val="325" w:hRule="atLeast"/>
        </w:trPr>
        <w:tc>
          <w:tcPr>
            <w:tcW w:w="263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FFFFFF" w:val="clear"/>
              </w:rPr>
            </w:pPr>
            <w:r>
              <w:rPr>
                <w:b/>
                <w:sz w:val="17"/>
                <w:shd w:fill="FFFFFF" w:val="clear"/>
              </w:rPr>
              <w:t>- Основное мероприятие "Выполнение комплекса работ по благоустройству общественных территорий муниципального образования "Город Калуга"</w:t>
            </w:r>
          </w:p>
          <w:p>
            <w:pPr>
              <w:pStyle w:val="Normal"/>
              <w:widowControl w:val="false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33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17"/>
                <w:shd w:fill="FFFFFF" w:val="clear"/>
              </w:rPr>
              <w:t>управление городского хозяйства города Калуги; управление архитектуры, градостроительства и земельных отношений г.Калуги, МКУ «Управление капитального строительства г.Калуги»</w:t>
            </w:r>
          </w:p>
          <w:p>
            <w:pPr>
              <w:pStyle w:val="Normal"/>
              <w:widowControl w:val="false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802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05</w:t>
            </w:r>
          </w:p>
        </w:tc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03</w:t>
            </w:r>
          </w:p>
        </w:tc>
        <w:tc>
          <w:tcPr>
            <w:tcW w:w="14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55 0 02 00000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  <w:lang w:val="en-US"/>
              </w:rPr>
              <w:t>0,0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  <w:lang w:val="en-US"/>
              </w:rPr>
              <w:t>102 454,0</w:t>
            </w:r>
          </w:p>
        </w:tc>
        <w:tc>
          <w:tcPr>
            <w:tcW w:w="1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  <w:lang w:val="en-US"/>
              </w:rPr>
              <w:t>100 305,1</w:t>
            </w:r>
          </w:p>
        </w:tc>
      </w:tr>
      <w:tr>
        <w:trPr/>
        <w:tc>
          <w:tcPr>
            <w:tcW w:w="263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33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802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05</w:t>
            </w:r>
          </w:p>
        </w:tc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03</w:t>
            </w:r>
          </w:p>
        </w:tc>
        <w:tc>
          <w:tcPr>
            <w:tcW w:w="14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55 0 02 0015</w:t>
            </w:r>
            <w:r>
              <w:rPr>
                <w:shd w:fill="FFFFFF" w:val="clear"/>
                <w:lang w:val="en-US"/>
              </w:rPr>
              <w:t>V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  <w:lang w:val="en-US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  <w:lang w:val="en-US"/>
              </w:rPr>
              <w:t>0,0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  <w:lang w:val="en-US"/>
              </w:rPr>
              <w:t>97 000,0</w:t>
            </w:r>
          </w:p>
        </w:tc>
        <w:tc>
          <w:tcPr>
            <w:tcW w:w="1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  <w:lang w:val="en-US"/>
              </w:rPr>
              <w:t>94 852,5</w:t>
            </w:r>
          </w:p>
        </w:tc>
      </w:tr>
      <w:tr>
        <w:trPr/>
        <w:tc>
          <w:tcPr>
            <w:tcW w:w="263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33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802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05</w:t>
            </w:r>
          </w:p>
        </w:tc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03</w:t>
            </w:r>
          </w:p>
        </w:tc>
        <w:tc>
          <w:tcPr>
            <w:tcW w:w="14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  <w:lang w:val="en-US"/>
              </w:rPr>
              <w:t>55 0 0243310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  <w:lang w:val="en-US"/>
              </w:rPr>
              <w:t>414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  <w:lang w:val="en-US"/>
              </w:rPr>
              <w:t>0,0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  <w:lang w:val="en-US"/>
              </w:rPr>
              <w:t>38,8</w:t>
            </w:r>
          </w:p>
        </w:tc>
        <w:tc>
          <w:tcPr>
            <w:tcW w:w="1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  <w:lang w:val="en-US"/>
              </w:rPr>
              <w:t>38,8</w:t>
            </w:r>
          </w:p>
        </w:tc>
      </w:tr>
      <w:tr>
        <w:trPr/>
        <w:tc>
          <w:tcPr>
            <w:tcW w:w="263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33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802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05</w:t>
            </w:r>
          </w:p>
        </w:tc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03</w:t>
            </w:r>
          </w:p>
        </w:tc>
        <w:tc>
          <w:tcPr>
            <w:tcW w:w="14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  <w:lang w:val="en-US"/>
              </w:rPr>
              <w:t>55 0 0243310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  <w:lang w:val="en-US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  <w:lang w:val="en-US"/>
              </w:rPr>
              <w:t>0,0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  <w:lang w:val="en-US"/>
              </w:rPr>
              <w:t>5 415,2</w:t>
            </w:r>
          </w:p>
        </w:tc>
        <w:tc>
          <w:tcPr>
            <w:tcW w:w="1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  <w:lang w:val="en-US"/>
              </w:rPr>
              <w:t>5 413,8</w:t>
            </w:r>
          </w:p>
        </w:tc>
      </w:tr>
      <w:tr>
        <w:trPr/>
        <w:tc>
          <w:tcPr>
            <w:tcW w:w="263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33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802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05</w:t>
            </w:r>
          </w:p>
        </w:tc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03</w:t>
            </w:r>
          </w:p>
        </w:tc>
        <w:tc>
          <w:tcPr>
            <w:tcW w:w="14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  <w:lang w:val="en-US"/>
              </w:rPr>
              <w:t>55 0 F2 00000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  <w:lang w:val="en-US"/>
              </w:rPr>
              <w:t>41 209,7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  <w:lang w:val="en-US"/>
              </w:rPr>
              <w:t>38 093,8</w:t>
            </w:r>
          </w:p>
        </w:tc>
        <w:tc>
          <w:tcPr>
            <w:tcW w:w="1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  <w:lang w:val="en-US"/>
              </w:rPr>
              <w:t>38 093,8</w:t>
            </w:r>
          </w:p>
        </w:tc>
      </w:tr>
      <w:tr>
        <w:trPr/>
        <w:tc>
          <w:tcPr>
            <w:tcW w:w="263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33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802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05</w:t>
            </w:r>
          </w:p>
        </w:tc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03</w:t>
            </w:r>
          </w:p>
        </w:tc>
        <w:tc>
          <w:tcPr>
            <w:tcW w:w="14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  <w:lang w:val="en-US"/>
              </w:rPr>
              <w:t>55 0 F2 55550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  <w:lang w:val="en-US"/>
              </w:rPr>
              <w:t>244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  <w:lang w:val="en-US"/>
              </w:rPr>
              <w:t>41 209,7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  <w:lang w:val="en-US"/>
              </w:rPr>
              <w:t>38 093,8</w:t>
            </w:r>
          </w:p>
        </w:tc>
        <w:tc>
          <w:tcPr>
            <w:tcW w:w="1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  <w:lang w:val="en-US"/>
              </w:rPr>
              <w:t>38 093,8</w:t>
            </w:r>
          </w:p>
        </w:tc>
      </w:tr>
    </w:tbl>
    <w:p>
      <w:pPr>
        <w:sectPr>
          <w:headerReference w:type="default" r:id="rId6"/>
          <w:headerReference w:type="first" r:id="rId7"/>
          <w:type w:val="nextPage"/>
          <w:pgSz w:orient="landscape" w:w="16838" w:h="11906"/>
          <w:pgMar w:left="1701" w:right="737" w:gutter="0" w:header="709" w:top="766" w:footer="0" w:bottom="567"/>
          <w:pgNumType w:fmt="none"/>
          <w:formProt w:val="false"/>
          <w:textDirection w:val="lrTb"/>
          <w:docGrid w:type="default" w:linePitch="100" w:charSpace="8192"/>
        </w:sectPr>
      </w:pPr>
    </w:p>
    <w:p>
      <w:pPr>
        <w:pStyle w:val="Normal"/>
        <w:jc w:val="both"/>
        <w:rPr>
          <w:highlight w:val="none"/>
          <w:shd w:fill="FFFFFF" w:val="clear"/>
        </w:rPr>
      </w:pPr>
      <w:r>
        <w:rPr>
          <w:b/>
          <w:bCs/>
          <w:sz w:val="24"/>
          <w:szCs w:val="24"/>
          <w:shd w:fill="FFFFFF" w:val="clear"/>
          <w:lang w:eastAsia="ru-RU"/>
        </w:rPr>
        <w:t>7. Информация о внесенных ответственным исполнителем изменениях в муниципальную программу:</w:t>
      </w:r>
    </w:p>
    <w:p>
      <w:pPr>
        <w:pStyle w:val="Normal"/>
        <w:rPr>
          <w:b/>
          <w:bCs/>
          <w:sz w:val="24"/>
          <w:szCs w:val="24"/>
          <w:highlight w:val="none"/>
          <w:shd w:fill="FFFFFF" w:val="clear"/>
          <w:lang w:eastAsia="ru-RU"/>
        </w:rPr>
      </w:pPr>
      <w:r>
        <w:rPr>
          <w:b/>
          <w:bCs/>
          <w:sz w:val="24"/>
          <w:szCs w:val="24"/>
          <w:shd w:fill="FFFFFF" w:val="clear"/>
          <w:lang w:eastAsia="ru-RU"/>
        </w:rPr>
      </w:r>
    </w:p>
    <w:tbl>
      <w:tblPr>
        <w:tblW w:w="9891" w:type="dxa"/>
        <w:jc w:val="left"/>
        <w:tblInd w:w="-2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68"/>
        <w:gridCol w:w="4118"/>
        <w:gridCol w:w="5105"/>
      </w:tblGrid>
      <w:tr>
        <w:trPr/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shd w:fill="FFFFFF" w:val="clear"/>
              </w:rPr>
              <w:t xml:space="preserve">№ </w:t>
            </w:r>
            <w:r>
              <w:rPr>
                <w:b/>
                <w:shd w:fill="FFFFFF" w:val="clear"/>
              </w:rPr>
              <w:t>п/п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shd w:fill="FFFFFF" w:val="clear"/>
              </w:rPr>
              <w:t>Наименование нормативного правового акта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shd w:fill="FFFFFF" w:val="clear"/>
              </w:rPr>
              <w:t>Причины внесения изменений</w:t>
            </w:r>
          </w:p>
        </w:tc>
      </w:tr>
      <w:tr>
        <w:trPr/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1</w:t>
            </w:r>
          </w:p>
        </w:tc>
        <w:tc>
          <w:tcPr>
            <w:tcW w:w="41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6"/>
              <w:jc w:val="left"/>
              <w:rPr/>
            </w:pPr>
            <w:r>
              <w:rPr>
                <w:rStyle w:val="Strong"/>
                <w:rFonts w:cs="Times New Roman" w:ascii="Times New Roman" w:hAnsi="Times New Roman"/>
                <w:b w:val="false"/>
                <w:bCs w:val="false"/>
                <w:sz w:val="22"/>
                <w:szCs w:val="22"/>
                <w:shd w:fill="FFFFFF" w:val="clear"/>
                <w:lang w:eastAsia="en-US"/>
              </w:rPr>
              <w:t>Постановление Городской Управы города Калуги от 24.07.2024 № 226-П «О внесении изменений в Постановление Городской Управы города Калуги от 27.12.2017 № 439-п «Об утверждении муниципальной программы муниципального образования «Город Калуга» «Формирование современной городской среды»</w:t>
            </w:r>
          </w:p>
        </w:tc>
        <w:tc>
          <w:tcPr>
            <w:tcW w:w="5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28"/>
              <w:rPr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Актуализация приложений, источников и объемов финансирования.</w:t>
            </w:r>
          </w:p>
          <w:p>
            <w:pPr>
              <w:pStyle w:val="Normal"/>
              <w:widowControl w:val="false"/>
              <w:ind w:right="-28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/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2</w:t>
            </w:r>
          </w:p>
        </w:tc>
        <w:tc>
          <w:tcPr>
            <w:tcW w:w="41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6"/>
              <w:jc w:val="left"/>
              <w:rPr/>
            </w:pPr>
            <w:r>
              <w:rPr>
                <w:rStyle w:val="Strong"/>
                <w:rFonts w:cs="Times New Roman" w:ascii="Times New Roman" w:hAnsi="Times New Roman"/>
                <w:b w:val="false"/>
                <w:bCs w:val="false"/>
                <w:sz w:val="22"/>
                <w:szCs w:val="22"/>
                <w:shd w:fill="FFFFFF" w:val="clear"/>
                <w:lang w:eastAsia="en-US"/>
              </w:rPr>
              <w:t>Постановление Городской Управы города Калуги от 09.10.2024 № 328-П «О внесении изменений в Постановление Городской Управы города Калуги от 27.12.2017 № 439-п «Об утверждении муниципальной программы муниципального образования «Город Калуга» «Формирование современной городской среды»</w:t>
            </w:r>
          </w:p>
          <w:p>
            <w:pPr>
              <w:pStyle w:val="Style26"/>
              <w:jc w:val="left"/>
              <w:rPr>
                <w:rFonts w:ascii="Times New Roman" w:hAnsi="Times New Roman" w:cs="Times New Roman"/>
                <w:sz w:val="22"/>
                <w:szCs w:val="22"/>
                <w:highlight w:val="none"/>
                <w:shd w:fill="FFFFFF" w:val="clear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FFFFFF" w:val="clear"/>
                <w:lang w:eastAsia="en-US"/>
              </w:rPr>
            </w:r>
          </w:p>
        </w:tc>
        <w:tc>
          <w:tcPr>
            <w:tcW w:w="5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28"/>
              <w:rPr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Актуализация приложений.</w:t>
            </w:r>
          </w:p>
          <w:p>
            <w:pPr>
              <w:pStyle w:val="Normal"/>
              <w:widowControl w:val="false"/>
              <w:ind w:right="-28"/>
              <w:rPr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</w:tr>
    </w:tbl>
    <w:p>
      <w:pPr>
        <w:pStyle w:val="Normal"/>
        <w:rPr>
          <w:b/>
          <w:sz w:val="24"/>
          <w:szCs w:val="24"/>
          <w:highlight w:val="none"/>
          <w:shd w:fill="FFFFFF" w:val="clear"/>
        </w:rPr>
      </w:pPr>
      <w:r>
        <w:rPr>
          <w:b/>
          <w:sz w:val="24"/>
          <w:szCs w:val="24"/>
          <w:shd w:fill="FFFFFF" w:val="clear"/>
        </w:rPr>
      </w:r>
    </w:p>
    <w:p>
      <w:pPr>
        <w:pStyle w:val="Normal"/>
        <w:jc w:val="both"/>
        <w:rPr>
          <w:highlight w:val="none"/>
          <w:shd w:fill="FFFFFF" w:val="clear"/>
        </w:rPr>
      </w:pPr>
      <w:r>
        <w:rPr>
          <w:b/>
          <w:bCs/>
          <w:sz w:val="24"/>
          <w:szCs w:val="24"/>
          <w:shd w:fill="FFFFFF" w:val="clear"/>
          <w:lang w:eastAsia="ru-RU"/>
        </w:rPr>
        <w:t>8. Оценка эффективности реализации муниципальной программы.</w:t>
      </w:r>
    </w:p>
    <w:p>
      <w:pPr>
        <w:pStyle w:val="Normal"/>
        <w:ind w:left="900"/>
        <w:jc w:val="both"/>
        <w:rPr>
          <w:b/>
          <w:bCs/>
          <w:sz w:val="24"/>
          <w:szCs w:val="24"/>
          <w:highlight w:val="none"/>
          <w:shd w:fill="FFFFFF" w:val="clear"/>
          <w:lang w:eastAsia="ru-RU"/>
        </w:rPr>
      </w:pPr>
      <w:r>
        <w:rPr>
          <w:b/>
          <w:bCs/>
          <w:sz w:val="24"/>
          <w:szCs w:val="24"/>
          <w:shd w:fill="FFFFFF" w:val="clear"/>
          <w:lang w:eastAsia="ru-RU"/>
        </w:rPr>
      </w:r>
    </w:p>
    <w:p>
      <w:pPr>
        <w:pStyle w:val="Normal"/>
        <w:ind w:firstLine="708"/>
        <w:rPr>
          <w:highlight w:val="none"/>
          <w:shd w:fill="FFFFFF" w:val="clear"/>
        </w:rPr>
      </w:pPr>
      <w:r>
        <w:rPr>
          <w:b/>
          <w:i/>
          <w:sz w:val="24"/>
          <w:szCs w:val="24"/>
          <w:shd w:fill="FFFFFF" w:val="clear"/>
        </w:rPr>
        <w:t>Степень достижения индикаторов (показателей) Программы:</w:t>
      </w:r>
    </w:p>
    <w:p>
      <w:pPr>
        <w:pStyle w:val="Style24"/>
        <w:numPr>
          <w:ilvl w:val="0"/>
          <w:numId w:val="3"/>
        </w:numPr>
        <w:tabs>
          <w:tab w:val="clear" w:pos="0"/>
          <w:tab w:val="clear" w:pos="993"/>
          <w:tab w:val="left" w:pos="561" w:leader="none"/>
          <w:tab w:val="left" w:pos="626" w:leader="none"/>
          <w:tab w:val="left" w:pos="848" w:leader="none"/>
        </w:tabs>
        <w:ind w:hanging="360" w:left="567"/>
        <w:rPr>
          <w:highlight w:val="none"/>
          <w:shd w:fill="FFFFFF" w:val="clear"/>
        </w:rPr>
      </w:pPr>
      <w:r>
        <w:rPr>
          <w:shd w:fill="FFFFFF" w:val="clear"/>
          <w:lang w:val="en-US"/>
        </w:rPr>
        <w:t>Ci</w:t>
      </w:r>
      <w:r>
        <w:rPr>
          <w:shd w:fill="FFFFFF" w:val="clear"/>
        </w:rPr>
        <w:t xml:space="preserve">= Зф/ Зп (для целевых индикаторов (показателей), желаемой тенденцией развития которых является рост значений)  </w:t>
      </w:r>
    </w:p>
    <w:p>
      <w:pPr>
        <w:pStyle w:val="Style24"/>
        <w:numPr>
          <w:ilvl w:val="0"/>
          <w:numId w:val="3"/>
        </w:numPr>
        <w:tabs>
          <w:tab w:val="clear" w:pos="0"/>
          <w:tab w:val="clear" w:pos="993"/>
          <w:tab w:val="left" w:pos="848" w:leader="none"/>
        </w:tabs>
        <w:ind w:hanging="360" w:left="567"/>
        <w:rPr>
          <w:highlight w:val="none"/>
          <w:shd w:fill="FFFFFF" w:val="clear"/>
        </w:rPr>
      </w:pPr>
      <w:r>
        <w:rPr>
          <w:shd w:fill="FFFFFF" w:val="clear"/>
        </w:rPr>
        <w:t>где:</w:t>
      </w:r>
    </w:p>
    <w:p>
      <w:pPr>
        <w:pStyle w:val="Style24"/>
        <w:numPr>
          <w:ilvl w:val="0"/>
          <w:numId w:val="3"/>
        </w:numPr>
        <w:tabs>
          <w:tab w:val="clear" w:pos="0"/>
          <w:tab w:val="clear" w:pos="993"/>
          <w:tab w:val="left" w:pos="848" w:leader="none"/>
        </w:tabs>
        <w:ind w:hanging="360" w:left="567"/>
        <w:rPr>
          <w:highlight w:val="none"/>
          <w:shd w:fill="FFFFFF" w:val="clear"/>
        </w:rPr>
      </w:pPr>
      <w:r>
        <w:rPr>
          <w:shd w:fill="FFFFFF" w:val="clear"/>
        </w:rPr>
        <w:t>Зф– фактическое значение индикатора (показателя);</w:t>
      </w:r>
    </w:p>
    <w:p>
      <w:pPr>
        <w:pStyle w:val="Style24"/>
        <w:numPr>
          <w:ilvl w:val="0"/>
          <w:numId w:val="3"/>
        </w:numPr>
        <w:tabs>
          <w:tab w:val="clear" w:pos="0"/>
          <w:tab w:val="clear" w:pos="993"/>
          <w:tab w:val="left" w:pos="848" w:leader="none"/>
        </w:tabs>
        <w:ind w:hanging="360" w:left="567"/>
        <w:rPr>
          <w:highlight w:val="none"/>
          <w:shd w:fill="FFFFFF" w:val="clear"/>
        </w:rPr>
      </w:pPr>
      <w:r>
        <w:rPr>
          <w:shd w:fill="FFFFFF" w:val="clear"/>
        </w:rPr>
        <w:t>Зп – плановое значение индикатора (показателя).</w:t>
      </w:r>
    </w:p>
    <w:p>
      <w:pPr>
        <w:pStyle w:val="Style24"/>
        <w:numPr>
          <w:ilvl w:val="0"/>
          <w:numId w:val="3"/>
        </w:numPr>
        <w:tabs>
          <w:tab w:val="clear" w:pos="0"/>
          <w:tab w:val="clear" w:pos="993"/>
          <w:tab w:val="left" w:pos="1135" w:leader="none"/>
        </w:tabs>
        <w:ind w:hanging="360" w:left="567"/>
        <w:rPr>
          <w:highlight w:val="none"/>
          <w:shd w:fill="FFFFFF" w:val="clear"/>
        </w:rPr>
      </w:pPr>
      <w:r>
        <w:rPr>
          <w:shd w:fill="FFFFFF" w:val="clear"/>
        </w:rPr>
        <w:t>1. Количество благоустроенных дворовых территорий многоквартирных домов</w:t>
      </w:r>
    </w:p>
    <w:p>
      <w:pPr>
        <w:pStyle w:val="Style24"/>
        <w:numPr>
          <w:ilvl w:val="0"/>
          <w:numId w:val="3"/>
        </w:numPr>
        <w:tabs>
          <w:tab w:val="clear" w:pos="0"/>
          <w:tab w:val="clear" w:pos="993"/>
          <w:tab w:val="left" w:pos="1135" w:leader="none"/>
        </w:tabs>
        <w:ind w:hanging="360" w:left="567"/>
        <w:rPr>
          <w:highlight w:val="none"/>
          <w:shd w:fill="FFFFFF" w:val="clear"/>
        </w:rPr>
      </w:pPr>
      <w:r>
        <w:rPr>
          <w:shd w:fill="FFFFFF" w:val="clear"/>
          <w:lang w:val="en-US"/>
        </w:rPr>
        <w:t>Ci</w:t>
      </w:r>
      <w:r>
        <w:rPr>
          <w:shd w:fill="FFFFFF" w:val="clear"/>
        </w:rPr>
        <w:t xml:space="preserve"> = 2674/2728 = 0,98</w:t>
      </w:r>
    </w:p>
    <w:p>
      <w:pPr>
        <w:pStyle w:val="Style24"/>
        <w:numPr>
          <w:ilvl w:val="0"/>
          <w:numId w:val="3"/>
        </w:numPr>
        <w:tabs>
          <w:tab w:val="clear" w:pos="0"/>
          <w:tab w:val="clear" w:pos="993"/>
          <w:tab w:val="left" w:pos="1135" w:leader="none"/>
        </w:tabs>
        <w:ind w:hanging="360" w:left="567"/>
        <w:rPr>
          <w:highlight w:val="none"/>
          <w:shd w:fill="FFFFFF" w:val="clear"/>
        </w:rPr>
      </w:pPr>
      <w:r>
        <w:rPr>
          <w:shd w:fill="FFFFFF" w:val="clear"/>
        </w:rPr>
        <w:t xml:space="preserve">2. Площадь благоустроенных </w:t>
      </w:r>
      <w:r>
        <w:rPr>
          <w:color w:val="000000"/>
          <w:shd w:fill="FFFFFF" w:val="clear"/>
        </w:rPr>
        <w:t>дворовых</w:t>
      </w:r>
      <w:r>
        <w:rPr>
          <w:shd w:fill="FFFFFF" w:val="clear"/>
        </w:rPr>
        <w:t xml:space="preserve"> территорий</w:t>
      </w:r>
    </w:p>
    <w:p>
      <w:pPr>
        <w:pStyle w:val="Style24"/>
        <w:numPr>
          <w:ilvl w:val="0"/>
          <w:numId w:val="3"/>
        </w:numPr>
        <w:tabs>
          <w:tab w:val="clear" w:pos="0"/>
          <w:tab w:val="clear" w:pos="993"/>
          <w:tab w:val="left" w:pos="1135" w:leader="none"/>
        </w:tabs>
        <w:ind w:hanging="360" w:left="567"/>
        <w:rPr>
          <w:highlight w:val="none"/>
          <w:shd w:fill="FFFFFF" w:val="clear"/>
        </w:rPr>
      </w:pPr>
      <w:r>
        <w:rPr>
          <w:shd w:fill="FFFFFF" w:val="clear"/>
          <w:lang w:val="en-US"/>
        </w:rPr>
        <w:t xml:space="preserve">Ci = </w:t>
      </w:r>
      <w:r>
        <w:rPr>
          <w:shd w:fill="FFFFFF" w:val="clear"/>
        </w:rPr>
        <w:t>2093742/2318800</w:t>
      </w:r>
      <w:r>
        <w:rPr>
          <w:shd w:fill="FFFFFF" w:val="clear"/>
          <w:lang w:val="en-US"/>
        </w:rPr>
        <w:t xml:space="preserve"> = </w:t>
      </w:r>
      <w:r>
        <w:rPr>
          <w:shd w:fill="FFFFFF" w:val="clear"/>
        </w:rPr>
        <w:t>0,9</w:t>
      </w:r>
    </w:p>
    <w:p>
      <w:pPr>
        <w:pStyle w:val="Style24"/>
        <w:numPr>
          <w:ilvl w:val="0"/>
          <w:numId w:val="3"/>
        </w:numPr>
        <w:tabs>
          <w:tab w:val="clear" w:pos="0"/>
          <w:tab w:val="clear" w:pos="993"/>
          <w:tab w:val="left" w:pos="1135" w:leader="none"/>
        </w:tabs>
        <w:ind w:hanging="360" w:left="567"/>
        <w:rPr>
          <w:highlight w:val="none"/>
          <w:shd w:fill="FFFFFF" w:val="clear"/>
        </w:rPr>
      </w:pPr>
      <w:r>
        <w:rPr>
          <w:shd w:fill="FFFFFF" w:val="clear"/>
        </w:rPr>
        <w:t>3. Количество благоустроенных общественных территорий</w:t>
      </w:r>
    </w:p>
    <w:p>
      <w:pPr>
        <w:pStyle w:val="Style24"/>
        <w:numPr>
          <w:ilvl w:val="0"/>
          <w:numId w:val="3"/>
        </w:numPr>
        <w:tabs>
          <w:tab w:val="clear" w:pos="0"/>
          <w:tab w:val="clear" w:pos="993"/>
          <w:tab w:val="left" w:pos="1135" w:leader="none"/>
        </w:tabs>
        <w:ind w:hanging="360" w:left="567"/>
        <w:rPr>
          <w:highlight w:val="none"/>
          <w:shd w:fill="FFFFFF" w:val="clear"/>
        </w:rPr>
      </w:pPr>
      <w:r>
        <w:rPr>
          <w:shd w:fill="FFFFFF" w:val="clear"/>
          <w:lang w:val="en-US"/>
        </w:rPr>
        <w:t>Ci =</w:t>
      </w:r>
      <w:r>
        <w:rPr>
          <w:shd w:fill="FFFFFF" w:val="clear"/>
        </w:rPr>
        <w:t xml:space="preserve"> </w:t>
      </w:r>
      <w:r>
        <w:rPr>
          <w:color w:val="000000"/>
          <w:shd w:fill="FFFFFF" w:val="clear"/>
        </w:rPr>
        <w:t>65</w:t>
      </w:r>
      <w:r>
        <w:rPr>
          <w:shd w:fill="FFFFFF" w:val="clear"/>
        </w:rPr>
        <w:t>/</w:t>
      </w:r>
      <w:r>
        <w:rPr>
          <w:color w:val="000000"/>
          <w:shd w:fill="FFFFFF" w:val="clear"/>
        </w:rPr>
        <w:t>65</w:t>
      </w:r>
      <w:r>
        <w:rPr>
          <w:shd w:fill="FFFFFF" w:val="clear"/>
          <w:lang w:val="en-US"/>
        </w:rPr>
        <w:t xml:space="preserve"> = 1</w:t>
      </w:r>
    </w:p>
    <w:p>
      <w:pPr>
        <w:pStyle w:val="Style24"/>
        <w:numPr>
          <w:ilvl w:val="0"/>
          <w:numId w:val="3"/>
        </w:numPr>
        <w:tabs>
          <w:tab w:val="clear" w:pos="0"/>
          <w:tab w:val="clear" w:pos="993"/>
          <w:tab w:val="left" w:pos="1135" w:leader="none"/>
        </w:tabs>
        <w:ind w:hanging="360" w:left="567"/>
        <w:rPr>
          <w:highlight w:val="none"/>
          <w:shd w:fill="FFFFFF" w:val="clear"/>
        </w:rPr>
      </w:pPr>
      <w:r>
        <w:rPr>
          <w:shd w:fill="FFFFFF" w:val="clear"/>
        </w:rPr>
        <w:t>4</w:t>
      </w:r>
      <w:r>
        <w:rPr>
          <w:shd w:fill="FFFFFF" w:val="clear"/>
          <w:lang w:val="en-US"/>
        </w:rPr>
        <w:t>.</w:t>
      </w:r>
      <w:r>
        <w:rPr>
          <w:shd w:fill="FFFFFF" w:val="clear"/>
        </w:rPr>
        <w:t xml:space="preserve"> </w:t>
      </w:r>
      <w:r>
        <w:rPr>
          <w:shd w:fill="FFFFFF" w:val="clear"/>
          <w:lang w:val="en-US"/>
        </w:rPr>
        <w:t>Площадь благоустроенных общественных территорий</w:t>
      </w:r>
    </w:p>
    <w:p>
      <w:pPr>
        <w:pStyle w:val="Style24"/>
        <w:numPr>
          <w:ilvl w:val="0"/>
          <w:numId w:val="3"/>
        </w:numPr>
        <w:tabs>
          <w:tab w:val="clear" w:pos="0"/>
          <w:tab w:val="clear" w:pos="993"/>
          <w:tab w:val="left" w:pos="1135" w:leader="none"/>
        </w:tabs>
        <w:ind w:hanging="360" w:left="567"/>
        <w:rPr>
          <w:highlight w:val="none"/>
          <w:shd w:fill="FFFFFF" w:val="clear"/>
        </w:rPr>
      </w:pPr>
      <w:r>
        <w:rPr>
          <w:shd w:fill="FFFFFF" w:val="clear"/>
          <w:lang w:val="en-US"/>
        </w:rPr>
        <w:t xml:space="preserve">Ci = </w:t>
      </w:r>
      <w:r>
        <w:rPr>
          <w:color w:val="000000"/>
          <w:shd w:fill="FFFFFF" w:val="clear"/>
        </w:rPr>
        <w:t>1043247</w:t>
      </w:r>
      <w:r>
        <w:rPr>
          <w:shd w:fill="FFFFFF" w:val="clear"/>
        </w:rPr>
        <w:t>/</w:t>
      </w:r>
      <w:r>
        <w:rPr>
          <w:color w:val="000000"/>
          <w:shd w:fill="FFFFFF" w:val="clear"/>
          <w:lang w:val="en-US"/>
        </w:rPr>
        <w:t>983247</w:t>
      </w:r>
      <w:r>
        <w:rPr>
          <w:shd w:fill="FFFFFF" w:val="clear"/>
        </w:rPr>
        <w:t xml:space="preserve"> = 1</w:t>
      </w:r>
    </w:p>
    <w:p>
      <w:pPr>
        <w:pStyle w:val="Style24"/>
        <w:numPr>
          <w:ilvl w:val="0"/>
          <w:numId w:val="0"/>
        </w:numPr>
        <w:tabs>
          <w:tab w:val="clear" w:pos="993"/>
          <w:tab w:val="left" w:pos="0" w:leader="none"/>
          <w:tab w:val="left" w:pos="1135" w:leader="none"/>
        </w:tabs>
        <w:ind w:hanging="0" w:left="993"/>
        <w:rPr>
          <w:highlight w:val="none"/>
          <w:shd w:fill="FFFFFF" w:val="clear"/>
        </w:rPr>
      </w:pPr>
      <w:r>
        <w:rPr>
          <w:shd w:fill="FFFFFF" w:val="clear"/>
        </w:rPr>
      </w:r>
    </w:p>
    <w:p>
      <w:pPr>
        <w:pStyle w:val="Normal"/>
        <w:ind w:firstLine="708"/>
        <w:jc w:val="both"/>
        <w:rPr>
          <w:highlight w:val="none"/>
          <w:shd w:fill="FFFFFF" w:val="clear"/>
        </w:rPr>
      </w:pPr>
      <w:r>
        <w:rPr>
          <w:b/>
          <w:i/>
          <w:sz w:val="24"/>
          <w:szCs w:val="24"/>
          <w:shd w:fill="FFFFFF" w:val="clear"/>
        </w:rPr>
        <w:t>Оценка степени достижения целей и решения задач Программы определяется путем сопоставления фактически достигнутых значений целевых показателей (индикаторов) Программы и их плановых значений:</w:t>
      </w:r>
    </w:p>
    <w:p>
      <w:pPr>
        <w:pStyle w:val="Normal"/>
        <w:ind w:firstLine="708"/>
        <w:jc w:val="both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>С = Σ</w:t>
      </w:r>
      <w:r>
        <w:rPr>
          <w:sz w:val="24"/>
          <w:szCs w:val="24"/>
          <w:shd w:fill="FFFFFF" w:val="clear"/>
          <w:vertAlign w:val="superscript"/>
          <w:lang w:val="en-US"/>
        </w:rPr>
        <w:t>n</w:t>
      </w:r>
      <w:r>
        <w:rPr>
          <w:sz w:val="24"/>
          <w:szCs w:val="24"/>
          <w:shd w:fill="FFFFFF" w:val="clear"/>
          <w:vertAlign w:val="subscript"/>
          <w:lang w:val="en-US"/>
        </w:rPr>
        <w:t>i</w:t>
      </w:r>
      <w:r>
        <w:rPr>
          <w:sz w:val="24"/>
          <w:szCs w:val="24"/>
          <w:shd w:fill="FFFFFF" w:val="clear"/>
        </w:rPr>
        <w:t>=</w:t>
      </w:r>
      <w:r>
        <w:rPr>
          <w:sz w:val="24"/>
          <w:szCs w:val="24"/>
          <w:shd w:fill="FFFFFF" w:val="clear"/>
          <w:lang w:val="en-US"/>
        </w:rPr>
        <w:t>Ci</w:t>
      </w:r>
      <w:r>
        <w:rPr>
          <w:sz w:val="24"/>
          <w:szCs w:val="24"/>
          <w:shd w:fill="FFFFFF" w:val="clear"/>
        </w:rPr>
        <w:t>/</w:t>
      </w:r>
      <w:r>
        <w:rPr>
          <w:sz w:val="24"/>
          <w:szCs w:val="24"/>
          <w:shd w:fill="FFFFFF" w:val="clear"/>
          <w:lang w:val="en-US"/>
        </w:rPr>
        <w:t>n</w:t>
      </w:r>
      <w:r>
        <w:rPr>
          <w:sz w:val="24"/>
          <w:szCs w:val="24"/>
          <w:shd w:fill="FFFFFF" w:val="clear"/>
        </w:rPr>
        <w:t>,</w:t>
      </w:r>
    </w:p>
    <w:p>
      <w:pPr>
        <w:pStyle w:val="Style24"/>
        <w:numPr>
          <w:ilvl w:val="0"/>
          <w:numId w:val="3"/>
        </w:numPr>
        <w:ind w:hanging="0" w:left="993"/>
        <w:rPr>
          <w:highlight w:val="none"/>
          <w:shd w:fill="FFFFFF" w:val="clear"/>
        </w:rPr>
      </w:pPr>
      <w:r>
        <w:rPr>
          <w:shd w:fill="FFFFFF" w:val="clear"/>
        </w:rPr>
        <w:t>где:</w:t>
      </w:r>
    </w:p>
    <w:p>
      <w:pPr>
        <w:pStyle w:val="Style24"/>
        <w:numPr>
          <w:ilvl w:val="0"/>
          <w:numId w:val="3"/>
        </w:numPr>
        <w:ind w:hanging="0" w:left="993"/>
        <w:rPr>
          <w:highlight w:val="none"/>
          <w:shd w:fill="FFFFFF" w:val="clear"/>
        </w:rPr>
      </w:pPr>
      <w:r>
        <w:rPr>
          <w:shd w:fill="FFFFFF" w:val="clear"/>
          <w:lang w:val="en-US"/>
        </w:rPr>
        <w:t>C</w:t>
      </w:r>
      <w:r>
        <w:rPr>
          <w:shd w:fill="FFFFFF" w:val="clear"/>
        </w:rPr>
        <w:t xml:space="preserve"> – оценка степени достижения цели, решения задачи Программы;</w:t>
      </w:r>
    </w:p>
    <w:p>
      <w:pPr>
        <w:pStyle w:val="Style24"/>
        <w:numPr>
          <w:ilvl w:val="0"/>
          <w:numId w:val="3"/>
        </w:numPr>
        <w:ind w:hanging="0" w:left="993"/>
        <w:rPr>
          <w:highlight w:val="none"/>
          <w:shd w:fill="FFFFFF" w:val="clear"/>
        </w:rPr>
      </w:pPr>
      <w:r>
        <w:rPr>
          <w:i/>
          <w:iCs/>
          <w:shd w:fill="FFFFFF" w:val="clear"/>
          <w:lang w:val="en-US"/>
        </w:rPr>
        <w:t>Ci</w:t>
      </w:r>
      <w:r>
        <w:rPr>
          <w:i/>
          <w:iCs/>
          <w:shd w:fill="FFFFFF" w:val="clear"/>
        </w:rPr>
        <w:t xml:space="preserve"> </w:t>
      </w:r>
      <w:r>
        <w:rPr>
          <w:shd w:fill="FFFFFF" w:val="clear"/>
        </w:rPr>
        <w:t>– степень достижения i-го индикатора (показателя) Программы, отражающего степень достижения цели, решения соответствующей задачи;</w:t>
      </w:r>
    </w:p>
    <w:p>
      <w:pPr>
        <w:pStyle w:val="Style24"/>
        <w:numPr>
          <w:ilvl w:val="0"/>
          <w:numId w:val="3"/>
        </w:numPr>
        <w:ind w:hanging="0" w:left="993"/>
        <w:rPr>
          <w:highlight w:val="none"/>
          <w:shd w:fill="FFFFFF" w:val="clear"/>
        </w:rPr>
      </w:pPr>
      <w:r>
        <w:rPr>
          <w:shd w:fill="FFFFFF" w:val="clear"/>
          <w:lang w:val="en-US"/>
        </w:rPr>
        <w:t>n</w:t>
      </w:r>
      <w:r>
        <w:rPr>
          <w:shd w:fill="FFFFFF" w:val="clear"/>
        </w:rPr>
        <w:t xml:space="preserve"> – количество показателей, характеризующих степень достижения цели, решения задачи Программы.</w:t>
      </w:r>
    </w:p>
    <w:p>
      <w:pPr>
        <w:pStyle w:val="Style24"/>
        <w:numPr>
          <w:ilvl w:val="0"/>
          <w:numId w:val="0"/>
        </w:numPr>
        <w:ind w:hanging="0" w:left="993"/>
        <w:rPr>
          <w:i/>
          <w:i/>
          <w:sz w:val="24"/>
          <w:szCs w:val="24"/>
          <w:highlight w:val="none"/>
          <w:shd w:fill="FFFFFF" w:val="clear"/>
        </w:rPr>
      </w:pPr>
      <w:r>
        <w:rPr>
          <w:i/>
          <w:sz w:val="24"/>
          <w:szCs w:val="24"/>
          <w:shd w:fill="FFFFFF" w:val="clear"/>
        </w:rPr>
      </w:r>
    </w:p>
    <w:p>
      <w:pPr>
        <w:pStyle w:val="Normal"/>
        <w:ind w:firstLine="57" w:left="567"/>
        <w:jc w:val="both"/>
        <w:rPr>
          <w:highlight w:val="none"/>
          <w:shd w:fill="FFFFFF" w:val="clear"/>
        </w:rPr>
      </w:pPr>
      <w:r>
        <w:rPr>
          <w:i/>
          <w:sz w:val="24"/>
          <w:szCs w:val="24"/>
          <w:shd w:fill="FFFFFF" w:val="clear"/>
        </w:rPr>
        <w:t xml:space="preserve">  </w:t>
      </w:r>
      <w:r>
        <w:rPr>
          <w:i/>
          <w:sz w:val="24"/>
          <w:szCs w:val="24"/>
          <w:shd w:fill="FFFFFF" w:val="clear"/>
        </w:rPr>
        <w:t>С= (0,98+0,9+1+0,94)/4=3,82/4=</w:t>
      </w:r>
      <w:r>
        <w:rPr>
          <w:b/>
          <w:i/>
          <w:sz w:val="24"/>
          <w:szCs w:val="24"/>
          <w:shd w:fill="FFFFFF" w:val="clear"/>
        </w:rPr>
        <w:t>0,96</w:t>
      </w:r>
    </w:p>
    <w:p>
      <w:pPr>
        <w:pStyle w:val="Normal"/>
        <w:ind w:firstLine="708"/>
        <w:jc w:val="both"/>
        <w:rPr>
          <w:i/>
          <w:i/>
          <w:sz w:val="24"/>
          <w:szCs w:val="24"/>
          <w:highlight w:val="none"/>
          <w:shd w:fill="FFFFFF" w:val="clear"/>
        </w:rPr>
      </w:pPr>
      <w:r>
        <w:rPr>
          <w:i/>
          <w:sz w:val="24"/>
          <w:szCs w:val="24"/>
          <w:shd w:fill="FFFFFF" w:val="clear"/>
        </w:rPr>
      </w:r>
    </w:p>
    <w:p>
      <w:pPr>
        <w:pStyle w:val="Normal"/>
        <w:ind w:firstLine="708"/>
        <w:jc w:val="both"/>
        <w:rPr>
          <w:highlight w:val="none"/>
          <w:shd w:fill="FFFFFF" w:val="clear"/>
        </w:rPr>
      </w:pPr>
      <w:r>
        <w:rPr>
          <w:b/>
          <w:i/>
          <w:sz w:val="24"/>
          <w:szCs w:val="24"/>
          <w:shd w:fill="FFFFFF" w:val="clear"/>
        </w:rPr>
        <w:t>Оценка степени соответствия запланированному уровню затрат и эффективности использования средств, направленных на реализацию Программы:</w:t>
      </w:r>
    </w:p>
    <w:p>
      <w:pPr>
        <w:pStyle w:val="Style24"/>
        <w:numPr>
          <w:ilvl w:val="0"/>
          <w:numId w:val="3"/>
        </w:numPr>
        <w:ind w:hanging="0" w:left="993"/>
        <w:rPr>
          <w:highlight w:val="none"/>
          <w:shd w:fill="FFFFFF" w:val="clear"/>
        </w:rPr>
      </w:pPr>
      <w:r>
        <w:rPr>
          <w:shd w:fill="FFFFFF" w:val="clear"/>
        </w:rPr>
        <w:t>Уи = Фф / Фп,</w:t>
      </w:r>
    </w:p>
    <w:p>
      <w:pPr>
        <w:pStyle w:val="Style24"/>
        <w:numPr>
          <w:ilvl w:val="0"/>
          <w:numId w:val="3"/>
        </w:numPr>
        <w:ind w:hanging="0" w:left="993"/>
        <w:rPr>
          <w:highlight w:val="none"/>
          <w:shd w:fill="FFFFFF" w:val="clear"/>
        </w:rPr>
      </w:pPr>
      <w:r>
        <w:rPr>
          <w:shd w:fill="FFFFFF" w:val="clear"/>
        </w:rPr>
        <w:t>где:</w:t>
      </w:r>
    </w:p>
    <w:p>
      <w:pPr>
        <w:pStyle w:val="Style24"/>
        <w:numPr>
          <w:ilvl w:val="0"/>
          <w:numId w:val="3"/>
        </w:numPr>
        <w:ind w:hanging="0" w:left="993"/>
        <w:rPr>
          <w:highlight w:val="none"/>
          <w:shd w:fill="FFFFFF" w:val="clear"/>
        </w:rPr>
      </w:pPr>
      <w:r>
        <w:rPr>
          <w:shd w:fill="FFFFFF" w:val="clear"/>
        </w:rPr>
        <w:t>Уи – уровень исполнения Программы по расходам;</w:t>
      </w:r>
    </w:p>
    <w:p>
      <w:pPr>
        <w:pStyle w:val="Style24"/>
        <w:numPr>
          <w:ilvl w:val="0"/>
          <w:numId w:val="3"/>
        </w:numPr>
        <w:ind w:hanging="0" w:left="993"/>
        <w:rPr>
          <w:highlight w:val="none"/>
          <w:shd w:fill="FFFFFF" w:val="clear"/>
        </w:rPr>
      </w:pPr>
      <w:r>
        <w:rPr>
          <w:shd w:fill="FFFFFF" w:val="clear"/>
        </w:rPr>
        <w:t>Фф – фактический объем финансовых ресурсов, направленный на реализацию Программы;</w:t>
      </w:r>
    </w:p>
    <w:p>
      <w:pPr>
        <w:pStyle w:val="Style24"/>
        <w:numPr>
          <w:ilvl w:val="0"/>
          <w:numId w:val="3"/>
        </w:numPr>
        <w:ind w:hanging="0" w:left="993"/>
        <w:rPr>
          <w:highlight w:val="none"/>
          <w:shd w:fill="FFFFFF" w:val="clear"/>
        </w:rPr>
      </w:pPr>
      <w:r>
        <w:rPr>
          <w:shd w:fill="FFFFFF" w:val="clear"/>
        </w:rPr>
        <w:t>Фп – плановый объем финансовых ресурсов на соответствующий отчетный период.</w:t>
      </w:r>
    </w:p>
    <w:p>
      <w:pPr>
        <w:pStyle w:val="Style24"/>
        <w:numPr>
          <w:ilvl w:val="0"/>
          <w:numId w:val="0"/>
        </w:numPr>
        <w:ind w:hanging="0" w:left="993"/>
        <w:rPr>
          <w:i/>
          <w:i/>
          <w:sz w:val="24"/>
          <w:szCs w:val="24"/>
          <w:highlight w:val="none"/>
          <w:shd w:fill="FFFFFF" w:val="clear"/>
        </w:rPr>
      </w:pPr>
      <w:r>
        <w:rPr>
          <w:i/>
          <w:sz w:val="24"/>
          <w:szCs w:val="24"/>
          <w:shd w:fill="FFFFFF" w:val="clear"/>
        </w:rPr>
      </w:r>
    </w:p>
    <w:p>
      <w:pPr>
        <w:pStyle w:val="Normal"/>
        <w:ind w:firstLine="720" w:left="273"/>
        <w:jc w:val="both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>Уи = 138 398,9 /140 547,8</w:t>
      </w:r>
      <w:r>
        <w:rPr>
          <w:color w:val="000000"/>
          <w:sz w:val="24"/>
          <w:szCs w:val="24"/>
          <w:shd w:fill="FFFFFF" w:val="clear"/>
        </w:rPr>
        <w:t xml:space="preserve"> </w:t>
      </w:r>
      <w:r>
        <w:rPr>
          <w:sz w:val="24"/>
          <w:szCs w:val="24"/>
          <w:shd w:fill="FFFFFF" w:val="clear"/>
        </w:rPr>
        <w:t>= 0,98</w:t>
      </w:r>
    </w:p>
    <w:p>
      <w:pPr>
        <w:pStyle w:val="Normal"/>
        <w:ind w:firstLine="708"/>
        <w:jc w:val="both"/>
        <w:rPr>
          <w:sz w:val="24"/>
          <w:szCs w:val="24"/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</w:r>
    </w:p>
    <w:p>
      <w:pPr>
        <w:pStyle w:val="Normal"/>
        <w:ind w:firstLine="708"/>
        <w:jc w:val="both"/>
        <w:rPr>
          <w:highlight w:val="none"/>
          <w:shd w:fill="FFFFFF" w:val="clear"/>
        </w:rPr>
      </w:pPr>
      <w:r>
        <w:rPr>
          <w:b/>
          <w:i/>
          <w:sz w:val="24"/>
          <w:szCs w:val="24"/>
          <w:shd w:fill="FFFFFF" w:val="clear"/>
        </w:rPr>
        <w:t>Оценка степени реализации мероприятий Программы:</w:t>
      </w:r>
    </w:p>
    <w:p>
      <w:pPr>
        <w:pStyle w:val="Style24"/>
        <w:numPr>
          <w:ilvl w:val="0"/>
          <w:numId w:val="3"/>
        </w:numPr>
        <w:ind w:hanging="0" w:left="993"/>
        <w:rPr>
          <w:highlight w:val="none"/>
          <w:shd w:fill="FFFFFF" w:val="clear"/>
        </w:rPr>
      </w:pPr>
      <w:r>
        <w:rPr>
          <w:shd w:fill="FFFFFF" w:val="clear"/>
        </w:rPr>
        <w:t xml:space="preserve">М = </w:t>
      </w:r>
      <w:r>
        <w:rPr>
          <w:shd w:fill="FFFFFF" w:val="clear"/>
          <w:lang w:val="en-US"/>
        </w:rPr>
        <w:t>R</w:t>
      </w:r>
      <w:r>
        <w:rPr>
          <w:shd w:fill="FFFFFF" w:val="clear"/>
        </w:rPr>
        <w:t xml:space="preserve">/ </w:t>
      </w:r>
      <w:r>
        <w:rPr>
          <w:shd w:fill="FFFFFF" w:val="clear"/>
          <w:lang w:val="en-US"/>
        </w:rPr>
        <w:t>m</w:t>
      </w:r>
    </w:p>
    <w:p>
      <w:pPr>
        <w:pStyle w:val="Style24"/>
        <w:numPr>
          <w:ilvl w:val="0"/>
          <w:numId w:val="3"/>
        </w:numPr>
        <w:ind w:hanging="0" w:left="993"/>
        <w:rPr>
          <w:highlight w:val="none"/>
          <w:shd w:fill="FFFFFF" w:val="clear"/>
        </w:rPr>
      </w:pPr>
      <w:r>
        <w:rPr>
          <w:shd w:fill="FFFFFF" w:val="clear"/>
        </w:rPr>
        <w:t>где:</w:t>
      </w:r>
    </w:p>
    <w:p>
      <w:pPr>
        <w:pStyle w:val="Style24"/>
        <w:numPr>
          <w:ilvl w:val="0"/>
          <w:numId w:val="3"/>
        </w:numPr>
        <w:ind w:hanging="0" w:left="993"/>
        <w:rPr>
          <w:highlight w:val="none"/>
          <w:shd w:fill="FFFFFF" w:val="clear"/>
        </w:rPr>
      </w:pPr>
      <w:r>
        <w:rPr>
          <w:shd w:fill="FFFFFF" w:val="clear"/>
        </w:rPr>
        <w:t>М – оценка степени реализации мероприятий Программы;</w:t>
      </w:r>
    </w:p>
    <w:p>
      <w:pPr>
        <w:pStyle w:val="Style24"/>
        <w:numPr>
          <w:ilvl w:val="0"/>
          <w:numId w:val="3"/>
        </w:numPr>
        <w:ind w:hanging="0" w:left="993"/>
        <w:rPr>
          <w:highlight w:val="none"/>
          <w:shd w:fill="FFFFFF" w:val="clear"/>
        </w:rPr>
      </w:pPr>
      <w:r>
        <w:rPr>
          <w:shd w:fill="FFFFFF" w:val="clear"/>
          <w:lang w:val="en-US"/>
        </w:rPr>
        <w:t>R</w:t>
      </w:r>
      <w:r>
        <w:rPr>
          <w:shd w:fill="FFFFFF" w:val="clear"/>
        </w:rPr>
        <w:t xml:space="preserve"> – показатель достижения ожидаемого непосредственного результата </w:t>
      </w:r>
      <w:r>
        <w:rPr>
          <w:shd w:fill="FFFFFF" w:val="clear"/>
          <w:lang w:val="en-US"/>
        </w:rPr>
        <w:t>i</w:t>
      </w:r>
      <w:r>
        <w:rPr>
          <w:shd w:fill="FFFFFF" w:val="clear"/>
        </w:rPr>
        <w:t>-го мероприятия программы, определяемый в случае достижения непосредственного результата в отчетном периоде как «1», в случае недостижения непосредственного результата - как «0»;</w:t>
      </w:r>
    </w:p>
    <w:p>
      <w:pPr>
        <w:pStyle w:val="Style24"/>
        <w:numPr>
          <w:ilvl w:val="0"/>
          <w:numId w:val="3"/>
        </w:numPr>
        <w:ind w:hanging="0" w:left="993"/>
        <w:rPr>
          <w:highlight w:val="none"/>
          <w:shd w:fill="FFFFFF" w:val="clear"/>
        </w:rPr>
      </w:pPr>
      <w:r>
        <w:rPr>
          <w:shd w:fill="FFFFFF" w:val="clear"/>
          <w:lang w:val="en-US"/>
        </w:rPr>
        <w:t>m</w:t>
      </w:r>
      <w:r>
        <w:rPr>
          <w:shd w:fill="FFFFFF" w:val="clear"/>
        </w:rPr>
        <w:t xml:space="preserve"> – количество основных мероприятий, включенных в Программу.</w:t>
      </w:r>
    </w:p>
    <w:p>
      <w:pPr>
        <w:pStyle w:val="Style24"/>
        <w:numPr>
          <w:ilvl w:val="0"/>
          <w:numId w:val="0"/>
        </w:numPr>
        <w:ind w:hanging="0" w:left="993"/>
        <w:rPr>
          <w:i/>
          <w:i/>
          <w:sz w:val="24"/>
          <w:szCs w:val="24"/>
          <w:highlight w:val="none"/>
          <w:shd w:fill="FFFFFF" w:val="clear"/>
        </w:rPr>
      </w:pPr>
      <w:r>
        <w:rPr>
          <w:i/>
          <w:sz w:val="24"/>
          <w:szCs w:val="24"/>
          <w:shd w:fill="FFFFFF" w:val="clear"/>
        </w:rPr>
      </w:r>
    </w:p>
    <w:p>
      <w:pPr>
        <w:pStyle w:val="Normal"/>
        <w:ind w:firstLine="708"/>
        <w:jc w:val="both"/>
        <w:rPr>
          <w:highlight w:val="none"/>
          <w:shd w:fill="FFFFFF" w:val="clear"/>
        </w:rPr>
      </w:pPr>
      <w:r>
        <w:rPr>
          <w:i/>
          <w:sz w:val="24"/>
          <w:szCs w:val="24"/>
          <w:shd w:fill="FFFFFF" w:val="clear"/>
        </w:rPr>
        <w:t xml:space="preserve">М = (0+1)/2= 1 /2 = </w:t>
      </w:r>
      <w:r>
        <w:rPr>
          <w:b/>
          <w:bCs/>
          <w:i/>
          <w:sz w:val="24"/>
          <w:szCs w:val="24"/>
          <w:shd w:fill="FFFFFF" w:val="clear"/>
        </w:rPr>
        <w:t>0,5</w:t>
      </w:r>
    </w:p>
    <w:sectPr>
      <w:headerReference w:type="default" r:id="rId8"/>
      <w:headerReference w:type="first" r:id="rId9"/>
      <w:type w:val="nextPage"/>
      <w:pgSz w:w="11906" w:h="16838"/>
      <w:pgMar w:left="1383" w:right="858" w:gutter="0" w:header="708" w:top="1134" w:footer="0" w:bottom="1134"/>
      <w:pgNumType w:fmt="none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01"/>
    <w:family w:val="swiss"/>
    <w:pitch w:val="variable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/>
    </w:r>
  </w:p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pStyle w:val="Heading2"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pStyle w:val="Heading3"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pStyle w:val="Heading4"/>
      <w:numFmt w:val="decimal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−"/>
      <w:lvlJc w:val="left"/>
      <w:pPr>
        <w:tabs>
          <w:tab w:val="num" w:pos="0"/>
        </w:tabs>
        <w:ind w:left="1080" w:hanging="360"/>
      </w:pPr>
      <w:rPr>
        <w:rFonts w:ascii="Calibri" w:hAnsi="Calibri" w:cs="Calibri" w:hint="default"/>
      </w:rPr>
    </w:lvl>
    <w:lvl w:ilvl="1">
      <w:start w:val="0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0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0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4">
      <w:start w:val="0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5">
      <w:start w:val="0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6">
      <w:start w:val="0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7">
      <w:start w:val="0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8">
      <w:start w:val="0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/>
        <w:szCs w:val="24"/>
        <w:bCs/>
        <w:rFonts w:cs="Times New Roman"/>
        <w:lang w:eastAsia="ru-RU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lang w:eastAsia="ru-RU"/>
      </w:rPr>
    </w:lvl>
    <w:lvl w:ilvl="1">
      <w:start w:val="0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0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0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4">
      <w:start w:val="0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5">
      <w:start w:val="0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6">
      <w:start w:val="0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7">
      <w:start w:val="0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8">
      <w:start w:val="0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10"/>
  <w:displayBackgroundShape/>
  <w:defaultTabStop w:val="720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Heading1">
    <w:name w:val="Heading 1"/>
    <w:basedOn w:val="16"/>
    <w:next w:val="15"/>
    <w:link w:val="1"/>
    <w:uiPriority w:val="9"/>
    <w:qFormat/>
    <w:pPr>
      <w:numPr>
        <w:ilvl w:val="0"/>
        <w:numId w:val="1"/>
      </w:numPr>
      <w:tabs>
        <w:tab w:val="clear" w:pos="720"/>
        <w:tab w:val="left" w:pos="432" w:leader="none"/>
      </w:tabs>
      <w:outlineLvl w:val="0"/>
    </w:pPr>
    <w:rPr>
      <w:b/>
      <w:bCs/>
      <w:sz w:val="36"/>
      <w:szCs w:val="36"/>
    </w:rPr>
  </w:style>
  <w:style w:type="paragraph" w:styleId="Heading2">
    <w:name w:val="Heading 2"/>
    <w:basedOn w:val="16"/>
    <w:next w:val="15"/>
    <w:link w:val="2"/>
    <w:uiPriority w:val="9"/>
    <w:unhideWhenUsed/>
    <w:qFormat/>
    <w:pPr>
      <w:numPr>
        <w:ilvl w:val="1"/>
        <w:numId w:val="1"/>
      </w:numPr>
      <w:tabs>
        <w:tab w:val="clear" w:pos="720"/>
        <w:tab w:val="left" w:pos="576" w:leader="none"/>
      </w:tabs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16"/>
    <w:next w:val="15"/>
    <w:link w:val="3"/>
    <w:uiPriority w:val="9"/>
    <w:unhideWhenUsed/>
    <w:qFormat/>
    <w:pPr>
      <w:numPr>
        <w:ilvl w:val="2"/>
        <w:numId w:val="1"/>
      </w:numPr>
      <w:tabs>
        <w:tab w:val="left" w:pos="720" w:leader="none"/>
      </w:tabs>
      <w:spacing w:before="140" w:after="120"/>
      <w:outlineLvl w:val="2"/>
    </w:pPr>
    <w:rPr>
      <w:b/>
      <w:bCs/>
    </w:rPr>
  </w:style>
  <w:style w:type="paragraph" w:styleId="Heading4">
    <w:name w:val="Heading 4"/>
    <w:basedOn w:val="16"/>
    <w:next w:val="15"/>
    <w:link w:val="4"/>
    <w:uiPriority w:val="9"/>
    <w:unhideWhenUsed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11" w:customStyle="1">
    <w:name w:val="Подзаголовок Знак1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6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12" w:customStyle="1">
    <w:name w:val="Верхний колонтитул Знак1"/>
    <w:basedOn w:val="DefaultParagraphFont"/>
    <w:uiPriority w:val="99"/>
    <w:qFormat/>
    <w:rPr/>
  </w:style>
  <w:style w:type="character" w:styleId="13" w:customStyle="1">
    <w:name w:val="Нижний колонтитул Знак1"/>
    <w:basedOn w:val="DefaultParagraphFont"/>
    <w:uiPriority w:val="99"/>
    <w:qFormat/>
    <w:rPr/>
  </w:style>
  <w:style w:type="character" w:styleId="Style7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8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FootnoteCharacters1" w:customStyle="1">
    <w:name w:val="Footnote Characters1"/>
    <w:basedOn w:val="DefaultParagraphFont"/>
    <w:uiPriority w:val="99"/>
    <w:semiHidden/>
    <w:unhideWhenUsed/>
    <w:qFormat/>
    <w:rPr>
      <w:vertAlign w:val="superscript"/>
    </w:rPr>
  </w:style>
  <w:style w:type="character" w:styleId="Style9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0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EndnoteCharacters1" w:customStyle="1">
    <w:name w:val="Endnote Characters1"/>
    <w:basedOn w:val="DefaultParagraphFont"/>
    <w:uiPriority w:val="99"/>
    <w:semiHidden/>
    <w:unhideWhenUsed/>
    <w:qFormat/>
    <w:rPr>
      <w:vertAlign w:val="superscript"/>
    </w:rPr>
  </w:style>
  <w:style w:type="character" w:styleId="InternetLink" w:customStyle="1">
    <w:name w:val="Internet Link"/>
    <w:basedOn w:val="DefaultParagraphFont"/>
    <w:uiPriority w:val="99"/>
    <w:unhideWhenUsed/>
    <w:qFormat/>
    <w:rPr>
      <w:color w:themeColor="hyperlink"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800080"/>
      <w:u w:val="single"/>
    </w:rPr>
  </w:style>
  <w:style w:type="character" w:styleId="WW8Num2z0" w:customStyle="1">
    <w:name w:val="WW8Num2z0"/>
    <w:qFormat/>
    <w:rPr>
      <w:rFonts w:ascii="Calibri" w:hAnsi="Calibri" w:cs="Calibri"/>
    </w:rPr>
  </w:style>
  <w:style w:type="character" w:styleId="WW8Num3z0" w:customStyle="1">
    <w:name w:val="WW8Num3z0"/>
    <w:qFormat/>
    <w:rPr>
      <w:rFonts w:ascii="Symbol" w:hAnsi="Symbol" w:cs="Symbol"/>
    </w:rPr>
  </w:style>
  <w:style w:type="character" w:styleId="WW8Num4z0" w:customStyle="1">
    <w:name w:val="WW8Num4z0"/>
    <w:qFormat/>
    <w:rPr>
      <w:rFonts w:cs="Times New Roman"/>
      <w:b/>
      <w:bCs/>
      <w:sz w:val="24"/>
      <w:szCs w:val="24"/>
      <w:lang w:eastAsia="ru-RU"/>
    </w:rPr>
  </w:style>
  <w:style w:type="character" w:styleId="WW8Num5z0" w:customStyle="1">
    <w:name w:val="WW8Num5z0"/>
    <w:qFormat/>
    <w:rPr>
      <w:b/>
      <w:bCs/>
      <w:sz w:val="24"/>
      <w:szCs w:val="24"/>
      <w:lang w:eastAsia="ru-RU"/>
    </w:rPr>
  </w:style>
  <w:style w:type="character" w:styleId="41" w:customStyle="1">
    <w:name w:val="Основной шрифт абзаца4"/>
    <w:qFormat/>
    <w:rPr/>
  </w:style>
  <w:style w:type="character" w:styleId="31" w:customStyle="1">
    <w:name w:val="Основной шрифт абзаца3"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22" w:customStyle="1">
    <w:name w:val="Основной шрифт абзаца2"/>
    <w:qFormat/>
    <w:rPr/>
  </w:style>
  <w:style w:type="character" w:styleId="WW8Num6z2" w:customStyle="1">
    <w:name w:val="WW8Num6z2"/>
    <w:qFormat/>
    <w:rPr/>
  </w:style>
  <w:style w:type="character" w:styleId="WW8Num2z4" w:customStyle="1">
    <w:name w:val="WW8Num2z4"/>
    <w:qFormat/>
    <w:rPr/>
  </w:style>
  <w:style w:type="character" w:styleId="InternetLink1" w:customStyle="1">
    <w:name w:val="Internet Link1"/>
    <w:qFormat/>
    <w:rPr>
      <w:color w:val="000080"/>
      <w:lang w:bidi="en-US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2z8" w:customStyle="1">
    <w:name w:val="WW8Num2z8"/>
    <w:qFormat/>
    <w:rPr/>
  </w:style>
  <w:style w:type="character" w:styleId="WW8Num2z5" w:customStyle="1">
    <w:name w:val="WW8Num2z5"/>
    <w:qFormat/>
    <w:rPr/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Style11" w:customStyle="1">
    <w:name w:val="Основной текст с отступом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2z7" w:customStyle="1">
    <w:name w:val="WW8Num2z7"/>
    <w:qFormat/>
    <w:rPr/>
  </w:style>
  <w:style w:type="character" w:styleId="WW8Num6z1" w:customStyle="1">
    <w:name w:val="WW8Num6z1"/>
    <w:qFormat/>
    <w:rPr/>
  </w:style>
  <w:style w:type="character" w:styleId="WW8Num2z3" w:customStyle="1">
    <w:name w:val="WW8Num2z3"/>
    <w:qFormat/>
    <w:rPr/>
  </w:style>
  <w:style w:type="character" w:styleId="Style12" w:customStyle="1">
    <w:name w:val="Подзаголовок Знак"/>
    <w:qFormat/>
    <w:rPr>
      <w:rFonts w:ascii="Times New Roman" w:hAnsi="Times New Roman" w:eastAsia="Times New Roman" w:cs="Times New Roman"/>
      <w:b/>
      <w:bCs/>
      <w:sz w:val="28"/>
    </w:rPr>
  </w:style>
  <w:style w:type="character" w:styleId="WW8Num7z0" w:customStyle="1">
    <w:name w:val="WW8Num7z0"/>
    <w:qFormat/>
    <w:rPr>
      <w:rFonts w:ascii="Symbol" w:hAnsi="Symbol" w:cs="Symbol"/>
    </w:rPr>
  </w:style>
  <w:style w:type="character" w:styleId="WW8Num6z0" w:customStyle="1">
    <w:name w:val="WW8Num6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2z2" w:customStyle="1">
    <w:name w:val="WW8Num2z2"/>
    <w:qFormat/>
    <w:rPr/>
  </w:style>
  <w:style w:type="character" w:styleId="WW8Num2z6" w:customStyle="1">
    <w:name w:val="WW8Num2z6"/>
    <w:qFormat/>
    <w:rPr/>
  </w:style>
  <w:style w:type="character" w:styleId="WW8Num2z1" w:customStyle="1">
    <w:name w:val="WW8Num2z1"/>
    <w:qFormat/>
    <w:rPr/>
  </w:style>
  <w:style w:type="character" w:styleId="14" w:customStyle="1">
    <w:name w:val="Основной шрифт абзаца1"/>
    <w:qFormat/>
    <w:rPr/>
  </w:style>
  <w:style w:type="character" w:styleId="Style13" w:customStyle="1">
    <w:name w:val="Нижний колонтитул Знак"/>
    <w:basedOn w:val="14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Style14" w:customStyle="1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basedOn w:val="14"/>
    <w:uiPriority w:val="99"/>
    <w:qFormat/>
    <w:rPr/>
  </w:style>
  <w:style w:type="character" w:styleId="FontStyle27" w:customStyle="1">
    <w:name w:val="Font Style27"/>
    <w:qFormat/>
    <w:rPr>
      <w:rFonts w:ascii="Times New Roman" w:hAnsi="Times New Roman" w:cs="Times New Roman"/>
      <w:sz w:val="24"/>
      <w:szCs w:val="24"/>
    </w:rPr>
  </w:style>
  <w:style w:type="character" w:styleId="Style16" w:customStyle="1">
    <w:name w:val="Символ нумерации"/>
    <w:qFormat/>
    <w:rPr/>
  </w:style>
  <w:style w:type="character" w:styleId="Hyperlink">
    <w:name w:val="Hyperlink"/>
    <w:rPr>
      <w:color w:val="0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15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16"/>
    <w:next w:val="15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15" w:customStyle="1">
    <w:name w:val="Основной текст1"/>
    <w:qFormat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IndexHeading">
    <w:name w:val="Index Heading"/>
    <w:basedOn w:val="Title"/>
    <w:pPr/>
    <w:rPr/>
  </w:style>
  <w:style w:type="paragraph" w:styleId="Subtitle">
    <w:name w:val="Subtitle"/>
    <w:basedOn w:val="Normal"/>
    <w:next w:val="15"/>
    <w:link w:val="11"/>
    <w:uiPriority w:val="11"/>
    <w:qFormat/>
    <w:pPr>
      <w:jc w:val="center"/>
    </w:pPr>
    <w:rPr>
      <w:b/>
      <w:bCs/>
      <w:sz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qFormat/>
    <w:pPr>
      <w:spacing w:before="0" w:after="200"/>
      <w:ind w:left="720"/>
      <w:contextualSpacing/>
    </w:pPr>
    <w:rPr/>
  </w:style>
  <w:style w:type="paragraph" w:styleId="IntenseQuote">
    <w:name w:val="Intense Quote"/>
    <w:basedOn w:val="Normal"/>
    <w:next w:val="Normal"/>
    <w:link w:val="Style6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NoSpacing">
    <w:name w:val="No Spacing"/>
    <w:basedOn w:val="Normal"/>
    <w:uiPriority w:val="1"/>
    <w:qFormat/>
    <w:pPr/>
    <w:rPr/>
  </w:style>
  <w:style w:type="paragraph" w:styleId="Style19" w:customStyle="1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12"/>
    <w:uiPriority w:val="99"/>
    <w:unhideWhenUsed/>
    <w:pPr/>
    <w:rPr/>
  </w:style>
  <w:style w:type="paragraph" w:styleId="Footer">
    <w:name w:val="Footer"/>
    <w:basedOn w:val="Normal"/>
    <w:link w:val="13"/>
    <w:uiPriority w:val="99"/>
    <w:unhideWhenUsed/>
    <w:pPr/>
    <w:rPr/>
  </w:style>
  <w:style w:type="paragraph" w:styleId="FootnoteText">
    <w:name w:val="Footnote Text"/>
    <w:basedOn w:val="Normal"/>
    <w:link w:val="Style7"/>
    <w:uiPriority w:val="99"/>
    <w:semiHidden/>
    <w:unhideWhenUsed/>
    <w:pPr/>
    <w:rPr/>
  </w:style>
  <w:style w:type="paragraph" w:styleId="EndnoteText">
    <w:name w:val="Endnote Text"/>
    <w:basedOn w:val="Normal"/>
    <w:link w:val="Style9"/>
    <w:uiPriority w:val="99"/>
    <w:semiHidden/>
    <w:unhideWhenUsed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ru-RU" w:eastAsia="zh-CN" w:bidi="hi-IN"/>
    </w:rPr>
  </w:style>
  <w:style w:type="paragraph" w:styleId="TableofFigures">
    <w:name w:val="Table of Figures"/>
    <w:basedOn w:val="Normal"/>
    <w:next w:val="Normal"/>
    <w:uiPriority w:val="99"/>
    <w:unhideWhenUsed/>
    <w:qFormat/>
    <w:pPr/>
    <w:rPr/>
  </w:style>
  <w:style w:type="paragraph" w:styleId="16" w:customStyle="1">
    <w:name w:val="Заголовок1"/>
    <w:basedOn w:val="Normal"/>
    <w:next w:val="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42" w:customStyle="1">
    <w:name w:val="Указатель4"/>
    <w:basedOn w:val="Normal"/>
    <w:qFormat/>
    <w:pPr>
      <w:suppressLineNumbers/>
    </w:pPr>
    <w:rPr>
      <w:rFonts w:cs="Lucida Sans"/>
      <w:lang w:val="en-US" w:bidi="en-US"/>
    </w:rPr>
  </w:style>
  <w:style w:type="paragraph" w:styleId="32" w:customStyle="1">
    <w:name w:val="Название объекта3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33" w:customStyle="1">
    <w:name w:val="Указатель3"/>
    <w:basedOn w:val="Normal"/>
    <w:qFormat/>
    <w:pPr>
      <w:suppressLineNumbers/>
    </w:pPr>
    <w:rPr>
      <w:rFonts w:cs="Lucida Sans"/>
      <w:lang w:val="en-US" w:bidi="en-US"/>
    </w:rPr>
  </w:style>
  <w:style w:type="paragraph" w:styleId="23" w:customStyle="1">
    <w:name w:val="Название объекта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4" w:customStyle="1">
    <w:name w:val="Указатель2"/>
    <w:basedOn w:val="Normal"/>
    <w:qFormat/>
    <w:pPr>
      <w:suppressLineNumbers/>
    </w:pPr>
    <w:rPr>
      <w:rFonts w:cs="Mangal"/>
    </w:rPr>
  </w:style>
  <w:style w:type="paragraph" w:styleId="17" w:customStyle="1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8" w:customStyle="1">
    <w:name w:val="Указатель1"/>
    <w:basedOn w:val="Normal"/>
    <w:qFormat/>
    <w:pPr>
      <w:suppressLineNumbers/>
    </w:pPr>
    <w:rPr>
      <w:rFonts w:cs="Mangal"/>
    </w:rPr>
  </w:style>
  <w:style w:type="paragraph" w:styleId="Style20" w:customStyle="1">
    <w:name w:val="Верхний и нижний 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BodyTextIndented" w:customStyle="1">
    <w:name w:val="Body Text;Indented"/>
    <w:basedOn w:val="Normal"/>
    <w:qFormat/>
    <w:pPr>
      <w:spacing w:before="0" w:after="120"/>
      <w:ind w:left="283"/>
    </w:pPr>
    <w:rPr>
      <w:sz w:val="24"/>
      <w:szCs w:val="24"/>
    </w:rPr>
  </w:style>
  <w:style w:type="paragraph" w:styleId="Style21" w:customStyle="1">
    <w:name w:val="Блочная цитата"/>
    <w:basedOn w:val="Normal"/>
    <w:qFormat/>
    <w:pPr>
      <w:spacing w:before="0" w:after="283"/>
      <w:ind w:left="567" w:right="567"/>
    </w:pPr>
    <w:rPr/>
  </w:style>
  <w:style w:type="paragraph" w:styleId="Style22" w:customStyle="1">
    <w:name w:val="Содержимое таблицы"/>
    <w:basedOn w:val="Normal"/>
    <w:qFormat/>
    <w:pPr>
      <w:suppressLineNumbers/>
    </w:pPr>
    <w:rPr/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paragraph" w:styleId="Style24" w:customStyle="1">
    <w:name w:val="ТекстДок"/>
    <w:qFormat/>
    <w:pPr>
      <w:widowControl/>
      <w:numPr>
        <w:ilvl w:val="0"/>
        <w:numId w:val="3"/>
      </w:numPr>
      <w:tabs>
        <w:tab w:val="clear" w:pos="720"/>
        <w:tab w:val="left" w:pos="0" w:leader="none"/>
        <w:tab w:val="left" w:pos="993" w:leader="none"/>
      </w:tabs>
      <w:suppressAutoHyphens w:val="true"/>
      <w:bidi w:val="0"/>
      <w:spacing w:before="0" w:after="0"/>
      <w:ind w:hanging="0" w:left="993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Title1" w:customStyle="1">
    <w:name w:val="Title1"/>
    <w:basedOn w:val="16"/>
    <w:next w:val="15"/>
    <w:qFormat/>
    <w:pPr>
      <w:jc w:val="center"/>
    </w:pPr>
    <w:rPr>
      <w:b/>
      <w:bCs/>
      <w:sz w:val="56"/>
      <w:szCs w:val="56"/>
    </w:rPr>
  </w:style>
  <w:style w:type="paragraph" w:styleId="ConsNormal" w:customStyle="1">
    <w:name w:val="Con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ConsPlusCell" w:customStyle="1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5" w:customStyle="1">
    <w:name w:val="Знак Знак Знак Знак Знак Знак Знак"/>
    <w:basedOn w:val="Normal"/>
    <w:qFormat/>
    <w:pPr>
      <w:spacing w:before="280" w:after="280"/>
    </w:pPr>
    <w:rPr>
      <w:rFonts w:ascii="Tahoma" w:hAnsi="Tahoma" w:cs="Tahoma"/>
      <w:lang w:val="en-US"/>
    </w:rPr>
  </w:style>
  <w:style w:type="paragraph" w:styleId="ConsPlusNormal" w:customStyle="1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iCs/>
      <w:color w:val="auto"/>
      <w:kern w:val="0"/>
      <w:sz w:val="20"/>
      <w:szCs w:val="20"/>
      <w:lang w:val="ru-RU" w:eastAsia="zh-CN" w:bidi="ar-SA"/>
    </w:rPr>
  </w:style>
  <w:style w:type="paragraph" w:styleId="19" w:customStyle="1">
    <w:name w:val="ТекстТаб1"/>
    <w:basedOn w:val="Normal"/>
    <w:qFormat/>
    <w:pPr>
      <w:widowControl w:val="false"/>
      <w:numPr>
        <w:ilvl w:val="0"/>
        <w:numId w:val="2"/>
      </w:numPr>
      <w:tabs>
        <w:tab w:val="clear" w:pos="720"/>
        <w:tab w:val="left" w:pos="0" w:leader="none"/>
      </w:tabs>
      <w:spacing w:before="0" w:after="0"/>
      <w:contextualSpacing/>
    </w:pPr>
    <w:rPr>
      <w:rFonts w:cs="Arial"/>
      <w:sz w:val="24"/>
    </w:rPr>
  </w:style>
  <w:style w:type="paragraph" w:styleId="114" w:customStyle="1">
    <w:name w:val="ТекстТаб1_14"/>
    <w:basedOn w:val="19"/>
    <w:qFormat/>
    <w:pPr/>
    <w:rPr>
      <w:sz w:val="28"/>
    </w:rPr>
  </w:style>
  <w:style w:type="paragraph" w:styleId="ConsPlusNonformat" w:customStyle="1">
    <w:name w:val="ConsPlusNonformat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Arial" w:cs="Courier New"/>
      <w:color w:val="auto"/>
      <w:kern w:val="0"/>
      <w:sz w:val="20"/>
      <w:szCs w:val="24"/>
      <w:lang w:val="ru-RU" w:eastAsia="zh-CN" w:bidi="hi-IN"/>
    </w:rPr>
  </w:style>
  <w:style w:type="paragraph" w:styleId="ConsPlusTitle" w:customStyle="1">
    <w:name w:val="ConsPlusTitle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Arial" w:cs="Courier New"/>
      <w:b/>
      <w:color w:val="auto"/>
      <w:kern w:val="0"/>
      <w:sz w:val="20"/>
      <w:szCs w:val="24"/>
      <w:lang w:val="ru-RU" w:eastAsia="zh-CN" w:bidi="hi-IN"/>
    </w:rPr>
  </w:style>
  <w:style w:type="paragraph" w:styleId="ConsPlusDocList" w:customStyle="1">
    <w:name w:val="ConsPlusDocList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Arial" w:cs="Courier New"/>
      <w:color w:val="auto"/>
      <w:kern w:val="0"/>
      <w:sz w:val="20"/>
      <w:szCs w:val="24"/>
      <w:lang w:val="ru-RU" w:eastAsia="zh-CN" w:bidi="hi-IN"/>
    </w:rPr>
  </w:style>
  <w:style w:type="paragraph" w:styleId="ConsPlusTitlePage" w:customStyle="1">
    <w:name w:val="ConsPlusTitlePage"/>
    <w:qFormat/>
    <w:pPr>
      <w:widowControl/>
      <w:suppressAutoHyphens w:val="true"/>
      <w:bidi w:val="0"/>
      <w:spacing w:before="0" w:after="0"/>
      <w:jc w:val="left"/>
    </w:pPr>
    <w:rPr>
      <w:rFonts w:ascii="Tahoma" w:hAnsi="Tahoma" w:eastAsia="Arial" w:cs="Courier New"/>
      <w:color w:val="auto"/>
      <w:kern w:val="0"/>
      <w:sz w:val="20"/>
      <w:szCs w:val="24"/>
      <w:lang w:val="ru-RU" w:eastAsia="zh-CN" w:bidi="hi-IN"/>
    </w:rPr>
  </w:style>
  <w:style w:type="paragraph" w:styleId="ConsPlusJurTerm" w:customStyle="1">
    <w:name w:val="ConsPlusJurTerm"/>
    <w:qFormat/>
    <w:pPr>
      <w:widowControl/>
      <w:suppressAutoHyphens w:val="true"/>
      <w:bidi w:val="0"/>
      <w:spacing w:before="0" w:after="0"/>
      <w:jc w:val="left"/>
    </w:pPr>
    <w:rPr>
      <w:rFonts w:ascii="Tahoma" w:hAnsi="Tahoma" w:eastAsia="Arial" w:cs="Courier New"/>
      <w:color w:val="auto"/>
      <w:kern w:val="0"/>
      <w:sz w:val="26"/>
      <w:szCs w:val="24"/>
      <w:lang w:val="ru-RU" w:eastAsia="zh-CN" w:bidi="hi-IN"/>
    </w:rPr>
  </w:style>
  <w:style w:type="paragraph" w:styleId="Style26" w:customStyle="1">
    <w:name w:val="Нормальный (таблица)"/>
    <w:basedOn w:val="Normal"/>
    <w:next w:val="Normal"/>
    <w:qFormat/>
    <w:pPr>
      <w:widowControl w:val="false"/>
      <w:jc w:val="both"/>
    </w:pPr>
    <w:rPr>
      <w:rFonts w:ascii="Arial" w:hAnsi="Arial" w:cs="Arial"/>
      <w:sz w:val="24"/>
      <w:szCs w:val="24"/>
    </w:rPr>
  </w:style>
  <w:style w:type="numbering" w:styleId="Style27" w:customStyle="1">
    <w:name w:val="Без списка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0">
    <w:name w:val="Table Grid"/>
    <w:basedOn w:val="a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a">
    <w:name w:val="Plain Table 1"/>
    <w:basedOn w:val="a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styleId="26">
    <w:name w:val="Plain Table 2"/>
    <w:basedOn w:val="a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4">
    <w:name w:val="Plain Table 3"/>
    <w:basedOn w:val="a2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styleId="43">
    <w:name w:val="Plain Table 4"/>
    <w:basedOn w:val="a2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styleId="51">
    <w:name w:val="Plain Table 5"/>
    <w:basedOn w:val="a2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C0504D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8064A2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  <w:shd w:val="clear" w:color="FFFFFF" w:fill="5D8AC2" w:themeFill="accent1" w:themeFillTint="ea"/>
      </w:tcPr>
    </w:tblStylePr>
    <w:tblStylePr w:type="lastRow">
      <w:rPr>
        <w:b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  <w:shd w:val="clear" w:color="FFFFFF" w:fill="D99695" w:themeFill="accent2" w:themeFillTint="97"/>
      </w:tcPr>
    </w:tblStylePr>
    <w:tblStylePr w:type="lastRow">
      <w:rPr>
        <w:b/>
      </w:rPr>
      <w:tblPr/>
      <w:tcPr>
        <w:tcBorders>
          <w:top w:val="single" w:color="C0504D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  <w:shd w:val="clear" w:color="FFFFFF" w:fill="9ABB59" w:themeFill="accent3" w:themeFillTint="fe"/>
      </w:tcPr>
    </w:tblStylePr>
    <w:tblStylePr w:type="lastRow">
      <w:rPr>
        <w:b/>
      </w:rPr>
      <w:tblPr/>
      <w:tcPr>
        <w:tcBorders>
          <w:top w:val="single" w:color="9B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  <w:shd w:val="clear" w:color="FFFFFF" w:fill="B2A1C6" w:themeFill="accent4" w:themeFillTint="9a"/>
      </w:tcPr>
    </w:tblStylePr>
    <w:tblStylePr w:type="lastRow">
      <w:rPr>
        <w:b/>
      </w:rPr>
      <w:tblPr/>
      <w:tcPr>
        <w:tcBorders>
          <w:top w:val="single" w:color="8064A2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right w:w="0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right w:w="0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right w:w="0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C0504D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right w:w="0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right w:w="0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8064A2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right w:w="0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right w:w="0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right w:w="0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right w:w="0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right w:w="0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right w:w="0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right w:w="0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right w:w="0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right w:w="0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styleId="-10">
    <w:name w:val="List Table 1 Light"/>
    <w:basedOn w:val="a2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FFFFF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left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left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0504D" w:themeColor="accent2" w:sz="32" w:space="0"/>
          <w:bottom w:val="single" w:color="FFFFFF" w:themeColor="light1" w:sz="12" w:space="0"/>
        </w:tcBorders>
        <w:shd w:val="clear" w:color="FFFFFF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left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BBB59" w:themeColor="accent3" w:sz="32" w:space="0"/>
          <w:bottom w:val="single" w:color="FFFFFF" w:themeColor="light1" w:sz="12" w:space="0"/>
        </w:tcBorders>
        <w:shd w:val="clear" w:color="FFFFFF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left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8064A2" w:themeColor="accent4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left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BACC6" w:themeColor="accent5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left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79646" w:themeColor="accent6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right w:w="0" w:type="dxa"/>
      </w:tblCellMar>
    </w:tbl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right w:w="0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right w:w="0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C0504D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C0504D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right w:w="0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9BBB59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9BBB59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right w:w="0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8064A2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8064A2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right w:w="0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4BACC6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right w:w="0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79646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left w:w="0" w:type="dxa"/>
        <w:right w:w="0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left w:w="0" w:type="dxa"/>
        <w:right w:w="0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left w:w="0" w:type="dxa"/>
        <w:right w:w="0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left w:w="0" w:type="dxa"/>
        <w:right w:w="0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left w:w="0" w:type="dxa"/>
        <w:right w:w="0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left w:w="0" w:type="dxa"/>
        <w:right w:w="0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left w:w="0" w:type="dxa"/>
        <w:right w:w="0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2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basedOn w:val="a2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basedOn w:val="a2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tblPr>
      <w:tblStyleRowBandSize w:val="1"/>
      <w:tblStyleColBandSize w:val="1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tblPr>
      <w:tblStyleRowBandSize w:val="1"/>
      <w:tblStyleColBandSize w:val="1"/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tblPr>
      <w:tblStyleRowBandSize w:val="1"/>
      <w:tblStyleColBandSize w:val="1"/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C0504D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C0504D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0504D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9BBB59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BBB59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8064A2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8064A2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8064A2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4BACC6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BACC6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79646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79646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Application>LibreOffice/24.2.7.2$Windows_X86_64 LibreOffice_project/ee3885777aa7032db5a9b65deec9457448a91162</Application>
  <AppVersion>15.0000</AppVersion>
  <Pages>9</Pages>
  <Words>1755</Words>
  <Characters>12523</Characters>
  <CharactersWithSpaces>14032</CharactersWithSpaces>
  <Paragraphs>262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2024-02-08T06:15:00Z</dcterms:created>
  <dc:creator>Таирова Елена Николаевна</dc:creator>
  <dc:description/>
  <dc:language>ru-RU</dc:language>
  <cp:lastModifiedBy/>
  <dcterms:modified xsi:type="dcterms:W3CDTF">2025-03-20T14:41:12Z</dcterms:modified>
  <cp:revision>20</cp:revision>
  <dc:subject/>
  <dc:title>Постановление Городской Управы г. Калуги от 27.12.2017 N 439-п(ред. от 28.04.2023)"Об утверждении муниципальной программы муниципального образования "Город Калуга" "Формирование современной городской среды"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