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pacing w:lineRule="auto" w:line="240" w:before="0" w:after="0"/>
        <w:ind w:left="5529" w:hanging="0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Приложение № 2 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5529" w:hanging="0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к постановлению  Городской Управы города Калуги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5529" w:hanging="0"/>
        <w:outlineLvl w:val="4"/>
        <w:rPr/>
      </w:pPr>
      <w:r>
        <w:rPr>
          <w:rFonts w:cs="Times New Roman" w:ascii="Times New Roman" w:hAnsi="Times New Roman"/>
          <w:sz w:val="24"/>
          <w:szCs w:val="24"/>
          <w:u w:val="single"/>
        </w:rPr>
        <w:t>От_</w:t>
      </w:r>
      <w:r>
        <w:rPr>
          <w:rFonts w:cs="Times New Roman" w:ascii="Times New Roman" w:hAnsi="Times New Roman"/>
          <w:sz w:val="24"/>
          <w:szCs w:val="24"/>
          <w:u w:val="single"/>
        </w:rPr>
        <w:t>08.07.2022</w:t>
      </w:r>
      <w:r>
        <w:rPr>
          <w:rFonts w:cs="Times New Roman" w:ascii="Times New Roman" w:hAnsi="Times New Roman"/>
          <w:sz w:val="24"/>
          <w:szCs w:val="24"/>
          <w:u w:val="single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№</w:t>
      </w:r>
      <w:r>
        <w:rPr>
          <w:rFonts w:cs="Times New Roman" w:ascii="Times New Roman" w:hAnsi="Times New Roman"/>
          <w:sz w:val="24"/>
          <w:szCs w:val="24"/>
          <w:u w:val="single"/>
        </w:rPr>
        <w:t xml:space="preserve"> </w:t>
      </w:r>
      <w:r>
        <w:rPr>
          <w:rFonts w:cs="Times New Roman" w:ascii="Times New Roman" w:hAnsi="Times New Roman"/>
          <w:sz w:val="24"/>
          <w:szCs w:val="24"/>
          <w:u w:val="single"/>
        </w:rPr>
        <w:t>4012-пи</w:t>
      </w:r>
      <w:r>
        <w:rPr>
          <w:rFonts w:cs="Times New Roman" w:ascii="Times New Roman" w:hAnsi="Times New Roman"/>
          <w:sz w:val="24"/>
          <w:szCs w:val="24"/>
          <w:u w:val="single"/>
        </w:rPr>
        <w:t>_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ind w:firstLine="709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>Основные виды разрешенного использования земельных участков и объектов капитального строительства, которые могут быть выбраны при реализации решения о комплексном развитии территории, а также предельные параметры разрешенного строительства, реконструкции объектов капитального строительства в границах территории, в отношении которой принимается такое решение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Основные виды разрешенного использования земельных участков (далее - ЗУ), расположенных в  территориальной зоне Ж-3, соответствуют основным видам разрешенного использования, установленным для зон   Ж-1, Ж-2, Ж-4, Ж-5.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Предельные параметры разрешенного строительства, реконструкции объектов капитального строительства, расположенных в зоне Ж-3, соответствуют установленным для зон Ж-1, Ж-2, Ж-4, Ж-5.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4"/>
          <w:szCs w:val="24"/>
          <w:lang w:eastAsia="en-US"/>
        </w:rPr>
      </w:pPr>
      <w:r>
        <w:rPr>
          <w:rFonts w:eastAsia="Calibri" w:cs="Times New Roman" w:ascii="Times New Roman" w:hAnsi="Times New Roman" w:eastAsiaTheme="minorHAnsi"/>
          <w:color w:val="FF0000"/>
          <w:sz w:val="24"/>
          <w:szCs w:val="24"/>
          <w:lang w:eastAsia="en-US"/>
        </w:rPr>
        <w:tab/>
      </w:r>
      <w:r>
        <w:rPr>
          <w:rFonts w:eastAsia="Calibri" w:cs="Times New Roman" w:ascii="Times New Roman" w:hAnsi="Times New Roman" w:eastAsiaTheme="minorHAnsi"/>
          <w:sz w:val="24"/>
          <w:szCs w:val="24"/>
          <w:lang w:eastAsia="en-US"/>
        </w:rPr>
        <w:t xml:space="preserve">Виды разрешенного использования земельных участков установлены в соответствии  с приказом Федеральной службы государственной регистрации, кадастра и картографии от 10.10.2020 № П/0412 </w:t>
      </w:r>
      <w:r>
        <w:rPr>
          <w:rFonts w:cs="Times New Roman" w:ascii="Times New Roman" w:hAnsi="Times New Roman"/>
          <w:color w:val="000000"/>
          <w:sz w:val="24"/>
          <w:szCs w:val="24"/>
        </w:rPr>
        <w:t>«</w:t>
      </w:r>
      <w:r>
        <w:rPr>
          <w:rFonts w:eastAsia="Calibri" w:cs="Times New Roman" w:ascii="Times New Roman" w:hAnsi="Times New Roman" w:eastAsiaTheme="minorHAnsi"/>
          <w:sz w:val="24"/>
          <w:szCs w:val="24"/>
          <w:lang w:eastAsia="en-US"/>
        </w:rPr>
        <w:t>Об утверждении классификатора видов разрешенного использования земельных участков</w:t>
      </w:r>
      <w:r>
        <w:rPr>
          <w:rFonts w:cs="Times New Roman" w:ascii="Times New Roman" w:hAnsi="Times New Roman"/>
          <w:color w:val="000000"/>
          <w:sz w:val="24"/>
          <w:szCs w:val="24"/>
        </w:rPr>
        <w:t>».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ПАРАМЕТРЫ РАЗРЕШЕННОГО СТРОИТЕЛЬСТВА, РЕКОНСТРУКЦИИ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ОБЪЕКТОВ КАПИТАЛЬНОГО СТРОИТЕЛЬСТВА (ДАЛЕЕ ПО ТЕКСТУ - ОКС),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РАСПОЛОЖЕННЫХ В ЗОНЕ Ж-1</w:t>
      </w:r>
    </w:p>
    <w:p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9418" w:type="dxa"/>
        <w:jc w:val="left"/>
        <w:tblInd w:w="0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16"/>
        <w:gridCol w:w="2177"/>
        <w:gridCol w:w="2305"/>
        <w:gridCol w:w="1438"/>
        <w:gridCol w:w="1282"/>
      </w:tblGrid>
      <w:tr>
        <w:trPr/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/>
            </w:pPr>
            <w:r>
              <w:rPr>
                <w:rFonts w:cs="Times New Roman" w:ascii="Times New Roman" w:hAnsi="Times New Roman"/>
              </w:rPr>
              <w:t>Наименование вида разрешенного использования</w:t>
            </w:r>
          </w:p>
          <w:p>
            <w:pPr>
              <w:pStyle w:val="ConsPlusNormal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cs="Times New Roman" w:ascii="Times New Roman" w:hAnsi="Times New Roman"/>
              </w:rPr>
              <w:t>код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cs="Times New Roman" w:ascii="Times New Roman" w:hAnsi="Times New Roman"/>
              </w:rPr>
              <w:t>Максимальный показатель плотности застройки в границах территории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Минимальный отступ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(м)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Максимальный процент застройки (%)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Предельное количество этажей</w:t>
            </w:r>
          </w:p>
        </w:tc>
      </w:tr>
      <w:tr>
        <w:trPr/>
        <w:tc>
          <w:tcPr>
            <w:tcW w:w="9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Основные виды разрешенного использования</w:t>
            </w:r>
          </w:p>
        </w:tc>
      </w:tr>
      <w:tr>
        <w:trPr/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Многоэтажная жилая застройка (высотная застройка)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2.6)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cs="Times New Roman" w:ascii="Times New Roman" w:hAnsi="Times New Roman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60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</w:t>
            </w:r>
          </w:p>
        </w:tc>
      </w:tr>
      <w:tr>
        <w:trPr/>
        <w:tc>
          <w:tcPr>
            <w:tcW w:w="22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1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Среднеэтажная жилая застройка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2.5)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10, в том числе: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 наземных и 2 подземных</w:t>
            </w:r>
          </w:p>
        </w:tc>
      </w:tr>
      <w:tr>
        <w:trPr/>
        <w:tc>
          <w:tcPr>
            <w:tcW w:w="22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1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Социальное обслуживание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3.2)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</w:tr>
      <w:tr>
        <w:trPr/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Дошкольное, начальное и среднее общее образование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3.5.1)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 (от границ несмежных с красными линиями улиц и проездов);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 (от границ смежных с красными линиями магистральных улиц для объектов начального и среднего общего образования)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/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Объекты культурно-досуговой деятельности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3.6.1)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</w:t>
            </w:r>
          </w:p>
        </w:tc>
      </w:tr>
      <w:tr>
        <w:trPr/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Обеспечение занятий спортом в помещениях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5.1.2)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spacing w:lineRule="auto" w:line="240" w:beforeAutospacing="0" w:before="28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>
        <w:trPr/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Площадки для занятий спортом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5.1.3)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Отсутствуют ОКС, не подлежат установлению</w:t>
            </w:r>
          </w:p>
        </w:tc>
      </w:tr>
      <w:tr>
        <w:trPr/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Здравоохранение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3.4)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</w:tr>
      <w:tr>
        <w:trPr/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Общественное управление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3.8)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</w:tr>
      <w:tr>
        <w:trPr/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Амбулаторное ветеринарное обслуживание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3.10.1)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/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Предпринимательство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4.0)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</w:t>
            </w:r>
          </w:p>
        </w:tc>
      </w:tr>
      <w:tr>
        <w:trPr/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Бытовое обслуживание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3.3)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/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Обеспечение внутреннего правопорядка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8.3)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/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Хранение автотранспорта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2.7.1)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 (для гаража боксового типа на 1 машину);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 (для иного гаража)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70 (для гаража)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</w:t>
            </w:r>
          </w:p>
        </w:tc>
      </w:tr>
      <w:tr>
        <w:trPr>
          <w:trHeight w:val="1282" w:hRule="atLeast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Коммунальное обслуживание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3.1)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>
        <w:trPr/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Религиозное использование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3.7)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Размеры ЗУ и параметры разрешенного строительства, реконструкции ОКС устанавливаются в соответствии с СП 31-103-99 «Здания, сооружения и комплексы православных храмов»</w:t>
            </w:r>
          </w:p>
        </w:tc>
      </w:tr>
      <w:tr>
        <w:trPr/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Улично-дорожная сеть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12.0.1)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>
        <w:trPr/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Благоустройство территории </w:t>
            </w:r>
          </w:p>
          <w:p>
            <w:pPr>
              <w:pStyle w:val="ConsPlusNormal"/>
              <w:rPr/>
            </w:pPr>
            <w:r>
              <w:rPr>
                <w:rFonts w:cs="Times New Roman" w:ascii="Times New Roman" w:hAnsi="Times New Roman"/>
              </w:rPr>
              <w:t>(код 12.0.2)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>
        <w:trPr/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Историко-культурная деятельность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9.3)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 установлены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 установлены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 установлены</w:t>
            </w:r>
          </w:p>
        </w:tc>
      </w:tr>
    </w:tbl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ПАРАМЕТРЫ РАЗРЕШЕННОГО СТРОИТЕЛЬСТВА,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РЕКОНСТРУКЦИИ ОКС, РАСПОЛОЖЕННЫХ В ЗОНЕ Ж-2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418" w:type="dxa"/>
        <w:jc w:val="left"/>
        <w:tblInd w:w="0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98"/>
        <w:gridCol w:w="2090"/>
        <w:gridCol w:w="2233"/>
        <w:gridCol w:w="1648"/>
        <w:gridCol w:w="1249"/>
      </w:tblGrid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Наименование вида разрешенного использования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Максимальный показатель плотности застройки в границах территории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Минимальный отступ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(м)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Максимальный процент застройки (%)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Предельное количество этажей</w:t>
            </w:r>
          </w:p>
        </w:tc>
      </w:tr>
      <w:tr>
        <w:trPr/>
        <w:tc>
          <w:tcPr>
            <w:tcW w:w="9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Основные виды разрешенного использования</w:t>
            </w:r>
          </w:p>
        </w:tc>
      </w:tr>
      <w:tr>
        <w:trPr/>
        <w:tc>
          <w:tcPr>
            <w:tcW w:w="2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Среднеэтажная жилая застройка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2.5)</w:t>
            </w:r>
          </w:p>
        </w:tc>
        <w:tc>
          <w:tcPr>
            <w:tcW w:w="2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</w:t>
            </w:r>
          </w:p>
        </w:tc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10, в том числе:</w:t>
            </w:r>
          </w:p>
          <w:p>
            <w:pPr>
              <w:pStyle w:val="ConsPlusNormal"/>
              <w:rPr/>
            </w:pPr>
            <w:r>
              <w:rPr>
                <w:rFonts w:cs="Times New Roman" w:ascii="Times New Roman" w:hAnsi="Times New Roman"/>
              </w:rPr>
              <w:t xml:space="preserve">8 наземных и 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 подземных</w:t>
            </w:r>
          </w:p>
        </w:tc>
      </w:tr>
      <w:tr>
        <w:trPr/>
        <w:tc>
          <w:tcPr>
            <w:tcW w:w="21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2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Малоэтажная многоквартирная жилая застройка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2.1.1)</w:t>
            </w:r>
          </w:p>
        </w:tc>
        <w:tc>
          <w:tcPr>
            <w:tcW w:w="2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</w:t>
            </w:r>
          </w:p>
        </w:tc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 (включая мансардный)</w:t>
            </w:r>
          </w:p>
        </w:tc>
      </w:tr>
      <w:tr>
        <w:trPr/>
        <w:tc>
          <w:tcPr>
            <w:tcW w:w="21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2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Блокированная жилая застройка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2.3)</w:t>
            </w:r>
          </w:p>
        </w:tc>
        <w:tc>
          <w:tcPr>
            <w:tcW w:w="2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</w:t>
            </w:r>
          </w:p>
        </w:tc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/>
        <w:tc>
          <w:tcPr>
            <w:tcW w:w="21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 со стороны смежных блок-секций</w:t>
            </w:r>
          </w:p>
        </w:tc>
        <w:tc>
          <w:tcPr>
            <w:tcW w:w="1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Дошкольное, начальное и среднее общее образование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3.5.1)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 (от границ несмежных с красными линиями улиц и проездов);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 (от границ смежных с красными линиями магистральных улиц до объектов начального и среднего общего образования)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Социальное обслуживание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3.2)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Объекты культурно-досуговой деятельности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3.6.1)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 (от границ несмежных с красными линиями улиц и проездов)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Площадки для занятий спортом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5.1.3)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Отсутствуют ОКС, не подлежат установлению</w:t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Здравоохранение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3.4)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Общественное управление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3.8)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Предпринимательство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4.0)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Амбулаторное ветеринарное обслуживание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3.10.1)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Бытовое обслуживание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3.3)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Обеспечение внутреннего правопорядка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8.3)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Хранение автотранспорта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2.7.1)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 (для гаража боксового типа на 1 машину);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 (для иного гаража)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70 (для гаража)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</w:t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Коммунальное обслуживание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3.1)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Религиозное использование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3.7)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Размеры ЗУ и параметры разрешенного строительства, реконструкции ОКС устанавливаются в соответствии с СП 31-103-99 «Здания, сооружения и комплексы православных храмов»</w:t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Улично-дорожная сеть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12.0.1)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Благоустройство территории 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12.0.2)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Историко-культурная деятельность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9.3)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 установлены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 установлены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 установлены</w:t>
            </w:r>
          </w:p>
        </w:tc>
      </w:tr>
    </w:tbl>
    <w:p>
      <w:pPr>
        <w:pStyle w:val="Normal"/>
        <w:spacing w:lineRule="auto" w:line="240" w:before="220" w:after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ConsPlusTitle"/>
        <w:numPr>
          <w:ilvl w:val="0"/>
          <w:numId w:val="0"/>
        </w:numPr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ГРАДОСТРОИТЕЛЬНЫЕ РЕГЛАМЕНТЫ ЗОНЫ Ж-3. ЗОНА ЖИЛОЙ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ЗАСТРОЙКИ СМЕШАННОЙ ЭТАЖНОСТИ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Зона предназначена для застройки жилыми домами различной этажности, допускается размещение объектов социального и культурно-бытового обслуживания населения, преимущественно местного значения, иных объектов согласно градостроительным регламентам.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 зоне Ж-3 определены территории, подлежащие комплексному и устойчивому развитию. Расчетные показатели минимально допустимого уровня обеспеченности таких территорий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определяются в соответствии с местными нормативами градостроительного проектирования городского округа </w:t>
      </w:r>
      <w:r>
        <w:rPr>
          <w:rFonts w:cs="Times New Roman" w:ascii="Times New Roman" w:hAnsi="Times New Roman"/>
          <w:color w:val="000000"/>
          <w:sz w:val="24"/>
          <w:szCs w:val="24"/>
        </w:rPr>
        <w:t>«</w:t>
      </w:r>
      <w:r>
        <w:rPr>
          <w:rFonts w:cs="Times New Roman" w:ascii="Times New Roman" w:hAnsi="Times New Roman"/>
          <w:sz w:val="24"/>
          <w:szCs w:val="24"/>
        </w:rPr>
        <w:t>Город Калуга</w:t>
      </w:r>
      <w:r>
        <w:rPr>
          <w:rFonts w:cs="Times New Roman" w:ascii="Times New Roman" w:hAnsi="Times New Roman"/>
          <w:color w:val="000000"/>
          <w:sz w:val="24"/>
          <w:szCs w:val="24"/>
        </w:rPr>
        <w:t>»</w:t>
      </w:r>
      <w:r>
        <w:rPr>
          <w:rFonts w:cs="Times New Roman" w:ascii="Times New Roman" w:hAnsi="Times New Roman"/>
          <w:sz w:val="24"/>
          <w:szCs w:val="24"/>
        </w:rPr>
        <w:t xml:space="preserve">.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Основные виды разрешенного использования соответствуют основным видам разрешенного использования, установленным для зон Ж-1, Ж-2, Ж-4, Ж-5.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Предельные параметры разрешенного строительства, реконструкции объектов капитального строительства, расположенных в зоне Ж-3, соответствуют установленным для зон Ж-1, Ж-2, Ж-4, Ж-5.</w:t>
      </w:r>
    </w:p>
    <w:p>
      <w:pPr>
        <w:pStyle w:val="ConsPlusTitle"/>
        <w:jc w:val="center"/>
        <w:rPr>
          <w:rFonts w:ascii="Times New Roman" w:hAnsi="Times New Roman" w:cs="Times New Roman"/>
          <w:b w:val="false"/>
          <w:b w:val="false"/>
          <w:sz w:val="24"/>
          <w:szCs w:val="24"/>
        </w:rPr>
      </w:pPr>
      <w:r>
        <w:rPr>
          <w:rFonts w:cs="Times New Roman" w:ascii="Times New Roman" w:hAnsi="Times New Roman"/>
          <w:b w:val="false"/>
          <w:sz w:val="24"/>
          <w:szCs w:val="24"/>
        </w:rPr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ПАРАМЕТРЫ РАЗРЕШЕННОГО СТРОИТЕЛЬСТВА,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РЕКОНСТРУКЦИИ ОКС, РАСПОЛОЖЕННЫХ В ЗОНЕ Ж-4</w:t>
      </w:r>
    </w:p>
    <w:p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9418" w:type="dxa"/>
        <w:jc w:val="left"/>
        <w:tblInd w:w="0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98"/>
        <w:gridCol w:w="2090"/>
        <w:gridCol w:w="2233"/>
        <w:gridCol w:w="1648"/>
        <w:gridCol w:w="1249"/>
      </w:tblGrid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Наименование вида разрешенного использования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Максимальный показатель плотности застройки в границах территории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Минимальный отступ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(м)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Максимальный процент застройки (%)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Предельное количество этажей</w:t>
            </w:r>
          </w:p>
        </w:tc>
      </w:tr>
      <w:tr>
        <w:trPr/>
        <w:tc>
          <w:tcPr>
            <w:tcW w:w="9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Основные виды разрешенного использования</w:t>
            </w:r>
          </w:p>
        </w:tc>
      </w:tr>
      <w:tr>
        <w:trPr/>
        <w:tc>
          <w:tcPr>
            <w:tcW w:w="2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Малоэтажная многоквартирная жилая застройка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2.1.1)</w:t>
            </w:r>
          </w:p>
        </w:tc>
        <w:tc>
          <w:tcPr>
            <w:tcW w:w="2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</w:t>
            </w:r>
          </w:p>
        </w:tc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 (включая мансардный)</w:t>
            </w:r>
          </w:p>
        </w:tc>
      </w:tr>
      <w:tr>
        <w:trPr/>
        <w:tc>
          <w:tcPr>
            <w:tcW w:w="21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Для индивидуального жилищного строительства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2.1)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Дошкольное, начальное и среднее общее образование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3.5.1)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 (от границ несмежных с красными линиями улиц и проездов);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 (от границ смежных с красными линиями магистральных улиц до объектов начального и среднего общего образования)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/>
        <w:tc>
          <w:tcPr>
            <w:tcW w:w="2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Блокированная жилая застройка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2.3)</w:t>
            </w:r>
          </w:p>
        </w:tc>
        <w:tc>
          <w:tcPr>
            <w:tcW w:w="2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</w:t>
            </w:r>
          </w:p>
        </w:tc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/>
        <w:tc>
          <w:tcPr>
            <w:tcW w:w="21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 со стороны смежных блок-секций</w:t>
            </w:r>
          </w:p>
        </w:tc>
        <w:tc>
          <w:tcPr>
            <w:tcW w:w="1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Объекты культурно-досуговой деятельности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3.6.1)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Здравоохранение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3.4)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Площадки для занятий спортом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5.1.3)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Отсутствуют ОКС, не подлежат установлению</w:t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Социальное обслуживание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3.2)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Общественное управление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3.8)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Обеспечение внутреннего правопорядка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8.3)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Предпринимательство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4.0)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Амбулаторное ветеринарное обслуживание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3.10.1)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Бытовое обслуживание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3.3)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Хранение автотранспорта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2.7.1)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 (для гаража боксового типа на 1 машину);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 (для иного гаража)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70 (для гаража)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Коммунальное обслуживание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3.1)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Религиозное использование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3.7)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Размеры ЗУ и параметры разрешенного строительства, реконструкции ОКС устанавливаются в соответствии с СП 31-103-99 «Здания, сооружения и комплексы православных храмов»</w:t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Улично-дорожная сеть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12.0.1)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Благоустройство территории </w:t>
            </w:r>
          </w:p>
          <w:p>
            <w:pPr>
              <w:pStyle w:val="ConsPlusNormal"/>
              <w:rPr/>
            </w:pPr>
            <w:r>
              <w:rPr>
                <w:rFonts w:cs="Times New Roman" w:ascii="Times New Roman" w:hAnsi="Times New Roman"/>
              </w:rPr>
              <w:t>(код 12.0.2)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Историко-культурная деятельность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9.3)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 установлены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 установлены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 установлены</w:t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Обеспечение занятий спортом в помещениях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5.1.2)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</w:tbl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ПАРАМЕТРЫ РАЗРЕШЕННОГО СТРОИТЕЛЬСТВА,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РЕКОНСТРУКЦИИ ОКС, РАСПОЛОЖЕННЫХ В ЗОНЕ Ж-5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276" w:type="dxa"/>
        <w:jc w:val="left"/>
        <w:tblInd w:w="0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91"/>
        <w:gridCol w:w="2064"/>
        <w:gridCol w:w="2153"/>
        <w:gridCol w:w="1640"/>
        <w:gridCol w:w="1228"/>
      </w:tblGrid>
      <w:tr>
        <w:trPr>
          <w:trHeight w:val="1588" w:hRule="atLeast"/>
        </w:trPr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Наименование вида разрешенного использования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Максимальный показатель плотности застройки в границах территории)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Минимальный отступ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(м)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Максимальный процент застройки (%)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Предельное количество этажей</w:t>
            </w:r>
          </w:p>
        </w:tc>
      </w:tr>
      <w:tr>
        <w:trPr>
          <w:trHeight w:val="357" w:hRule="atLeast"/>
        </w:trPr>
        <w:tc>
          <w:tcPr>
            <w:tcW w:w="9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Основные виды разрешенного использования</w:t>
            </w:r>
          </w:p>
        </w:tc>
      </w:tr>
      <w:tr>
        <w:trPr/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Для индивидуального жилищного строительства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2.1)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/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Дошкольное, начальное и среднее общее образование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3.5.1)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 (от границ несмежных с красными линиями улиц и проездов);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 (от границ смежных с красными линиями магистральных улиц до объектов начального и среднего общего образования)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/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Объекты культурно-досуговой деятельности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3.6.1)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60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/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Амбулаторное ветеринарное обслуживание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3.10.1)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/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Предпринимательство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4.0)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60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/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Площадки для занятий спортом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5.1.3)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Отсутствуют ОКС, не подлежат установлению</w:t>
            </w:r>
          </w:p>
        </w:tc>
      </w:tr>
      <w:tr>
        <w:trPr/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Амбулаторное ветеринарное обслуживание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3.4.1)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/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Обеспечение внутреннего правопорядка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8.3)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80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/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Бытовое обслуживание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3.3)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70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/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Социальное обслуживание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3.2)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/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Ведение огородничества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13.1)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Отсутствуют ОКС, не подлежит установлению</w:t>
            </w:r>
          </w:p>
        </w:tc>
      </w:tr>
      <w:tr>
        <w:trPr/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Ведение садоводства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13.2)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/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Для ведения личного подсобного хозяйства (приусадебный земельный участок)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2.2)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/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Общественное управление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3.8)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/>
        <w:tc>
          <w:tcPr>
            <w:tcW w:w="2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Блокированная жилая застройка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2.3)</w:t>
            </w:r>
          </w:p>
        </w:tc>
        <w:tc>
          <w:tcPr>
            <w:tcW w:w="2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</w:t>
            </w:r>
          </w:p>
        </w:tc>
        <w:tc>
          <w:tcPr>
            <w:tcW w:w="1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/>
        <w:tc>
          <w:tcPr>
            <w:tcW w:w="21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 со стороны смежных блок-секций</w:t>
            </w:r>
          </w:p>
        </w:tc>
        <w:tc>
          <w:tcPr>
            <w:tcW w:w="1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Обеспечение занятий спортом в помещениях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5.1.2)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>
        <w:trPr>
          <w:trHeight w:val="1390" w:hRule="atLeast"/>
        </w:trPr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Коммунальное обслуживание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3.1)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>
        <w:trPr/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Религиозное использование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3.7)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Размеры ЗУ и параметры разрешенного строительства, реконструкции ОКС устанавливаются в соответствии с СП 31-103-99 «Здания, сооружения и комплексы православных храмов»</w:t>
            </w:r>
          </w:p>
        </w:tc>
      </w:tr>
      <w:tr>
        <w:trPr/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Улично-дорожная сеть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12.0.1)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>
        <w:trPr/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/>
            </w:pPr>
            <w:r>
              <w:rPr>
                <w:rFonts w:cs="Times New Roman" w:ascii="Times New Roman" w:hAnsi="Times New Roman"/>
              </w:rPr>
              <w:t>Благоустройство территории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12.0.2)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>
        <w:trPr/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Историко-культурная деятельность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9.3)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 установлены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 установлены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 установлены</w:t>
            </w:r>
          </w:p>
        </w:tc>
      </w:tr>
      <w:tr>
        <w:trPr/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Земельные участки общего назначения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(код 13.0)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</w:tbl>
    <w:p>
      <w:pPr>
        <w:pStyle w:val="ConsPlusNormal"/>
        <w:jc w:val="both"/>
        <w:rPr/>
      </w:pPr>
      <w:r>
        <w:rPr/>
      </w:r>
    </w:p>
    <w:sectPr>
      <w:headerReference w:type="default" r:id="rId2"/>
      <w:type w:val="nextPage"/>
      <w:pgSz w:w="11906" w:h="16838"/>
      <w:pgMar w:left="1701" w:right="709" w:header="567" w:top="1134" w:footer="0" w:bottom="851" w:gutter="0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right"/>
      <w:rPr/>
    </w:pPr>
    <w:r>
      <w:rPr>
        <w:rFonts w:cs="Times New Roman" w:ascii="Times New Roman" w:hAnsi="Times New Roman"/>
        <w:sz w:val="24"/>
        <w:szCs w:val="24"/>
      </w:rPr>
      <w:fldChar w:fldCharType="begin"/>
    </w:r>
    <w:r>
      <w:rPr>
        <w:sz w:val="24"/>
        <w:szCs w:val="24"/>
        <w:rFonts w:cs="Times New Roman" w:ascii="Times New Roman" w:hAnsi="Times New Roman"/>
      </w:rPr>
      <w:instrText> PAGE </w:instrText>
    </w:r>
    <w:r>
      <w:rPr>
        <w:sz w:val="24"/>
        <w:szCs w:val="24"/>
        <w:rFonts w:cs="Times New Roman" w:ascii="Times New Roman" w:hAnsi="Times New Roman"/>
      </w:rPr>
      <w:fldChar w:fldCharType="separate"/>
    </w:r>
    <w:r>
      <w:rPr>
        <w:sz w:val="24"/>
        <w:szCs w:val="24"/>
        <w:rFonts w:cs="Times New Roman" w:ascii="Times New Roman" w:hAnsi="Times New Roman"/>
      </w:rPr>
      <w:t>0</w:t>
    </w:r>
    <w:r>
      <w:rPr>
        <w:sz w:val="24"/>
        <w:szCs w:val="24"/>
        <w:rFonts w:cs="Times New Roman" w:ascii="Times New Roman" w:hAnsi="Times New Roman"/>
      </w:rPr>
      <w:fldChar w:fldCharType="end"/>
    </w:r>
  </w:p>
  <w:p>
    <w:pPr>
      <w:pStyle w:val="Style24"/>
      <w:rPr/>
    </w:pPr>
    <w:r>
      <w:rPr/>
    </w:r>
  </w:p>
</w:hdr>
</file>

<file path=word/settings.xml><?xml version="1.0" encoding="utf-8"?>
<w:settings xmlns:w="http://schemas.openxmlformats.org/wordprocessingml/2006/main">
  <w:zoom w:percent="116"/>
  <w:defaultTabStop w:val="720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c39c5"/>
    <w:pPr>
      <w:widowControl/>
      <w:bidi w:val="0"/>
      <w:spacing w:lineRule="auto" w:line="276" w:before="0" w:after="200"/>
      <w:jc w:val="left"/>
    </w:pPr>
    <w:rPr>
      <w:rFonts w:ascii="Calibri" w:hAnsi="Calibri" w:eastAsia="" w:eastAsiaTheme="minorEastAsia" w:cs=""/>
      <w:color w:val="auto"/>
      <w:kern w:val="0"/>
      <w:sz w:val="22"/>
      <w:szCs w:val="22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Интернет-ссылка"/>
    <w:rsid w:val="003948b2"/>
    <w:rPr>
      <w:color w:val="000080"/>
      <w:u w:val="single"/>
    </w:rPr>
  </w:style>
  <w:style w:type="character" w:styleId="Left" w:customStyle="1">
    <w:name w:val="left"/>
    <w:basedOn w:val="DefaultParagraphFont"/>
    <w:qFormat/>
    <w:rsid w:val="00a93950"/>
    <w:rPr/>
  </w:style>
  <w:style w:type="character" w:styleId="Style15" w:customStyle="1">
    <w:name w:val="Верхний колонтитул Знак"/>
    <w:basedOn w:val="DefaultParagraphFont"/>
    <w:uiPriority w:val="99"/>
    <w:qFormat/>
    <w:rsid w:val="002e55f4"/>
    <w:rPr>
      <w:rFonts w:ascii="Calibri" w:hAnsi="Calibri" w:eastAsia="" w:eastAsiaTheme="minorEastAsia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semiHidden/>
    <w:qFormat/>
    <w:rsid w:val="002e55f4"/>
    <w:rPr>
      <w:rFonts w:ascii="Calibri" w:hAnsi="Calibri" w:eastAsia="" w:eastAsiaTheme="minorEastAsia"/>
      <w:lang w:eastAsia="ru-RU"/>
    </w:rPr>
  </w:style>
  <w:style w:type="character" w:styleId="Style17" w:customStyle="1">
    <w:name w:val="Текст выноски Знак"/>
    <w:basedOn w:val="DefaultParagraphFont"/>
    <w:uiPriority w:val="99"/>
    <w:semiHidden/>
    <w:qFormat/>
    <w:rsid w:val="00665071"/>
    <w:rPr>
      <w:rFonts w:ascii="Tahoma" w:hAnsi="Tahoma" w:eastAsia="" w:cs="Tahoma" w:eastAsiaTheme="minorEastAsia"/>
      <w:sz w:val="16"/>
      <w:szCs w:val="16"/>
      <w:lang w:eastAsia="ru-RU"/>
    </w:rPr>
  </w:style>
  <w:style w:type="character" w:styleId="1" w:customStyle="1">
    <w:name w:val="Верхний колонтитул Знак1"/>
    <w:basedOn w:val="DefaultParagraphFont"/>
    <w:link w:val="Header"/>
    <w:uiPriority w:val="99"/>
    <w:semiHidden/>
    <w:qFormat/>
    <w:rsid w:val="0017155b"/>
    <w:rPr>
      <w:rFonts w:ascii="Calibri" w:hAnsi="Calibri" w:eastAsia="" w:eastAsiaTheme="minorEastAsia"/>
      <w:lang w:eastAsia="ru-RU"/>
    </w:rPr>
  </w:style>
  <w:style w:type="character" w:styleId="11" w:customStyle="1">
    <w:name w:val="Нижний колонтитул Знак1"/>
    <w:basedOn w:val="DefaultParagraphFont"/>
    <w:uiPriority w:val="99"/>
    <w:semiHidden/>
    <w:qFormat/>
    <w:rsid w:val="0017155b"/>
    <w:rPr>
      <w:rFonts w:ascii="Calibri" w:hAnsi="Calibri" w:eastAsia="" w:eastAsiaTheme="minorEastAsia"/>
      <w:lang w:eastAsia="ru-RU"/>
    </w:rPr>
  </w:style>
  <w:style w:type="paragraph" w:styleId="Style18" w:customStyle="1">
    <w:name w:val="Заголовок"/>
    <w:basedOn w:val="Normal"/>
    <w:next w:val="Style19"/>
    <w:qFormat/>
    <w:rsid w:val="003948b2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rsid w:val="003948b2"/>
    <w:pPr>
      <w:spacing w:before="0" w:after="140"/>
    </w:pPr>
    <w:rPr/>
  </w:style>
  <w:style w:type="paragraph" w:styleId="Style20">
    <w:name w:val="List"/>
    <w:basedOn w:val="Style19"/>
    <w:rsid w:val="003948b2"/>
    <w:pPr/>
    <w:rPr>
      <w:rFonts w:cs="Mangal"/>
    </w:rPr>
  </w:style>
  <w:style w:type="paragraph" w:styleId="Style21" w:customStyle="1">
    <w:name w:val="Caption"/>
    <w:basedOn w:val="Normal"/>
    <w:qFormat/>
    <w:rsid w:val="003948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Indexheading">
    <w:name w:val="index heading"/>
    <w:basedOn w:val="Normal"/>
    <w:qFormat/>
    <w:rsid w:val="003948b2"/>
    <w:pPr>
      <w:suppressLineNumbers/>
    </w:pPr>
    <w:rPr>
      <w:rFonts w:cs="Mangal"/>
    </w:rPr>
  </w:style>
  <w:style w:type="paragraph" w:styleId="ConsPlusNormal" w:customStyle="1">
    <w:name w:val="ConsPlusNormal"/>
    <w:qFormat/>
    <w:rsid w:val="001c39c5"/>
    <w:pPr>
      <w:widowControl w:val="false"/>
      <w:bidi w:val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uiPriority w:val="99"/>
    <w:qFormat/>
    <w:rsid w:val="001c39c5"/>
    <w:pPr>
      <w:widowControl w:val="false"/>
      <w:bidi w:val="0"/>
      <w:jc w:val="left"/>
    </w:pPr>
    <w:rPr>
      <w:rFonts w:ascii="Arial" w:hAnsi="Arial" w:eastAsia="" w:cs="Arial" w:eastAsiaTheme="minorEastAsia"/>
      <w:b/>
      <w:bCs/>
      <w:color w:val="auto"/>
      <w:kern w:val="0"/>
      <w:sz w:val="20"/>
      <w:szCs w:val="20"/>
      <w:lang w:eastAsia="ru-RU" w:val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841ca9"/>
    <w:pPr>
      <w:spacing w:lineRule="auto" w:line="288" w:beforeAutospacing="1" w:after="142"/>
    </w:pPr>
    <w:rPr>
      <w:rFonts w:ascii="Times New Roman" w:hAnsi="Times New Roman" w:eastAsia="Times New Roman" w:cs="Times New Roman"/>
      <w:sz w:val="24"/>
      <w:szCs w:val="24"/>
    </w:rPr>
  </w:style>
  <w:style w:type="paragraph" w:styleId="Style23" w:customStyle="1">
    <w:name w:val="Верхний и нижний колонтитулы"/>
    <w:basedOn w:val="Normal"/>
    <w:qFormat/>
    <w:rsid w:val="008632ac"/>
    <w:pPr/>
    <w:rPr/>
  </w:style>
  <w:style w:type="paragraph" w:styleId="Style24" w:customStyle="1">
    <w:name w:val="Header"/>
    <w:basedOn w:val="Normal"/>
    <w:link w:val="1"/>
    <w:uiPriority w:val="99"/>
    <w:semiHidden/>
    <w:unhideWhenUsed/>
    <w:rsid w:val="0017155b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 w:customStyle="1">
    <w:name w:val="Footer"/>
    <w:basedOn w:val="Normal"/>
    <w:uiPriority w:val="99"/>
    <w:semiHidden/>
    <w:unhideWhenUsed/>
    <w:rsid w:val="0017155b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uiPriority w:val="99"/>
    <w:semiHidden/>
    <w:unhideWhenUsed/>
    <w:qFormat/>
    <w:rsid w:val="0066507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35FF7-A351-4832-A7C6-BCB6F3EF5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LibreOffice/6.3.3.2$Windows_x86 LibreOffice_project/a64200df03143b798afd1ec74a12ab50359878ed</Application>
  <Pages>9</Pages>
  <Words>1887</Words>
  <Characters>12872</Characters>
  <CharactersWithSpaces>14278</CharactersWithSpaces>
  <Paragraphs>495</Paragraphs>
  <Company>КонсультантПлюс Версия 4021.00.60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2022-07-07T07:59:00Z</dcterms:created>
  <dc:creator>Журавлева Людмила Анатольевна</dc:creator>
  <dc:description/>
  <dc:language>ru-RU</dc:language>
  <cp:lastModifiedBy/>
  <cp:lastPrinted>2022-06-20T13:15:00Z</cp:lastPrinted>
  <dcterms:modified xsi:type="dcterms:W3CDTF">2022-07-11T08:41:48Z</dcterms:modified>
  <cp:revision>3</cp:revision>
  <dc:subject/>
  <dc:title>Решение Городской Думы г. Калуги от 14.12.2011 N 247(ред. от 08.12.2021)"Об утверждении Правил землепользования и застройки городского округа "Город Калуга"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4021.00.60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