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1"/>
        <w:jc w:val="center"/>
        <w:spacing w:after="0" w:afterAutospacing="0"/>
        <w:rPr>
          <w:sz w:val="24"/>
          <w:szCs w:val="24"/>
        </w:rPr>
      </w:pPr>
      <w:r>
        <w:rPr>
          <w:rFonts w:eastAsia="Calibri"/>
          <w:b/>
          <w:caps/>
          <w:spacing w:val="40"/>
          <w:sz w:val="24"/>
          <w:szCs w:val="24"/>
        </w:rPr>
        <w:t xml:space="preserve">АКТ № </w:t>
      </w:r>
      <w:r>
        <w:rPr>
          <w:rFonts w:eastAsia="Calibri"/>
          <w:b/>
          <w:caps/>
          <w:spacing w:val="40"/>
          <w:sz w:val="24"/>
          <w:szCs w:val="24"/>
        </w:rPr>
        <w:t xml:space="preserve">60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jc w:val="center"/>
        <w:spacing w:after="0" w:afterAutospacing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плановой проверки </w:t>
      </w:r>
      <w:r>
        <w:rPr>
          <w:rFonts w:cs="Times New Roman"/>
          <w:b/>
          <w:bCs/>
          <w:sz w:val="24"/>
          <w:szCs w:val="24"/>
        </w:rPr>
        <w:t xml:space="preserve">муниципального бюджетного учреждения культуры «Калужский дом музыки»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jc w:val="center"/>
        <w:spacing w:after="0" w:afterAutospacing="0"/>
        <w:rPr>
          <w:sz w:val="24"/>
          <w:szCs w:val="24"/>
        </w:rPr>
      </w:pPr>
      <w:r>
        <w:rPr>
          <w:sz w:val="24"/>
        </w:rPr>
        <w:t xml:space="preserve">  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jc w:val="center"/>
        <w:spacing w:after="0" w:afterAutospacing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г. Калуга</w:t>
        <w:tab/>
        <w:tab/>
        <w:tab/>
        <w:tab/>
        <w:tab/>
        <w:tab/>
        <w:t xml:space="preserve">      </w:t>
        <w:tab/>
        <w:tab/>
        <w:t xml:space="preserve">                   </w:t>
      </w:r>
      <w:r>
        <w:rPr>
          <w:b/>
          <w:bCs/>
          <w:sz w:val="24"/>
          <w:szCs w:val="24"/>
        </w:rPr>
        <w:t xml:space="preserve"> «14</w:t>
      </w:r>
      <w:r>
        <w:rPr>
          <w:b/>
          <w:bCs/>
          <w:sz w:val="24"/>
          <w:szCs w:val="24"/>
        </w:rPr>
        <w:t xml:space="preserve">» </w:t>
      </w:r>
      <w:r>
        <w:rPr>
          <w:b/>
          <w:bCs/>
          <w:sz w:val="24"/>
          <w:szCs w:val="24"/>
        </w:rPr>
        <w:t xml:space="preserve">сентября 202</w:t>
      </w:r>
      <w:r>
        <w:rPr>
          <w:b/>
          <w:bCs/>
          <w:sz w:val="24"/>
          <w:szCs w:val="24"/>
        </w:rPr>
        <w:t xml:space="preserve">3</w:t>
      </w:r>
      <w:r>
        <w:rPr>
          <w:b/>
          <w:bCs/>
          <w:sz w:val="24"/>
          <w:szCs w:val="24"/>
        </w:rPr>
        <w:t xml:space="preserve"> г</w:t>
      </w:r>
      <w:r>
        <w:rPr>
          <w:b/>
          <w:bCs/>
          <w:sz w:val="24"/>
          <w:szCs w:val="24"/>
        </w:rPr>
        <w:t xml:space="preserve">ода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spacing w:after="0" w:afterAutospacing="0"/>
        <w:rPr>
          <w:sz w:val="24"/>
          <w:szCs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8"/>
        <w:jc w:val="both"/>
        <w:spacing w:after="0" w:afterAutospacing="0" w:line="273" w:lineRule="atLeast"/>
        <w:shd w:val="clear" w:color="auto" w:fill="ffffff"/>
        <w:rPr>
          <w:sz w:val="24"/>
          <w:szCs w:val="24"/>
        </w:rPr>
      </w:pPr>
      <w:r>
        <w:rPr>
          <w:sz w:val="24"/>
        </w:rPr>
        <w:t xml:space="preserve">В соответствии со статьей 100 Федерального закона от 05.04.2013 № 44-ФЗ «О контрактной системе в сфере закупок товаров, услуг для обеспечения федеральных и мун</w:t>
      </w:r>
      <w:r>
        <w:rPr>
          <w:sz w:val="24"/>
        </w:rP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bCs/>
          <w:sz w:val="24"/>
          <w:szCs w:val="24"/>
        </w:rPr>
        <w:t xml:space="preserve">ведомственного контроля за соблюдением законодательства Российской Фед</w:t>
      </w:r>
      <w:r>
        <w:rPr>
          <w:bCs/>
          <w:sz w:val="24"/>
          <w:szCs w:val="24"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sz w:val="24"/>
        </w:rPr>
        <w:t xml:space="preserve">» и постановлением Городской У</w:t>
      </w:r>
      <w:r>
        <w:rPr>
          <w:sz w:val="24"/>
        </w:rPr>
        <w:t xml:space="preserve">правы города Калуги от 13.12.2022 № 6488-пи «Об утверждении плана проведения ведомственного контроля управлением культуры города Калуги подведомственных ему муниципальных учреждений на 2023 год», проведена проверка соблюдения законодательства</w:t>
      </w:r>
      <w:r>
        <w:rPr>
          <w:b/>
          <w:sz w:val="24"/>
          <w:szCs w:val="24"/>
        </w:rPr>
        <w:t xml:space="preserve"> </w:t>
      </w:r>
      <w:r>
        <w:rPr>
          <w:sz w:val="24"/>
        </w:rPr>
        <w:t xml:space="preserve">Российской Фед</w:t>
      </w:r>
      <w:r>
        <w:rPr>
          <w:sz w:val="24"/>
        </w:rPr>
        <w:t xml:space="preserve">е</w:t>
      </w:r>
      <w:r>
        <w:rPr>
          <w:sz w:val="24"/>
        </w:rPr>
        <w:t xml:space="preserve">рации и иных нормативных правовых актов о контрактной системе в сфере закупок товаров, работ, услуг для обеспечения муниципальных нужд в отношении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 w:val="0"/>
          <w:bCs w:val="0"/>
          <w:sz w:val="24"/>
          <w:szCs w:val="24"/>
        </w:rPr>
        <w:t xml:space="preserve">муниципального бюджетного учреждения культуры «Калужский дом музыки»</w:t>
      </w:r>
      <w:r>
        <w:rPr>
          <w:sz w:val="24"/>
        </w:rPr>
        <w:t xml:space="preserve"> (далее - Проверка).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Проверка проведена комиссией утверждённой приказом управления культуры города Калуги </w:t>
      </w:r>
      <w:r>
        <w:rPr>
          <w:sz w:val="24"/>
        </w:rPr>
        <w:t xml:space="preserve">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</w:t>
      </w:r>
      <w:r>
        <w:rPr>
          <w:sz w:val="24"/>
        </w:rPr>
        <w:t xml:space="preserve">й системе в сфере закупок товаров, работ,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 и от 03.12.2019        № 133) в составе:</w:t>
      </w:r>
      <w:r>
        <w:rPr>
          <w:sz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69"/>
        <w:gridCol w:w="405"/>
        <w:gridCol w:w="6796"/>
      </w:tblGrid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Бубич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Ирина Юрьевна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1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заместитель начальника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  <w:szCs w:val="24"/>
              </w:rPr>
              <w:t xml:space="preserve">управления культуры города Калуги (руководитель комиссии);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Смирнов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Геннадий Владимирович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1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  <w:szCs w:val="24"/>
              </w:rPr>
              <w:t xml:space="preserve">управления культуры города Калуги.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11"/>
        <w:ind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Проверяемый период: с 01.01.2022 по 31.08.2023.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8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Дата начала проверки: 05.09.2023.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8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Дата окончания проверки: 08.09.2023.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68"/>
        <w:ind w:firstLine="708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68"/>
        <w:ind w:firstLine="708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 проверки: плановая.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68"/>
        <w:ind w:firstLine="708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проверки: выездная (дистанционная).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68"/>
        <w:ind w:firstLine="708"/>
        <w:jc w:val="both"/>
        <w:spacing w:after="0" w:afterAutospacing="0" w:line="273" w:lineRule="atLeast"/>
        <w:shd w:val="clear" w:color="auto" w:fill="ffffff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проверки: выборочный.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68"/>
        <w:ind w:firstLine="708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Субъект проверки: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муниципальное бюджетное учреждение культуры «Калужский дом музыки»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(далее – Учреждение), ИНН 4027078675, КПП </w:t>
      </w:r>
      <w:bookmarkStart w:id="0" w:name="undefined"/>
      <w:r>
        <w:rPr>
          <w:rFonts w:ascii="Times New Roman" w:hAnsi="Times New Roman"/>
          <w:b w:val="0"/>
          <w:bCs w:val="0"/>
          <w:sz w:val="24"/>
          <w:szCs w:val="24"/>
        </w:rPr>
        <w:t xml:space="preserve">402701001</w:t>
      </w:r>
      <w:bookmarkEnd w:id="0"/>
      <w:r>
        <w:rPr>
          <w:rFonts w:ascii="Times New Roman" w:hAnsi="Times New Roman"/>
          <w:b w:val="0"/>
          <w:bCs w:val="0"/>
          <w:sz w:val="24"/>
          <w:szCs w:val="24"/>
        </w:rPr>
        <w:t xml:space="preserve">.</w:t>
      </w:r>
      <w:r>
        <w:rPr>
          <w:b w:val="0"/>
          <w:bCs w:val="0"/>
          <w:sz w:val="24"/>
          <w:szCs w:val="24"/>
        </w:rPr>
      </w:r>
      <w:r>
        <w:rPr>
          <w:sz w:val="24"/>
          <w:szCs w:val="24"/>
        </w:rPr>
      </w:r>
    </w:p>
    <w:p>
      <w:pPr>
        <w:pStyle w:val="811"/>
        <w:ind w:firstLine="708"/>
        <w:jc w:val="both"/>
        <w:spacing w:before="0" w:after="0" w:line="240" w:lineRule="auto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местонахождения Учреждения: ул. Кирова, дом 6, г. Калуга, 248001.</w:t>
      </w:r>
      <w:r>
        <w:rPr>
          <w:b w:val="0"/>
          <w:bCs w:val="0"/>
          <w:sz w:val="24"/>
          <w:szCs w:val="24"/>
        </w:rPr>
      </w:r>
      <w:r>
        <w:rPr>
          <w:sz w:val="24"/>
          <w:szCs w:val="24"/>
        </w:rPr>
      </w:r>
    </w:p>
    <w:p>
      <w:pPr>
        <w:pStyle w:val="811"/>
        <w:ind w:left="0" w:right="0" w:firstLine="708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 ходе проверки были изучены: 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</w:rPr>
        <w:t xml:space="preserve">Устав Учреждения;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- должностные обязанности специалистов Учреждения;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- нормативные акты Учреждения, регламентирующие организацию и осуществление закупок товаров, работ, услуг изданные в проверяемый период;  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- реестр закупок; 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- планы–графики на 202</w:t>
      </w:r>
      <w:r>
        <w:rPr>
          <w:sz w:val="24"/>
        </w:rPr>
        <w:t xml:space="preserve">2 и 202</w:t>
      </w:r>
      <w:r>
        <w:rPr>
          <w:sz w:val="24"/>
        </w:rPr>
        <w:t xml:space="preserve">3 годы;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  <w:szCs w:val="24"/>
        </w:rPr>
      </w:pPr>
      <w:r>
        <w:rPr>
          <w:iCs/>
          <w:sz w:val="24"/>
          <w:szCs w:val="24"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  <w:szCs w:val="24"/>
        </w:rPr>
      </w:pPr>
      <w:r>
        <w:rPr>
          <w:iCs/>
          <w:sz w:val="24"/>
          <w:szCs w:val="24"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sz w:val="24"/>
          <w:szCs w:val="24"/>
          <w:highlight w:val="white"/>
        </w:rPr>
        <w:t xml:space="preserve"> информационной системе «WEB-Торги-КС» Калужской области;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  <w:highlight w:val="white"/>
        </w:rPr>
        <w:t xml:space="preserve">- порядок использования Учреждением </w:t>
      </w:r>
      <w:r>
        <w:rPr>
          <w:bCs/>
          <w:iCs/>
          <w:color w:val="000000"/>
          <w:sz w:val="24"/>
          <w:szCs w:val="24"/>
          <w:highlight w:val="white"/>
        </w:rPr>
        <w:t xml:space="preserve">системы «Маркетинговые исследования малых закупок» Калужской области (МИМЗ)</w:t>
      </w:r>
      <w:r>
        <w:rPr>
          <w:iCs/>
          <w:sz w:val="24"/>
          <w:szCs w:val="24"/>
          <w:highlight w:val="white"/>
        </w:rPr>
        <w:t xml:space="preserve">. 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widowControl w:val="off"/>
        <w:rPr>
          <w:iCs/>
          <w:sz w:val="24"/>
          <w:szCs w:val="24"/>
          <w:highlight w:val="white"/>
        </w:rPr>
      </w:pPr>
      <w:r>
        <w:rPr>
          <w:iCs/>
          <w:sz w:val="24"/>
          <w:szCs w:val="24"/>
          <w:highlight w:val="white"/>
        </w:rPr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jc w:val="both"/>
        <w:spacing w:after="0" w:afterAutospacing="0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 ходе проверки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jc w:val="center"/>
        <w:spacing w:after="0" w:afterAutospacing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center"/>
        <w:spacing w:after="0" w:afterAutospacing="0"/>
        <w:widowControl w:val="off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  <w:highlight w:val="white"/>
        </w:rPr>
        <w:t xml:space="preserve">УСТАНОВЛЕНО:</w:t>
      </w:r>
      <w:r>
        <w:rPr>
          <w:sz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afterAutospacing="0"/>
        <w:widowControl w:val="off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before="0" w:after="0" w:line="240" w:lineRule="auto"/>
        <w:widowControl w:val="off"/>
        <w:rPr>
          <w:sz w:val="24"/>
          <w:szCs w:val="24"/>
        </w:rPr>
      </w:pPr>
      <w:r>
        <w:rPr>
          <w:iCs/>
          <w:color w:val="000000"/>
          <w:sz w:val="24"/>
          <w:szCs w:val="24"/>
          <w:shd w:val="clear" w:color="auto" w:fill="ffffff"/>
        </w:rPr>
        <w:t xml:space="preserve">Проверка проведена </w:t>
      </w:r>
      <w:r>
        <w:rPr>
          <w:iCs/>
          <w:color w:val="000000"/>
          <w:sz w:val="24"/>
          <w:szCs w:val="24"/>
          <w:shd w:val="clear" w:color="auto" w:fill="ffffff"/>
        </w:rPr>
        <w:t xml:space="preserve">в присутствии</w:t>
      </w:r>
      <w:r>
        <w:rPr>
          <w:iCs/>
          <w:color w:val="000000"/>
          <w:sz w:val="24"/>
          <w:szCs w:val="24"/>
          <w:shd w:val="clear" w:color="auto" w:fill="ffffff"/>
        </w:rPr>
        <w:t xml:space="preserve"> Никифоров</w:t>
      </w:r>
      <w:r>
        <w:rPr>
          <w:iCs/>
          <w:color w:val="000000"/>
          <w:sz w:val="24"/>
          <w:szCs w:val="24"/>
          <w:shd w:val="clear" w:color="auto" w:fill="ffffff"/>
        </w:rPr>
        <w:t xml:space="preserve">а</w:t>
      </w:r>
      <w:r>
        <w:rPr>
          <w:iCs/>
          <w:color w:val="000000"/>
          <w:sz w:val="24"/>
          <w:szCs w:val="24"/>
          <w:shd w:val="clear" w:color="auto" w:fill="ffffff"/>
        </w:rPr>
        <w:t xml:space="preserve"> Дмитри</w:t>
      </w:r>
      <w:r>
        <w:rPr>
          <w:iCs/>
          <w:color w:val="000000"/>
          <w:sz w:val="24"/>
          <w:szCs w:val="24"/>
          <w:shd w:val="clear" w:color="auto" w:fill="ffffff"/>
        </w:rPr>
        <w:t xml:space="preserve">я</w:t>
      </w:r>
      <w:r>
        <w:rPr>
          <w:iCs/>
          <w:color w:val="000000"/>
          <w:sz w:val="24"/>
          <w:szCs w:val="24"/>
          <w:shd w:val="clear" w:color="auto" w:fill="ffffff"/>
        </w:rPr>
        <w:t xml:space="preserve"> Викторович</w:t>
      </w:r>
      <w:r>
        <w:rPr>
          <w:iCs/>
          <w:color w:val="000000"/>
          <w:sz w:val="24"/>
          <w:szCs w:val="24"/>
          <w:shd w:val="clear" w:color="auto" w:fill="ffffff"/>
        </w:rPr>
        <w:t xml:space="preserve">а</w:t>
      </w:r>
      <w:r>
        <w:rPr>
          <w:iCs/>
          <w:color w:val="000000"/>
          <w:sz w:val="24"/>
          <w:szCs w:val="24"/>
          <w:shd w:val="clear" w:color="auto" w:fill="ffffff"/>
        </w:rPr>
        <w:t xml:space="preserve">, заместител</w:t>
      </w:r>
      <w:r>
        <w:rPr>
          <w:iCs/>
          <w:color w:val="000000"/>
          <w:sz w:val="24"/>
          <w:szCs w:val="24"/>
          <w:shd w:val="clear" w:color="auto" w:fill="ffffff"/>
        </w:rPr>
        <w:t xml:space="preserve">я</w:t>
      </w:r>
      <w:r>
        <w:rPr>
          <w:iCs/>
          <w:color w:val="000000"/>
          <w:sz w:val="24"/>
          <w:szCs w:val="24"/>
          <w:shd w:val="clear" w:color="auto" w:fill="ffffff"/>
        </w:rPr>
        <w:t xml:space="preserve"> директора по административно-хозяйственной деятельности (приказ № 23 от 24.04.2017) с обязанностями контрактного управляющего Учреждения (приказ № 28 от 02.06.2017).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Руководство Учреждением осуществляется директором – Кулаевой Маргаритой Евгеньевной (Распоряжение Городской Управы города Калуги о назначении на должность директора от 18.04.2023 № 80-14-р).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Учреждение является муниципальным бюджетным учр</w:t>
      </w:r>
      <w:r>
        <w:rPr>
          <w:color w:val="000000"/>
          <w:sz w:val="24"/>
          <w:szCs w:val="24"/>
        </w:rPr>
        <w:t xml:space="preserve">еждением. Учредителем Учреждения является муниципальное образование «Город Калуга». Функции и полномочия учредителя осуществляет Городская Управа города Калуги. Устав Учреждения утвержден Постановление Городской Управы города Калуги от 06.12.2011 № 8634-пи.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Учреждение является самостоятельным юр</w:t>
      </w:r>
      <w:r>
        <w:rPr>
          <w:color w:val="000000"/>
          <w:sz w:val="24"/>
          <w:szCs w:val="24"/>
        </w:rPr>
        <w:t xml:space="preserve">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 и зарегистрировано в ИФНС по Ленинскому округу города Калуги 26.03.2007. ИНН 4027078675, КПП </w:t>
      </w:r>
      <w:r>
        <w:rPr>
          <w:color w:val="000000"/>
          <w:sz w:val="24"/>
          <w:szCs w:val="24"/>
        </w:rPr>
        <w:t xml:space="preserve">402701001, </w:t>
      </w:r>
      <w:r>
        <w:rPr>
          <w:color w:val="000000"/>
          <w:sz w:val="24"/>
          <w:szCs w:val="24"/>
        </w:rPr>
        <w:t xml:space="preserve">ОГРН 1074027003302.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Источниками финансового обеспечения Учреждения являются: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субсидии, предоставляемые на выполнение муниципального задания;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субсидии на иные цели;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before="0" w:after="0" w:line="240" w:lineRule="auto"/>
        <w:rPr>
          <w:color w:val="auto"/>
          <w:sz w:val="24"/>
          <w:szCs w:val="24"/>
        </w:rPr>
      </w:pPr>
      <w:r>
        <w:rPr>
          <w:color w:val="000000"/>
          <w:sz w:val="24"/>
          <w:szCs w:val="24"/>
        </w:rPr>
        <w:t xml:space="preserve">- средства от приносящей доход деятельности (платные услуги, добровольные </w:t>
      </w:r>
      <w:r>
        <w:rPr>
          <w:color w:val="auto"/>
          <w:sz w:val="24"/>
          <w:szCs w:val="24"/>
        </w:rPr>
        <w:t xml:space="preserve">пожертвования и безвозмездные поступления от физических и (или) юридических лиц и иные доходы от приносящей доход деятельности).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811"/>
        <w:ind w:left="0" w:right="0" w:firstLine="709"/>
        <w:jc w:val="both"/>
        <w:spacing w:after="0" w:afterAutospacing="0" w:line="240" w:lineRule="auto"/>
        <w:rPr>
          <w:color w:val="auto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В единой информационной системе в сфере закупок на сайте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instrText xml:space="preserve"> HYPERLINK "http://www.zakupki.gov.ru/"</w:instrTex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fldChar w:fldCharType="separate"/>
      </w:r>
      <w:r>
        <w:rPr>
          <w:rStyle w:val="881"/>
          <w:rFonts w:ascii="Times New Roman" w:hAnsi="Times New Roman" w:eastAsia="Times New Roman" w:cs="Times New Roman"/>
          <w:color w:val="auto"/>
          <w:sz w:val="24"/>
          <w:szCs w:val="24"/>
        </w:rPr>
        <w:t xml:space="preserve">www.zakupki.gov.ru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fldChar w:fldCharType="end"/>
      </w:r>
      <w:r>
        <w:rPr>
          <w:rStyle w:val="881"/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>
        <w:rPr>
          <w:rStyle w:val="881"/>
          <w:rFonts w:ascii="Times New Roman" w:hAnsi="Times New Roman" w:eastAsia="Times New Roman" w:cs="Times New Roman"/>
          <w:color w:val="auto"/>
          <w:sz w:val="24"/>
          <w:szCs w:val="24"/>
          <w:u w:val="none"/>
        </w:rPr>
        <w:t xml:space="preserve">(далее — ЕИС)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, электронные цифровые подписи имеются у руководителя Учреждения дирек</w:t>
      </w:r>
      <w:r>
        <w:rPr>
          <w:color w:val="auto"/>
          <w:sz w:val="24"/>
          <w:szCs w:val="24"/>
        </w:rPr>
        <w:t xml:space="preserve">тора </w:t>
      </w:r>
      <w:r>
        <w:rPr>
          <w:color w:val="auto"/>
          <w:sz w:val="24"/>
          <w:szCs w:val="24"/>
        </w:rPr>
        <w:t xml:space="preserve">Кулаевой М.Е. </w:t>
      </w:r>
      <w:r>
        <w:rPr>
          <w:color w:val="auto"/>
          <w:sz w:val="24"/>
          <w:szCs w:val="24"/>
        </w:rPr>
        <w:t xml:space="preserve">до 07.06.2023 и заместителя директора по АХР</w:t>
      </w:r>
      <w:r>
        <w:rPr>
          <w:color w:val="auto"/>
          <w:sz w:val="24"/>
          <w:szCs w:val="24"/>
        </w:rPr>
        <w:t xml:space="preserve"> с обязанностями контрактного управляющего </w:t>
      </w:r>
      <w:r>
        <w:rPr>
          <w:color w:val="auto"/>
          <w:sz w:val="24"/>
          <w:szCs w:val="24"/>
        </w:rPr>
        <w:t xml:space="preserve">Никифорова Д.В. до 07.08.2027</w:t>
      </w:r>
      <w:r>
        <w:rPr>
          <w:color w:val="auto"/>
          <w:sz w:val="24"/>
          <w:szCs w:val="24"/>
        </w:rPr>
        <w:t xml:space="preserve">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811"/>
        <w:ind w:firstLine="709"/>
        <w:jc w:val="both"/>
        <w:spacing w:before="0" w:after="0" w:line="240" w:lineRule="auto"/>
        <w:rPr>
          <w:color w:val="auto"/>
          <w:sz w:val="24"/>
          <w:szCs w:val="24"/>
        </w:rPr>
      </w:pPr>
      <w:r>
        <w:rPr>
          <w:iCs/>
          <w:color w:val="auto"/>
          <w:sz w:val="24"/>
          <w:szCs w:val="24"/>
          <w:shd w:val="clear" w:color="auto" w:fill="ffffff"/>
        </w:rPr>
        <w:t xml:space="preserve">Удостоверение о повышении квалификации</w:t>
      </w:r>
      <w:r>
        <w:rPr>
          <w:rFonts w:eastAsia="Calibri"/>
          <w:iCs/>
          <w:color w:val="auto"/>
          <w:sz w:val="24"/>
          <w:szCs w:val="24"/>
          <w:shd w:val="clear" w:color="auto" w:fill="ffffff"/>
          <w:lang w:eastAsia="en-US"/>
        </w:rPr>
        <w:t xml:space="preserve"> № ПК-34843 по обучению в объеме 144 часов в АНО ДПО «Дальневосточный институт дополнительного профессионального образования» по дополнительной профессиональной программе «Контрактная система в сфере закупок товаров, работ и услуг», выдано 10.06.2022.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811"/>
        <w:ind w:firstLine="709"/>
        <w:jc w:val="both"/>
        <w:spacing w:before="0" w:after="0" w:line="240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Учреждение с 01.01.2014 при осуществлении закупок руководствуется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8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  <w:t xml:space="preserve">Учреждение в 2022 и 2023 году конкурентные процедуры не проводило. </w:t>
      </w:r>
      <w:r>
        <w:rPr>
          <w:color w:val="auto"/>
          <w:sz w:val="24"/>
          <w:szCs w:val="24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</w:p>
    <w:p>
      <w:pPr>
        <w:pStyle w:val="811"/>
        <w:ind w:firstLine="708"/>
        <w:jc w:val="both"/>
        <w:spacing w:after="0" w:afterAutospacing="0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</w:rPr>
        <w:t xml:space="preserve">Договора на поставку товаров, выполнение </w:t>
      </w:r>
      <w:r>
        <w:rPr>
          <w:color w:val="auto"/>
          <w:sz w:val="24"/>
          <w:szCs w:val="24"/>
        </w:rPr>
        <w:t xml:space="preserve">работ, оказания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auto"/>
          <w:sz w:val="24"/>
          <w:szCs w:val="24"/>
          <w:lang w:val="en-US"/>
        </w:rPr>
        <w:t xml:space="preserve">Web</w:t>
      </w:r>
      <w:r>
        <w:rPr>
          <w:color w:val="auto"/>
          <w:sz w:val="24"/>
          <w:szCs w:val="24"/>
        </w:rPr>
        <w:t xml:space="preserve">-Торги-КС», в т.ч. с использованием системы Маркетинговые исследования малых закупок Калужской области (МИМЗ). 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  <w:highlight w:val="none"/>
        </w:rPr>
      </w:r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auto"/>
          <w:sz w:val="24"/>
          <w:szCs w:val="24"/>
        </w:rPr>
      </w:pPr>
      <w:r>
        <w:rPr>
          <w:bCs/>
          <w:iCs/>
          <w:color w:val="auto"/>
          <w:sz w:val="24"/>
          <w:szCs w:val="24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lang w:eastAsia="ru-RU"/>
        </w:rPr>
        <w:t xml:space="preserve">Планы-графики закупок товаров, работ, услуг на 2022 и 2023 годы утверждены и подписаны </w:t>
      </w:r>
      <w:r>
        <w:rPr>
          <w:color w:val="auto"/>
          <w:sz w:val="24"/>
          <w:szCs w:val="24"/>
          <w:lang w:eastAsia="ru-RU"/>
        </w:rPr>
        <w:t xml:space="preserve">в ЕИС</w:t>
      </w:r>
      <w:r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с использованием квалифицированной усиленной электронной подписью </w:t>
      </w:r>
      <w:r>
        <w:rPr>
          <w:color w:val="auto"/>
          <w:sz w:val="24"/>
          <w:szCs w:val="24"/>
          <w:lang w:eastAsia="ru-RU"/>
        </w:rPr>
        <w:t xml:space="preserve">заместителя директора по АХР Никифорова Д.В. </w:t>
      </w:r>
      <w:r>
        <w:rPr>
          <w:color w:val="auto"/>
          <w:sz w:val="24"/>
          <w:szCs w:val="24"/>
        </w:rPr>
      </w:r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  <w:lang w:eastAsia="ru-RU"/>
        </w:rPr>
        <w:t xml:space="preserve">В реестре контрактов ЕИС Учреждением зарегистрирован один контракт от 16.01.2023 № БД 0080/00/3 Т, заключенный на поставку тепловой энергии, со сроком действия 31.12.2023 на сумму 634 678,89 рублей.</w:t>
      </w:r>
      <w:r>
        <w:rPr>
          <w:color w:val="auto"/>
          <w:sz w:val="24"/>
          <w:szCs w:val="24"/>
          <w:highlight w:val="none"/>
          <w:lang w:eastAsia="ru-RU"/>
        </w:rPr>
      </w:r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lang w:eastAsia="ru-RU"/>
        </w:rPr>
        <w:t xml:space="preserve">Первичный план-график закупок товаров, работ, услуг для обеспечения нужд субъекта Российской Федерации и муниципальных нужд на 2022 финансовый год № 202203373000405</w:t>
      </w:r>
      <w:r>
        <w:rPr>
          <w:color w:val="auto"/>
          <w:sz w:val="24"/>
          <w:szCs w:val="24"/>
          <w:lang w:eastAsia="ru-RU"/>
        </w:rPr>
        <w:t xml:space="preserve">001</w:t>
      </w:r>
      <w:r>
        <w:rPr>
          <w:color w:val="auto"/>
          <w:sz w:val="24"/>
          <w:szCs w:val="24"/>
          <w:lang w:eastAsia="ru-RU"/>
        </w:rPr>
        <w:t xml:space="preserve"> базовой версии 0.0 размещен в ЕИС 13</w:t>
      </w:r>
      <w:r>
        <w:rPr>
          <w:color w:val="auto"/>
          <w:sz w:val="24"/>
          <w:szCs w:val="24"/>
          <w:lang w:eastAsia="ru-RU"/>
        </w:rPr>
        <w:t xml:space="preserve">.01.2022. На 31.12.2023 в ЕИС </w:t>
      </w:r>
      <w:r>
        <w:rPr>
          <w:color w:val="auto"/>
          <w:sz w:val="24"/>
          <w:szCs w:val="24"/>
          <w:lang w:eastAsia="ru-RU"/>
        </w:rPr>
        <w:t xml:space="preserve">22.12.2022</w:t>
      </w:r>
      <w:r>
        <w:rPr>
          <w:color w:val="auto"/>
          <w:sz w:val="24"/>
          <w:szCs w:val="24"/>
          <w:lang w:eastAsia="ru-RU"/>
        </w:rPr>
        <w:t xml:space="preserve"> была размещена версия 4</w:t>
      </w:r>
      <w:r>
        <w:rPr>
          <w:color w:val="auto"/>
          <w:sz w:val="24"/>
          <w:szCs w:val="24"/>
          <w:lang w:eastAsia="ru-RU"/>
        </w:rPr>
        <w:t xml:space="preserve">.0</w:t>
      </w:r>
      <w:r>
        <w:rPr>
          <w:color w:val="auto"/>
          <w:sz w:val="24"/>
          <w:szCs w:val="24"/>
          <w:lang w:eastAsia="ru-RU"/>
        </w:rPr>
        <w:t xml:space="preserve">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auto"/>
          <w:szCs w:val="24"/>
        </w:rPr>
      </w:pPr>
      <w:r>
        <w:rPr>
          <w:color w:val="auto"/>
          <w:sz w:val="24"/>
          <w:szCs w:val="24"/>
          <w:lang w:eastAsia="ru-RU"/>
        </w:rPr>
        <w:t xml:space="preserve">Первичный план-график закупок товаров, работ, услуг для обеспечения нужд субъекта Российской Федерации и муниципальных нужд на 2023 финансовый год № 202303373000405</w:t>
      </w:r>
      <w:r>
        <w:rPr>
          <w:color w:val="auto"/>
          <w:sz w:val="24"/>
          <w:szCs w:val="24"/>
          <w:lang w:eastAsia="ru-RU"/>
        </w:rPr>
        <w:t xml:space="preserve">001</w:t>
      </w:r>
      <w:r>
        <w:rPr>
          <w:color w:val="auto"/>
          <w:sz w:val="24"/>
          <w:szCs w:val="24"/>
          <w:lang w:eastAsia="ru-RU"/>
        </w:rPr>
        <w:t xml:space="preserve"> базовой версии 0.0 размещен в ЕИС 13</w:t>
      </w:r>
      <w:r>
        <w:rPr>
          <w:color w:val="auto"/>
          <w:sz w:val="24"/>
          <w:szCs w:val="24"/>
          <w:lang w:eastAsia="ru-RU"/>
        </w:rPr>
        <w:t xml:space="preserve">.01.2023. На момент проверки действует версия 2</w:t>
      </w:r>
      <w:r>
        <w:rPr>
          <w:color w:val="auto"/>
          <w:sz w:val="24"/>
          <w:szCs w:val="24"/>
          <w:lang w:eastAsia="ru-RU"/>
        </w:rPr>
        <w:t xml:space="preserve">.0, размещенная в ЕИС 17</w:t>
      </w:r>
      <w:r>
        <w:rPr>
          <w:color w:val="auto"/>
          <w:sz w:val="24"/>
          <w:szCs w:val="24"/>
          <w:lang w:eastAsia="ru-RU"/>
        </w:rPr>
        <w:t xml:space="preserve">.07.2023</w:t>
      </w:r>
      <w:r>
        <w:rPr>
          <w:color w:val="auto"/>
          <w:sz w:val="24"/>
          <w:szCs w:val="24"/>
          <w:lang w:eastAsia="ru-RU"/>
        </w:rPr>
        <w:t xml:space="preserve">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811"/>
        <w:contextualSpacing/>
        <w:ind w:firstLine="708"/>
        <w:jc w:val="both"/>
        <w:spacing w:after="0" w:afterAutospac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Отчеты об объемах закупок у субъектов малого предпринимательства, социально ориентированных некоммерческих организаций за 20</w:t>
      </w:r>
      <w:r>
        <w:rPr>
          <w:color w:val="auto"/>
          <w:sz w:val="24"/>
          <w:szCs w:val="24"/>
        </w:rPr>
        <w:t xml:space="preserve">21</w:t>
      </w:r>
      <w:r>
        <w:rPr>
          <w:color w:val="auto"/>
          <w:sz w:val="24"/>
          <w:szCs w:val="24"/>
        </w:rPr>
        <w:t xml:space="preserve"> и 202</w:t>
      </w:r>
      <w:r>
        <w:rPr>
          <w:color w:val="auto"/>
          <w:sz w:val="24"/>
          <w:szCs w:val="24"/>
        </w:rPr>
        <w:t xml:space="preserve">2 отчетные года Учреждением размещены </w:t>
      </w:r>
      <w:r>
        <w:rPr>
          <w:color w:val="auto"/>
          <w:sz w:val="24"/>
          <w:szCs w:val="24"/>
        </w:rPr>
        <w:t xml:space="preserve">в ЕИС </w:t>
      </w:r>
      <w:r>
        <w:rPr>
          <w:color w:val="auto"/>
          <w:sz w:val="24"/>
          <w:szCs w:val="24"/>
        </w:rPr>
        <w:t xml:space="preserve">своевременно</w:t>
      </w:r>
      <w:r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 xml:space="preserve">25.02.2022 и </w:t>
      </w:r>
      <w:r>
        <w:rPr>
          <w:color w:val="auto"/>
          <w:sz w:val="24"/>
          <w:szCs w:val="24"/>
        </w:rPr>
        <w:t xml:space="preserve">09.0</w:t>
      </w:r>
      <w:r>
        <w:rPr>
          <w:color w:val="auto"/>
          <w:sz w:val="24"/>
          <w:szCs w:val="24"/>
        </w:rPr>
        <w:t xml:space="preserve">3.2023 соответственно</w:t>
      </w:r>
      <w:r>
        <w:rPr>
          <w:color w:val="auto"/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811"/>
        <w:contextualSpacing/>
        <w:ind w:firstLine="708"/>
        <w:jc w:val="both"/>
        <w:spacing w:after="0" w:afterAutospac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Отчеты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о закупк</w:t>
      </w:r>
      <w:r>
        <w:rPr>
          <w:color w:val="auto"/>
          <w:sz w:val="24"/>
          <w:szCs w:val="24"/>
        </w:rPr>
        <w:t xml:space="preserve">е</w:t>
      </w:r>
      <w:r>
        <w:rPr>
          <w:color w:val="auto"/>
          <w:sz w:val="24"/>
          <w:szCs w:val="24"/>
        </w:rPr>
        <w:t xml:space="preserve"> товаров произведенных в Российской Федерации за 2021 и 2022 отчетные годы Учреждением размещены в </w:t>
      </w:r>
      <w:r>
        <w:rPr>
          <w:color w:val="auto"/>
          <w:sz w:val="24"/>
          <w:szCs w:val="24"/>
        </w:rPr>
        <w:t xml:space="preserve">ЕИС своевременно, </w:t>
      </w:r>
      <w:r>
        <w:rPr>
          <w:color w:val="auto"/>
          <w:sz w:val="24"/>
          <w:szCs w:val="24"/>
        </w:rPr>
        <w:t xml:space="preserve">01.03</w:t>
      </w:r>
      <w:r>
        <w:rPr>
          <w:color w:val="auto"/>
          <w:sz w:val="24"/>
          <w:szCs w:val="24"/>
        </w:rPr>
        <w:t xml:space="preserve">.2022 и 06.03.2023 соответственно.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867"/>
        <w:ind w:left="0" w:firstLine="708"/>
        <w:jc w:val="both"/>
        <w:spacing w:after="0" w:afterAutospacing="0"/>
        <w:rPr>
          <w:b w:val="0"/>
          <w:bCs w:val="0"/>
          <w:color w:val="auto"/>
          <w:sz w:val="24"/>
          <w:szCs w:val="24"/>
          <w:highlight w:val="none"/>
        </w:rPr>
      </w:pPr>
      <w:r>
        <w:rPr>
          <w:b w:val="0"/>
          <w:bCs w:val="0"/>
          <w:color w:val="auto"/>
          <w:sz w:val="24"/>
          <w:szCs w:val="24"/>
          <w:highlight w:val="none"/>
        </w:rPr>
      </w:r>
      <w:r>
        <w:rPr>
          <w:b w:val="0"/>
          <w:bCs w:val="0"/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</w:rPr>
      </w:r>
    </w:p>
    <w:p>
      <w:pPr>
        <w:pStyle w:val="867"/>
        <w:ind w:left="0" w:firstLine="708"/>
        <w:jc w:val="both"/>
        <w:spacing w:after="0" w:afterAutospacing="0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Выводы:</w:t>
      </w:r>
      <w:r>
        <w:rPr>
          <w:sz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afterAutospacing="0"/>
        <w:tabs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tabs>
          <w:tab w:val="left" w:pos="0" w:leader="none"/>
          <w:tab w:val="left" w:pos="993" w:leader="none"/>
        </w:tabs>
        <w:rPr>
          <w:sz w:val="24"/>
          <w:szCs w:val="24"/>
          <w:highlight w:val="none"/>
        </w:rPr>
      </w:pPr>
      <w:r>
        <w:rPr>
          <w:sz w:val="24"/>
        </w:rPr>
        <w:t xml:space="preserve">1. Направить Акт проверки заказчику.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tabs>
          <w:tab w:val="left" w:pos="0" w:leader="none"/>
        </w:tabs>
        <w:rPr>
          <w:sz w:val="24"/>
          <w:szCs w:val="24"/>
        </w:rPr>
      </w:pPr>
      <w:r>
        <w:rPr>
          <w:sz w:val="24"/>
        </w:rPr>
        <w:t xml:space="preserve">2. Разместить настоящий Акт проверки в единой информационной системе в сфере закупок.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67"/>
        <w:ind w:left="0"/>
        <w:jc w:val="both"/>
        <w:spacing w:after="0" w:afterAutospacing="0"/>
        <w:rPr>
          <w:sz w:val="24"/>
          <w:szCs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67"/>
        <w:ind w:left="0"/>
        <w:jc w:val="both"/>
        <w:spacing w:after="0" w:afterAutospacing="0"/>
        <w:rPr>
          <w:sz w:val="24"/>
          <w:szCs w:val="24"/>
        </w:rPr>
      </w:pPr>
      <w:r>
        <w:rPr>
          <w:bCs/>
          <w:sz w:val="24"/>
          <w:szCs w:val="24"/>
        </w:rPr>
        <w:t xml:space="preserve">Акт составлен в 2-х экземплярах на 3 листах.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67"/>
        <w:ind w:left="0"/>
        <w:jc w:val="both"/>
        <w:spacing w:after="0" w:afterAutospacing="0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sz w:val="24"/>
        </w:rPr>
      </w:r>
      <w:r>
        <w:rPr>
          <w:sz w:val="24"/>
          <w:szCs w:val="24"/>
        </w:rPr>
      </w:r>
    </w:p>
    <w:tbl>
      <w:tblPr>
        <w:tblW w:w="0" w:type="auto"/>
        <w:tblInd w:w="-10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Председатель комиссии: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Бубич И.Ю.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7"/>
              <w:ind w:left="0"/>
              <w:jc w:val="both"/>
              <w:spacing w:after="0" w:afterAutospac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Члены комиссии: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Смирнов Г.В.</w:t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</w:rPr>
            </w:r>
          </w:p>
          <w:p>
            <w:pPr>
              <w:pStyle w:val="811"/>
              <w:spacing w:after="0" w:afterAutospac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afterAutospacing="0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pStyle w:val="811"/>
        <w:ind w:firstLine="709"/>
        <w:jc w:val="both"/>
        <w:spacing w:after="0" w:afterAutospacing="0"/>
        <w:widowControl w:val="off"/>
        <w:rPr>
          <w:sz w:val="24"/>
          <w:szCs w:val="24"/>
          <w:highlight w:val="none"/>
        </w:rPr>
      </w:pPr>
      <w:r>
        <w:rPr>
          <w:sz w:val="24"/>
        </w:rPr>
        <w:t xml:space="preserve">В случае несогласия с вынесенным решением Вы имеете право в течение 10 ра</w:t>
      </w:r>
      <w:r>
        <w:rPr>
          <w:sz w:val="24"/>
        </w:rPr>
        <w:t xml:space="preserve">бочих дней со дня получения копии акта проверки, представить в орган ведомственного контроля в сфере закупок управления культуры города Калуги, по адресу: г. Калуга, ул. Салтыкова-Щедрина, дом 72 письменные возражения по фактам, изложенным в акте проверки.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390"/>
        <w:jc w:val="both"/>
        <w:spacing w:after="0" w:afterAutospacing="0"/>
        <w:rPr>
          <w:sz w:val="24"/>
          <w:szCs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390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Акт получил: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390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_______________________________</w:t>
        <w:tab/>
        <w:tab/>
        <w:t xml:space="preserve">                                       «___» сентября</w:t>
      </w:r>
      <w:r>
        <w:rPr>
          <w:sz w:val="24"/>
        </w:rPr>
        <w:t xml:space="preserve"> 202</w:t>
      </w:r>
      <w:r>
        <w:rPr>
          <w:sz w:val="24"/>
        </w:rPr>
        <w:t xml:space="preserve">3 года</w:t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11"/>
        <w:ind w:firstLine="390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           </w:t>
      </w:r>
      <w:bookmarkStart w:id="0" w:name="_GoBack"/>
      <w:r>
        <w:rPr>
          <w:sz w:val="24"/>
        </w:rPr>
      </w:r>
      <w:bookmarkEnd w:id="0"/>
      <w:r>
        <w:rPr>
          <w:sz w:val="24"/>
        </w:rPr>
        <w:t xml:space="preserve">(должность, подпись, ФИО)</w:t>
      </w:r>
      <w:r>
        <w:rPr>
          <w:sz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566" w:bottom="680" w:left="1135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ourier New">
    <w:panose1 w:val="02070309020205020404"/>
  </w:font>
  <w:font w:name="Tahoma">
    <w:panose1 w:val="020B0604030504040204"/>
  </w:font>
  <w:font w:name="Liberation Sans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2"/>
      <w:isLgl w:val="false"/>
      <w:suff w:val="nothing"/>
      <w:lvlText w:val=""/>
      <w:lvlJc w:val="left"/>
      <w:pPr>
        <w:pStyle w:val="811"/>
        <w:ind w:left="432" w:hanging="432"/>
        <w:tabs>
          <w:tab w:val="num" w:pos="0" w:leader="none"/>
        </w:tabs>
      </w:pPr>
    </w:lvl>
    <w:lvl w:ilvl="1">
      <w:start w:val="1"/>
      <w:numFmt w:val="decimal"/>
      <w:pStyle w:val="813"/>
      <w:isLgl w:val="false"/>
      <w:suff w:val="nothing"/>
      <w:lvlText w:val=""/>
      <w:lvlJc w:val="left"/>
      <w:pPr>
        <w:pStyle w:val="811"/>
        <w:ind w:left="576" w:hanging="576"/>
        <w:tabs>
          <w:tab w:val="num" w:pos="0" w:leader="none"/>
        </w:tabs>
      </w:pPr>
    </w:lvl>
    <w:lvl w:ilvl="2">
      <w:start w:val="1"/>
      <w:numFmt w:val="decimal"/>
      <w:pStyle w:val="814"/>
      <w:isLgl w:val="false"/>
      <w:suff w:val="nothing"/>
      <w:lvlText w:val=""/>
      <w:lvlJc w:val="left"/>
      <w:pPr>
        <w:pStyle w:val="811"/>
        <w:ind w:left="720" w:hanging="720"/>
        <w:tabs>
          <w:tab w:val="num" w:pos="0" w:leader="none"/>
        </w:tabs>
      </w:pPr>
    </w:lvl>
    <w:lvl w:ilvl="3">
      <w:start w:val="1"/>
      <w:numFmt w:val="decimal"/>
      <w:pStyle w:val="815"/>
      <w:isLgl w:val="false"/>
      <w:suff w:val="nothing"/>
      <w:lvlText w:val=""/>
      <w:lvlJc w:val="left"/>
      <w:pPr>
        <w:pStyle w:val="811"/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1"/>
    <w:next w:val="811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37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1"/>
    <w:next w:val="811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37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1"/>
    <w:next w:val="811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37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1"/>
    <w:next w:val="811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37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1"/>
    <w:next w:val="811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37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37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37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37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1"/>
    <w:next w:val="811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37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Title"/>
    <w:basedOn w:val="811"/>
    <w:next w:val="811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37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37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37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37"/>
    <w:link w:val="664"/>
    <w:uiPriority w:val="99"/>
  </w:style>
  <w:style w:type="paragraph" w:styleId="666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1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37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next w:val="811"/>
    <w:link w:val="811"/>
    <w:rPr>
      <w:color w:val="00000a"/>
      <w:sz w:val="24"/>
      <w:szCs w:val="24"/>
      <w:lang w:val="ru-RU" w:eastAsia="ru-RU" w:bidi="ar-SA"/>
    </w:rPr>
  </w:style>
  <w:style w:type="paragraph" w:styleId="812">
    <w:name w:val="Заголовок 1"/>
    <w:basedOn w:val="811"/>
    <w:next w:val="851"/>
    <w:link w:val="811"/>
    <w:pPr>
      <w:numPr>
        <w:ilvl w:val="0"/>
        <w:numId w:val="1"/>
      </w:numPr>
      <w:ind w:left="0" w:right="0" w:firstLine="0"/>
      <w:jc w:val="center"/>
      <w:keepNext/>
      <w:outlineLvl w:val="0"/>
    </w:pPr>
    <w:rPr>
      <w:szCs w:val="20"/>
    </w:rPr>
  </w:style>
  <w:style w:type="paragraph" w:styleId="813">
    <w:name w:val="Заголовок 2"/>
    <w:basedOn w:val="811"/>
    <w:next w:val="851"/>
    <w:link w:val="811"/>
    <w:pPr>
      <w:numPr>
        <w:ilvl w:val="1"/>
        <w:numId w:val="1"/>
      </w:numPr>
      <w:keepNext/>
      <w:outlineLvl w:val="1"/>
    </w:pPr>
    <w:rPr>
      <w:b/>
      <w:bCs/>
    </w:rPr>
  </w:style>
  <w:style w:type="paragraph" w:styleId="814">
    <w:name w:val="Заголовок 3"/>
    <w:basedOn w:val="850"/>
    <w:next w:val="851"/>
    <w:link w:val="811"/>
    <w:pPr>
      <w:numPr>
        <w:ilvl w:val="2"/>
        <w:numId w:val="1"/>
      </w:numPr>
      <w:outlineLvl w:val="2"/>
    </w:pPr>
  </w:style>
  <w:style w:type="paragraph" w:styleId="815">
    <w:name w:val="Заголовок 4"/>
    <w:basedOn w:val="811"/>
    <w:next w:val="851"/>
    <w:link w:val="811"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816">
    <w:name w:val="Основной шрифт абзаца"/>
    <w:next w:val="816"/>
    <w:link w:val="811"/>
    <w:semiHidden/>
  </w:style>
  <w:style w:type="table" w:styleId="817">
    <w:name w:val="Обычная таблица"/>
    <w:next w:val="817"/>
    <w:link w:val="811"/>
    <w:semiHidden/>
    <w:tblPr/>
  </w:style>
  <w:style w:type="numbering" w:styleId="818">
    <w:name w:val="Нет списка"/>
    <w:next w:val="818"/>
    <w:link w:val="811"/>
    <w:semiHidden/>
  </w:style>
  <w:style w:type="character" w:styleId="819">
    <w:name w:val="WW8Num1z0"/>
    <w:next w:val="819"/>
    <w:link w:val="811"/>
  </w:style>
  <w:style w:type="character" w:styleId="820">
    <w:name w:val="WW8Num1z1"/>
    <w:next w:val="820"/>
    <w:link w:val="811"/>
  </w:style>
  <w:style w:type="character" w:styleId="821">
    <w:name w:val="WW8Num1z2"/>
    <w:next w:val="821"/>
    <w:link w:val="811"/>
  </w:style>
  <w:style w:type="character" w:styleId="822">
    <w:name w:val="WW8Num1z3"/>
    <w:next w:val="822"/>
    <w:link w:val="811"/>
  </w:style>
  <w:style w:type="character" w:styleId="823">
    <w:name w:val="WW8Num1z4"/>
    <w:next w:val="823"/>
    <w:link w:val="811"/>
  </w:style>
  <w:style w:type="character" w:styleId="824">
    <w:name w:val="WW8Num1z5"/>
    <w:next w:val="824"/>
    <w:link w:val="811"/>
  </w:style>
  <w:style w:type="character" w:styleId="825">
    <w:name w:val="WW8Num1z6"/>
    <w:next w:val="825"/>
    <w:link w:val="811"/>
  </w:style>
  <w:style w:type="character" w:styleId="826">
    <w:name w:val="WW8Num1z7"/>
    <w:next w:val="826"/>
    <w:link w:val="811"/>
  </w:style>
  <w:style w:type="character" w:styleId="827">
    <w:name w:val="WW8Num1z8"/>
    <w:next w:val="827"/>
    <w:link w:val="811"/>
  </w:style>
  <w:style w:type="character" w:styleId="828">
    <w:name w:val="WW8Num2z0"/>
    <w:next w:val="828"/>
    <w:link w:val="811"/>
    <w:rPr>
      <w:rFonts w:eastAsia="Calibri"/>
      <w:lang w:eastAsia="en-US"/>
    </w:rPr>
  </w:style>
  <w:style w:type="character" w:styleId="829">
    <w:name w:val="WW8Num2z1"/>
    <w:next w:val="829"/>
    <w:link w:val="811"/>
  </w:style>
  <w:style w:type="character" w:styleId="830">
    <w:name w:val="WW8Num2z2"/>
    <w:next w:val="830"/>
    <w:link w:val="811"/>
  </w:style>
  <w:style w:type="character" w:styleId="831">
    <w:name w:val="WW8Num2z3"/>
    <w:next w:val="831"/>
    <w:link w:val="811"/>
  </w:style>
  <w:style w:type="character" w:styleId="832">
    <w:name w:val="WW8Num2z4"/>
    <w:next w:val="832"/>
    <w:link w:val="811"/>
  </w:style>
  <w:style w:type="character" w:styleId="833">
    <w:name w:val="WW8Num2z5"/>
    <w:next w:val="833"/>
    <w:link w:val="811"/>
  </w:style>
  <w:style w:type="character" w:styleId="834">
    <w:name w:val="WW8Num2z6"/>
    <w:next w:val="834"/>
    <w:link w:val="811"/>
  </w:style>
  <w:style w:type="character" w:styleId="835">
    <w:name w:val="WW8Num2z7"/>
    <w:next w:val="835"/>
    <w:link w:val="811"/>
  </w:style>
  <w:style w:type="character" w:styleId="836">
    <w:name w:val="WW8Num2z8"/>
    <w:next w:val="836"/>
    <w:link w:val="811"/>
  </w:style>
  <w:style w:type="character" w:styleId="837" w:default="1">
    <w:name w:val="Default Paragraph Font"/>
    <w:next w:val="837"/>
    <w:link w:val="811"/>
  </w:style>
  <w:style w:type="character" w:styleId="838">
    <w:name w:val="Заголовок 4 Знак"/>
    <w:next w:val="838"/>
    <w:link w:val="811"/>
    <w:rPr>
      <w:rFonts w:ascii="Calibri" w:hAnsi="Calibri" w:eastAsia="Times New Roman"/>
      <w:b/>
      <w:bCs/>
      <w:sz w:val="28"/>
      <w:szCs w:val="28"/>
    </w:rPr>
  </w:style>
  <w:style w:type="character" w:styleId="839">
    <w:name w:val="footnote reference"/>
    <w:next w:val="839"/>
    <w:link w:val="811"/>
    <w:rPr>
      <w:vertAlign w:val="superscript"/>
    </w:rPr>
  </w:style>
  <w:style w:type="character" w:styleId="840">
    <w:name w:val="Цветовое выделение"/>
    <w:next w:val="840"/>
    <w:link w:val="811"/>
    <w:rPr>
      <w:b/>
      <w:bCs/>
      <w:color w:val="26282f"/>
    </w:rPr>
  </w:style>
  <w:style w:type="character" w:styleId="841">
    <w:name w:val="Гипертекстовая ссылка"/>
    <w:next w:val="841"/>
    <w:link w:val="811"/>
    <w:rPr>
      <w:b/>
      <w:bCs/>
      <w:color w:val="106bbe"/>
    </w:rPr>
  </w:style>
  <w:style w:type="character" w:styleId="842">
    <w:name w:val="Гиперссылка"/>
    <w:next w:val="842"/>
    <w:link w:val="811"/>
    <w:rPr>
      <w:color w:val="0000ff"/>
      <w:u w:val="single"/>
    </w:rPr>
  </w:style>
  <w:style w:type="character" w:styleId="843">
    <w:name w:val="Подзаголовок Знак"/>
    <w:next w:val="843"/>
    <w:link w:val="811"/>
    <w:rPr>
      <w:b/>
      <w:bCs/>
      <w:sz w:val="28"/>
      <w:szCs w:val="24"/>
    </w:rPr>
  </w:style>
  <w:style w:type="character" w:styleId="844">
    <w:name w:val="Верхний колонтитул Знак"/>
    <w:next w:val="844"/>
    <w:link w:val="811"/>
    <w:rPr>
      <w:sz w:val="24"/>
      <w:szCs w:val="24"/>
    </w:rPr>
  </w:style>
  <w:style w:type="character" w:styleId="845">
    <w:name w:val="Нижний колонтитул Знак"/>
    <w:next w:val="845"/>
    <w:link w:val="811"/>
    <w:rPr>
      <w:sz w:val="24"/>
      <w:szCs w:val="24"/>
    </w:rPr>
  </w:style>
  <w:style w:type="character" w:styleId="846">
    <w:name w:val="ListLabel 1"/>
    <w:next w:val="846"/>
    <w:link w:val="811"/>
    <w:rPr>
      <w:b/>
    </w:rPr>
  </w:style>
  <w:style w:type="character" w:styleId="847">
    <w:name w:val="ListLabel 2"/>
    <w:next w:val="847"/>
    <w:link w:val="811"/>
    <w:rPr>
      <w:sz w:val="24"/>
      <w:szCs w:val="24"/>
    </w:rPr>
  </w:style>
  <w:style w:type="character" w:styleId="848">
    <w:name w:val="ListLabel 3"/>
    <w:next w:val="848"/>
    <w:link w:val="811"/>
  </w:style>
  <w:style w:type="character" w:styleId="849">
    <w:name w:val="ListLabel 4"/>
    <w:next w:val="849"/>
    <w:link w:val="811"/>
    <w:rPr>
      <w:sz w:val="24"/>
    </w:rPr>
  </w:style>
  <w:style w:type="paragraph" w:styleId="850">
    <w:name w:val="Заголовок"/>
    <w:basedOn w:val="811"/>
    <w:next w:val="851"/>
    <w:link w:val="811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851">
    <w:name w:val="Основной текст"/>
    <w:basedOn w:val="811"/>
    <w:next w:val="851"/>
    <w:link w:val="811"/>
    <w:pPr>
      <w:spacing w:before="0" w:after="140" w:line="288" w:lineRule="auto"/>
    </w:pPr>
  </w:style>
  <w:style w:type="paragraph" w:styleId="852">
    <w:name w:val="Список"/>
    <w:basedOn w:val="851"/>
    <w:next w:val="852"/>
    <w:link w:val="811"/>
  </w:style>
  <w:style w:type="paragraph" w:styleId="853">
    <w:name w:val="Название объекта"/>
    <w:basedOn w:val="811"/>
    <w:next w:val="853"/>
    <w:link w:val="811"/>
    <w:pPr>
      <w:spacing w:before="120" w:after="120"/>
      <w:suppressLineNumbers/>
    </w:pPr>
    <w:rPr>
      <w:i/>
      <w:iCs/>
      <w:sz w:val="24"/>
      <w:szCs w:val="24"/>
    </w:rPr>
  </w:style>
  <w:style w:type="paragraph" w:styleId="854">
    <w:name w:val="Указатель1"/>
    <w:basedOn w:val="811"/>
    <w:next w:val="854"/>
    <w:link w:val="811"/>
    <w:pPr>
      <w:suppressLineNumbers/>
    </w:pPr>
  </w:style>
  <w:style w:type="paragraph" w:styleId="855">
    <w:name w:val="Balloon Text"/>
    <w:basedOn w:val="811"/>
    <w:next w:val="855"/>
    <w:link w:val="811"/>
    <w:rPr>
      <w:rFonts w:ascii="Tahoma" w:hAnsi="Tahoma"/>
      <w:sz w:val="16"/>
      <w:szCs w:val="16"/>
    </w:rPr>
  </w:style>
  <w:style w:type="paragraph" w:styleId="856">
    <w:name w:val="ConsPlusTitle"/>
    <w:next w:val="856"/>
    <w:link w:val="811"/>
    <w:pPr>
      <w:widowControl w:val="off"/>
    </w:pPr>
    <w:rPr>
      <w:rFonts w:ascii="Arial" w:hAnsi="Arial"/>
      <w:b/>
      <w:bCs/>
      <w:color w:val="00000a"/>
      <w:sz w:val="16"/>
      <w:szCs w:val="16"/>
      <w:lang w:val="ru-RU" w:eastAsia="ru-RU" w:bidi="ar-SA"/>
    </w:rPr>
  </w:style>
  <w:style w:type="paragraph" w:styleId="857">
    <w:name w:val="ConsPlusNormal"/>
    <w:next w:val="857"/>
    <w:link w:val="811"/>
    <w:pPr>
      <w:ind w:firstLine="720"/>
      <w:widowControl w:val="off"/>
    </w:pPr>
    <w:rPr>
      <w:rFonts w:ascii="Arial" w:hAnsi="Arial"/>
      <w:color w:val="00000a"/>
      <w:sz w:val="24"/>
      <w:lang w:val="ru-RU" w:eastAsia="ru-RU" w:bidi="ar-SA"/>
    </w:rPr>
  </w:style>
  <w:style w:type="paragraph" w:styleId="858">
    <w:name w:val="Основной текст с отступом"/>
    <w:basedOn w:val="811"/>
    <w:next w:val="858"/>
    <w:link w:val="811"/>
    <w:pPr>
      <w:ind w:left="0" w:right="0" w:firstLine="550"/>
      <w:jc w:val="both"/>
    </w:pPr>
    <w:rPr>
      <w:sz w:val="28"/>
      <w:szCs w:val="20"/>
    </w:rPr>
  </w:style>
  <w:style w:type="paragraph" w:styleId="859">
    <w:name w:val="ConsPlusNonformat"/>
    <w:next w:val="859"/>
    <w:link w:val="811"/>
    <w:pPr>
      <w:widowControl w:val="off"/>
    </w:pPr>
    <w:rPr>
      <w:rFonts w:ascii="Courier New" w:hAnsi="Courier New"/>
      <w:color w:val="00000a"/>
      <w:sz w:val="24"/>
      <w:lang w:val="ru-RU" w:eastAsia="ru-RU" w:bidi="ar-SA"/>
    </w:rPr>
  </w:style>
  <w:style w:type="paragraph" w:styleId="860">
    <w:name w:val="Знак"/>
    <w:basedOn w:val="811"/>
    <w:next w:val="860"/>
    <w:link w:val="811"/>
    <w:pPr>
      <w:spacing w:before="0" w:after="160" w:line="240" w:lineRule="exact"/>
    </w:pPr>
    <w:rPr>
      <w:rFonts w:ascii="Verdana" w:hAnsi="Verdana"/>
      <w:lang w:val="en-US" w:eastAsia="en-US"/>
    </w:rPr>
  </w:style>
  <w:style w:type="paragraph" w:styleId="861">
    <w:name w:val="tekstob"/>
    <w:basedOn w:val="811"/>
    <w:next w:val="861"/>
    <w:link w:val="811"/>
    <w:pPr>
      <w:spacing w:before="280" w:after="280"/>
    </w:pPr>
  </w:style>
  <w:style w:type="paragraph" w:styleId="862">
    <w:name w:val="Normal (Web)"/>
    <w:basedOn w:val="811"/>
    <w:next w:val="862"/>
    <w:link w:val="811"/>
    <w:pPr>
      <w:spacing w:before="280" w:after="280"/>
    </w:pPr>
  </w:style>
  <w:style w:type="paragraph" w:styleId="863">
    <w:name w:val="Default"/>
    <w:next w:val="863"/>
    <w:link w:val="811"/>
    <w:rPr>
      <w:color w:val="000000"/>
      <w:sz w:val="24"/>
      <w:szCs w:val="24"/>
      <w:lang w:val="ru-RU" w:eastAsia="ru-RU" w:bidi="ar-SA"/>
    </w:rPr>
  </w:style>
  <w:style w:type="paragraph" w:styleId="864">
    <w:name w:val="Нормальный (таблица)"/>
    <w:basedOn w:val="811"/>
    <w:next w:val="864"/>
    <w:link w:val="811"/>
    <w:pPr>
      <w:jc w:val="both"/>
      <w:widowControl w:val="off"/>
    </w:pPr>
    <w:rPr>
      <w:rFonts w:ascii="Arial" w:hAnsi="Arial"/>
      <w:sz w:val="26"/>
      <w:szCs w:val="26"/>
    </w:rPr>
  </w:style>
  <w:style w:type="paragraph" w:styleId="865">
    <w:name w:val="Прижатый влево"/>
    <w:basedOn w:val="811"/>
    <w:next w:val="865"/>
    <w:link w:val="811"/>
    <w:pPr>
      <w:widowControl w:val="off"/>
    </w:pPr>
    <w:rPr>
      <w:rFonts w:ascii="Arial" w:hAnsi="Arial"/>
      <w:sz w:val="26"/>
      <w:szCs w:val="26"/>
    </w:rPr>
  </w:style>
  <w:style w:type="paragraph" w:styleId="866">
    <w:name w:val="Абзац списка1"/>
    <w:basedOn w:val="811"/>
    <w:next w:val="866"/>
    <w:link w:val="811"/>
    <w:pPr>
      <w:contextualSpacing/>
      <w:ind w:left="720" w:right="0" w:firstLine="0"/>
      <w:spacing w:before="0"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67">
    <w:name w:val="List Paragraph"/>
    <w:basedOn w:val="811"/>
    <w:next w:val="867"/>
    <w:link w:val="811"/>
    <w:pPr>
      <w:contextualSpacing/>
      <w:ind w:left="720" w:right="0" w:firstLine="0"/>
      <w:spacing w:before="0" w:after="0"/>
    </w:pPr>
    <w:rPr>
      <w:lang w:eastAsia="ar-SA"/>
    </w:rPr>
  </w:style>
  <w:style w:type="paragraph" w:styleId="868">
    <w:name w:val="No Spacing"/>
    <w:next w:val="868"/>
    <w:link w:val="811"/>
    <w:rPr>
      <w:rFonts w:ascii="Calibri" w:hAnsi="Calibri" w:eastAsia="Calibri"/>
      <w:color w:val="00000a"/>
      <w:sz w:val="22"/>
      <w:szCs w:val="22"/>
      <w:lang w:val="ru-RU" w:eastAsia="en-US" w:bidi="ar-SA"/>
    </w:rPr>
  </w:style>
  <w:style w:type="paragraph" w:styleId="869">
    <w:name w:val="Название объекта2"/>
    <w:basedOn w:val="811"/>
    <w:next w:val="869"/>
    <w:link w:val="811"/>
    <w:pPr>
      <w:jc w:val="center"/>
    </w:pPr>
    <w:rPr>
      <w:sz w:val="28"/>
      <w:szCs w:val="20"/>
      <w:lang w:eastAsia="ar-SA"/>
    </w:rPr>
  </w:style>
  <w:style w:type="paragraph" w:styleId="870">
    <w:name w:val="Абзац списка2"/>
    <w:basedOn w:val="811"/>
    <w:next w:val="870"/>
    <w:link w:val="811"/>
    <w:pPr>
      <w:contextualSpacing/>
      <w:ind w:left="720" w:right="0" w:firstLine="0"/>
      <w:spacing w:before="0"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71">
    <w:name w:val="Подзаголовок"/>
    <w:basedOn w:val="811"/>
    <w:next w:val="851"/>
    <w:link w:val="811"/>
    <w:pPr>
      <w:jc w:val="center"/>
    </w:pPr>
    <w:rPr>
      <w:b/>
      <w:bCs/>
      <w:sz w:val="28"/>
    </w:rPr>
  </w:style>
  <w:style w:type="paragraph" w:styleId="872">
    <w:name w:val="parametervalue"/>
    <w:basedOn w:val="811"/>
    <w:next w:val="872"/>
    <w:link w:val="811"/>
    <w:pPr>
      <w:spacing w:before="280" w:after="280"/>
    </w:pPr>
    <w:rPr>
      <w:lang w:eastAsia="zh-CN"/>
    </w:rPr>
  </w:style>
  <w:style w:type="paragraph" w:styleId="873">
    <w:name w:val="Верхний колонтитул"/>
    <w:basedOn w:val="811"/>
    <w:next w:val="873"/>
    <w:link w:val="811"/>
    <w:pPr>
      <w:tabs>
        <w:tab w:val="center" w:pos="4677" w:leader="none"/>
        <w:tab w:val="right" w:pos="9355" w:leader="none"/>
      </w:tabs>
    </w:pPr>
  </w:style>
  <w:style w:type="paragraph" w:styleId="874">
    <w:name w:val="Нижний колонтитул"/>
    <w:basedOn w:val="811"/>
    <w:next w:val="874"/>
    <w:link w:val="811"/>
    <w:pPr>
      <w:tabs>
        <w:tab w:val="center" w:pos="4677" w:leader="none"/>
        <w:tab w:val="right" w:pos="9355" w:leader="none"/>
      </w:tabs>
    </w:pPr>
  </w:style>
  <w:style w:type="paragraph" w:styleId="875">
    <w:name w:val="Блочная цитата"/>
    <w:basedOn w:val="811"/>
    <w:next w:val="875"/>
    <w:link w:val="811"/>
  </w:style>
  <w:style w:type="paragraph" w:styleId="876">
    <w:name w:val="Название"/>
    <w:basedOn w:val="850"/>
    <w:next w:val="851"/>
    <w:link w:val="811"/>
  </w:style>
  <w:style w:type="paragraph" w:styleId="877">
    <w:name w:val="Содержимое таблицы"/>
    <w:basedOn w:val="811"/>
    <w:next w:val="877"/>
    <w:link w:val="811"/>
    <w:pPr>
      <w:suppressLineNumbers/>
    </w:pPr>
  </w:style>
  <w:style w:type="paragraph" w:styleId="878">
    <w:name w:val="Заголовок таблицы"/>
    <w:basedOn w:val="877"/>
    <w:next w:val="878"/>
    <w:link w:val="811"/>
    <w:pPr>
      <w:jc w:val="center"/>
      <w:suppressLineNumbers/>
    </w:pPr>
    <w:rPr>
      <w:b/>
      <w:bCs/>
    </w:rPr>
  </w:style>
  <w:style w:type="paragraph" w:styleId="879">
    <w:name w:val="Содержимое списка"/>
    <w:basedOn w:val="811"/>
    <w:next w:val="879"/>
    <w:link w:val="811"/>
    <w:pPr>
      <w:ind w:left="567" w:right="0" w:firstLine="0"/>
    </w:pPr>
  </w:style>
  <w:style w:type="paragraph" w:styleId="880">
    <w:name w:val="Заголовок списка"/>
    <w:basedOn w:val="811"/>
    <w:next w:val="879"/>
    <w:link w:val="811"/>
    <w:pPr>
      <w:ind w:left="0" w:right="0" w:firstLine="0"/>
    </w:pPr>
  </w:style>
  <w:style w:type="character" w:styleId="881">
    <w:name w:val="Интернет-ссылка"/>
    <w:next w:val="881"/>
    <w:link w:val="811"/>
    <w:rPr>
      <w:color w:val="0000ff"/>
      <w:u w:val="single"/>
    </w:rPr>
  </w:style>
  <w:style w:type="paragraph" w:styleId="882">
    <w:name w:val="Абзац списка"/>
    <w:basedOn w:val="811"/>
    <w:next w:val="882"/>
    <w:link w:val="811"/>
    <w:pPr>
      <w:contextualSpacing/>
      <w:ind w:left="720"/>
    </w:pPr>
    <w:rPr>
      <w:lang w:eastAsia="ar-SA"/>
    </w:rPr>
  </w:style>
  <w:style w:type="paragraph" w:styleId="883">
    <w:name w:val="Без интервала"/>
    <w:next w:val="883"/>
    <w:link w:val="811"/>
    <w:rPr>
      <w:rFonts w:ascii="Calibri" w:hAnsi="Calibri" w:eastAsia="Calibri"/>
      <w:color w:val="00000a"/>
      <w:sz w:val="22"/>
      <w:szCs w:val="22"/>
      <w:lang w:val="ru-RU" w:eastAsia="en-US" w:bidi="ar-SA"/>
    </w:rPr>
  </w:style>
  <w:style w:type="numbering" w:styleId="884" w:default="1">
    <w:name w:val="No List"/>
    <w:uiPriority w:val="99"/>
    <w:semiHidden/>
    <w:unhideWhenUsed/>
  </w:style>
  <w:style w:type="table" w:styleId="88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2023-09-14T07:51:33Z</dcterms:modified>
</cp:coreProperties>
</file>