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Информация к отчету об итогах реализации Муниципальной программы муниципального образования «Город Калуга» «Укрепление общественного здоровья»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за второй квартал 2023 года   </w:t>
      </w: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Муниципальная программа муниципального образования «Город Калуга» «Укрепление общественного здоровья» (далее – Программа) разработана в соответствии с Постановлением Городской Управы города Калуги от 09.03.2022 № 100-п.</w:t>
      </w:r>
    </w:p>
    <w:p>
      <w:pPr>
        <w:pStyle w:val="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Контроль за исполнением мероприятий в рамках Программы, утвержденной постановлением Городской Управы города Калуги от 09.03.2022 № 100-п, возложен на управление делами Городского Головы. </w:t>
      </w:r>
    </w:p>
    <w:p>
      <w:pPr>
        <w:pStyle w:val="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Ответственными исполнителями (участниками) программы являются: МБУ «Редакция газеты «Калужская неделя» и ГБУЗ КО «Калужский областной Центр общественного здоровья и медицинской профилактики» (редакция размещает тематические материалы, представленные Центром).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szCs w:val="24"/>
        </w:rPr>
        <w:t>Важным направлением работы в рамках Программы является формирование системы мотивации граждан, в том числе детей, к здоровому образу жизни, включая здоровое питание и отказ от вредных привычек.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Предложенные в Муниципальной программе меры носят не только социально-экономический характер, но и учитывают психолого-педагогические и медицинские аспекты данной проблемы.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szCs w:val="24"/>
        </w:rPr>
        <w:t>Основной целью реализации Программы является увеличение охвата населения профилактическими мероприятиями, направленными на снижение распространенности неинфекционных и инфекционных заболеваний, а также формирование условий, стимулирующих граждан к ведению здорового образа жизни.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 ключевым задачам в рамках исполнения Программы относятся: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szCs w:val="24"/>
        </w:rPr>
        <w:t>Организация, развитие и пропаганда донорства крови и ее компонентов;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szCs w:val="24"/>
        </w:rPr>
        <w:t>Санитарно-гигиеническое просвещение населения;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Информирование населения муниципального образования, в том числе через средства массовой информации, о возможности распространения социально значимых заболеваний и заболеваний, представляющих опасность для окружающих, на территории муниципального образования, осуществляемое на основе ежегодных статистических данных, а также информирование об угрозе возникновения и о возникновении эпидемий в соответствии с законом субъекта Российской Федерации;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Информирование населения о масштабах потребления табака или потребления никотинсодержащей продукции на территории муниципального образования «Город Калуга», о реализуемых и (или) планируемых мероприятиях по сокращению их потребления, в том числе на основании мониторинга и оценки эффективности реализации мероприятий, направленных на предотвращение воздействия окружающего табачного дыма, веществ, выделяемых при потреблении никотинсодержащей продукции, сокращение потребления табака или потребления никотинсодержащей продукции. </w:t>
      </w:r>
    </w:p>
    <w:p>
      <w:pPr>
        <w:pStyle w:val="ListParagraph"/>
        <w:numPr>
          <w:ilvl w:val="0"/>
          <w:numId w:val="0"/>
        </w:numPr>
        <w:ind w:left="720" w:hanging="0"/>
        <w:jc w:val="both"/>
        <w:rPr/>
      </w:pPr>
      <w:r>
        <w:rPr>
          <w:rFonts w:ascii="Times New Roman" w:hAnsi="Times New Roman"/>
          <w:sz w:val="24"/>
          <w:szCs w:val="24"/>
        </w:rPr>
        <w:tab/>
      </w:r>
    </w:p>
    <w:p>
      <w:pPr>
        <w:pStyle w:val="ListParagraph"/>
        <w:numPr>
          <w:ilvl w:val="0"/>
          <w:numId w:val="0"/>
        </w:numPr>
        <w:ind w:hanging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Таким образом,  на основной программной площадке - в печатных выпусках газеты «Калужская неделя» - во втором квартале 2023 года было представлено информационных материалов (размером не меньше одной полосы печатного текста формата А3) </w:t>
      </w:r>
      <w:r>
        <w:rPr>
          <w:rFonts w:ascii="Times New Roman" w:hAnsi="Times New Roman"/>
          <w:b/>
          <w:bCs/>
          <w:sz w:val="24"/>
          <w:szCs w:val="24"/>
        </w:rPr>
        <w:t xml:space="preserve">более 30. </w:t>
      </w:r>
    </w:p>
    <w:p>
      <w:pPr>
        <w:pStyle w:val="ListParagraph"/>
        <w:numPr>
          <w:ilvl w:val="0"/>
          <w:numId w:val="0"/>
        </w:numPr>
        <w:ind w:hanging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Представляем список печатных номеров и опубликованных в них материалов  (в апреле-июне 2023 года), ознакомиться с которыми можно в том числе и в электронной версии на сайте газеты </w:t>
      </w:r>
      <w:hyperlink r:id="rId2">
        <w:r>
          <w:rPr>
            <w:rStyle w:val="Style14"/>
            <w:rFonts w:ascii="Times New Roman" w:hAnsi="Times New Roman"/>
            <w:sz w:val="24"/>
            <w:szCs w:val="24"/>
          </w:rPr>
          <w:t>https://nedelya40.ru/</w:t>
        </w:r>
      </w:hyperlink>
      <w:r>
        <w:rPr>
          <w:rFonts w:ascii="Times New Roman" w:hAnsi="Times New Roman"/>
          <w:sz w:val="24"/>
          <w:szCs w:val="24"/>
        </w:rPr>
        <w:t xml:space="preserve"> в разделе «Номера».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№</w:t>
      </w:r>
      <w:r>
        <w:rPr>
          <w:rFonts w:ascii="Times New Roman" w:hAnsi="Times New Roman"/>
          <w:b/>
          <w:bCs/>
          <w:sz w:val="24"/>
          <w:szCs w:val="24"/>
        </w:rPr>
        <w:t>13 от 6 апреля 2023 года - Пост – это не диета, стр 28.</w:t>
      </w:r>
    </w:p>
    <w:p>
      <w:pPr>
        <w:pStyle w:val="Normal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№</w:t>
      </w:r>
      <w:r>
        <w:rPr>
          <w:rFonts w:ascii="Times New Roman" w:hAnsi="Times New Roman"/>
          <w:b/>
          <w:bCs/>
          <w:sz w:val="24"/>
          <w:szCs w:val="24"/>
        </w:rPr>
        <w:t xml:space="preserve">14 от 13 апреля 2023 года - Опасный звоночек; </w:t>
      </w:r>
    </w:p>
    <w:p>
      <w:pPr>
        <w:pStyle w:val="Normal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Защитить ребёнка от клещей;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Какая еда может стать причиной отёков, стр 28.</w:t>
      </w:r>
    </w:p>
    <w:p>
      <w:pPr>
        <w:pStyle w:val="Normal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№</w:t>
      </w:r>
      <w:r>
        <w:rPr>
          <w:rFonts w:ascii="Times New Roman" w:hAnsi="Times New Roman"/>
          <w:b/>
          <w:bCs/>
          <w:sz w:val="24"/>
          <w:szCs w:val="24"/>
        </w:rPr>
        <w:t xml:space="preserve">15 от 20 апреля 2023 года - Начать закаляться лучше весной;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Превентивные меры и гигиена при вирусных заболеваниях, стр. 2.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</w:rPr>
        <w:t>16 от 27 апреля 2023 года - Правила питания для профилактики инсульта, стр.29;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ЗОЖ. Всё решение — в талии, стр.28.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</w:rPr>
        <w:t xml:space="preserve">17 от 4 мая 2023 года  — Без риска для здоровья, стр.29;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Боли в ногах начинаются со стоп, стр.28;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Профилактика гриппа (памятка), стр.28.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</w:rPr>
        <w:t xml:space="preserve">18 от 11 мая 2023 года  — Не упусти момент, стр.29;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Осторожно, клещи! Стр.28;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Чем мы дышим или как улучшить качество воздуха в доме, стр.28.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</w:rPr>
        <w:t xml:space="preserve">19 от 18 мая 2023 года  — Курильщики по принуждению, стр.29;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Коварный враг, стр.28;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В позе дачника, стр.28;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Чтобы мусор не поглотил нас, стр.28.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</w:rPr>
        <w:t xml:space="preserve">20 от 25 мая 2023 года  — Как защититься от дифтерии, стр.29;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Осторожно с гипертонией, стр.28;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Обойдёмся без ОРВИ, стр.28;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Что будет если не вызвать специалиста вовремя, стр.28.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</w:rPr>
        <w:t xml:space="preserve">21 от 1 июня 2023 года  — Без вреда для здоровья, стр.29;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Что такое магнитная буря и как её пережить, стр.29;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Действенные способы профилактики гипертонии, стр.28.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</w:rPr>
        <w:t xml:space="preserve">22 от 8 июня 2023  года — Чем опасно лето, стр.29;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Река жизни, стр.28.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</w:rPr>
        <w:t xml:space="preserve">23 от 15 июня 2023 — Как победить стресс, стр.29;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Уровень глюкозы и сахарный диабет, стр.29;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Коварное лето, стр.28.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</w:rPr>
        <w:t xml:space="preserve">24 от 22 июня 2023 года — Держи равновесие, стр.28;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И комарик вылетает … , стр.28.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</w:rPr>
        <w:t xml:space="preserve">25 от 29 июня 2023 года — Чем заменить соль без потери вкуса, стр.29;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Доктор среди ягод, стр.29;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Путь в никуда, стр.28.</w:t>
      </w:r>
    </w:p>
    <w:p>
      <w:pPr>
        <w:pStyle w:val="Normal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Стоит также отметить, что материалы, представленные в печатных номерах, размещаются (распределяются) и на интернет-ресурсах газеты, что увеличивает количество распространяемой информации минимум в два раза.  </w:t>
      </w:r>
    </w:p>
    <w:p>
      <w:pPr>
        <w:pStyle w:val="ListParagraph"/>
        <w:numPr>
          <w:ilvl w:val="0"/>
          <w:numId w:val="0"/>
        </w:numPr>
        <w:ind w:hanging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Также сотрудники редакции периодически  размещают программные материалы на интернет-ресурсах Городской Управы (на официальном сайте и на страницах Городской Управы в социальных сетях «ВКонтакте», «Одноклассники» и в мессенджере Телеграм), что также повышает эффективность программных мероприятий. </w:t>
      </w:r>
    </w:p>
    <w:p>
      <w:pPr>
        <w:pStyle w:val="ListParagraph"/>
        <w:numPr>
          <w:ilvl w:val="0"/>
          <w:numId w:val="0"/>
        </w:numPr>
        <w:ind w:left="720" w:hanging="0"/>
        <w:jc w:val="both"/>
        <w:rPr>
          <w:rFonts w:cs="Times New Roman"/>
          <w:b w:val="false"/>
          <w:b w:val="false"/>
          <w:bCs w:val="false"/>
        </w:rPr>
      </w:pPr>
      <w:r>
        <w:rPr>
          <w:rFonts w:cs="Times New Roman"/>
          <w:b w:val="false"/>
          <w:bCs w:val="false"/>
        </w:rPr>
      </w:r>
    </w:p>
    <w:p>
      <w:pPr>
        <w:pStyle w:val="Style16"/>
        <w:tabs>
          <w:tab w:val="left" w:pos="707" w:leader="none"/>
        </w:tabs>
        <w:spacing w:before="0" w:after="140"/>
        <w:ind w:left="707" w:right="0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16"/>
        <w:tabs>
          <w:tab w:val="left" w:pos="707" w:leader="none"/>
        </w:tabs>
        <w:spacing w:before="0" w:after="140"/>
        <w:ind w:left="707" w:right="0" w:hanging="283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200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0056f6"/>
    <w:rPr>
      <w:color w:val="0000FF" w:themeColor="hyperlink"/>
      <w:u w:val="single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ascii="Times New Roman" w:hAnsi="Times New Roman" w:cs="Times New Roman"/>
      <w:sz w:val="24"/>
      <w:szCs w:val="24"/>
    </w:rPr>
  </w:style>
  <w:style w:type="character" w:styleId="ListLabel5">
    <w:name w:val="ListLabel 5"/>
    <w:qFormat/>
    <w:rPr>
      <w:rFonts w:ascii="Times New Roman" w:hAnsi="Times New Roman" w:cs="Symbol"/>
      <w:sz w:val="24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Wingdings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Wingdings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ascii="Times New Roman" w:hAnsi="Times New Roman" w:cs="Times New Roman"/>
      <w:sz w:val="24"/>
      <w:szCs w:val="24"/>
    </w:rPr>
  </w:style>
  <w:style w:type="character" w:styleId="ListLabel15">
    <w:name w:val="ListLabel 15"/>
    <w:qFormat/>
    <w:rPr>
      <w:rFonts w:ascii="Times New Roman" w:hAnsi="Times New Roman" w:cs="Symbol"/>
      <w:sz w:val="24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Wingdings"/>
    </w:rPr>
  </w:style>
  <w:style w:type="character" w:styleId="ListLabel18">
    <w:name w:val="ListLabel 18"/>
    <w:qFormat/>
    <w:rPr>
      <w:rFonts w:cs="Symbol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Wingdings"/>
    </w:rPr>
  </w:style>
  <w:style w:type="character" w:styleId="ListLabel21">
    <w:name w:val="ListLabel 21"/>
    <w:qFormat/>
    <w:rPr>
      <w:rFonts w:cs="Symbol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Wingdings"/>
    </w:rPr>
  </w:style>
  <w:style w:type="character" w:styleId="ListLabel24">
    <w:name w:val="ListLabel 24"/>
    <w:qFormat/>
    <w:rPr>
      <w:rFonts w:ascii="Times New Roman" w:hAnsi="Times New Roman" w:cs="Times New Roman"/>
      <w:sz w:val="24"/>
      <w:szCs w:val="24"/>
    </w:rPr>
  </w:style>
  <w:style w:type="character" w:styleId="ListLabel25">
    <w:name w:val="ListLabel 25"/>
    <w:qFormat/>
    <w:rPr>
      <w:rFonts w:ascii="Times New Roman" w:hAnsi="Times New Roman" w:cs="Symbol"/>
      <w:sz w:val="24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cs="Symbol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ascii="Times New Roman" w:hAnsi="Times New Roman" w:cs="Times New Roman"/>
      <w:sz w:val="24"/>
      <w:szCs w:val="24"/>
    </w:rPr>
  </w:style>
  <w:style w:type="character" w:styleId="WW8Num5z0">
    <w:name w:val="WW8Num5z0"/>
    <w:qFormat/>
    <w:rPr>
      <w:rFonts w:ascii="Symbol" w:hAnsi="Symbol" w:cs="OpenSymbol;Arial Unicode MS"/>
    </w:rPr>
  </w:style>
  <w:style w:type="character" w:styleId="ListLabel35">
    <w:name w:val="ListLabel 35"/>
    <w:qFormat/>
    <w:rPr>
      <w:rFonts w:ascii="Times New Roman" w:hAnsi="Times New Roman" w:cs="Symbol"/>
      <w:sz w:val="24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Wingdings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Wingdings"/>
    </w:rPr>
  </w:style>
  <w:style w:type="character" w:styleId="ListLabel44">
    <w:name w:val="ListLabel 44"/>
    <w:qFormat/>
    <w:rPr>
      <w:rFonts w:ascii="Times New Roman" w:hAnsi="Times New Roman" w:cs="Symbol"/>
      <w:sz w:val="24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Wingdings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ascii="Times New Roman" w:hAnsi="Times New Roman"/>
      <w:sz w:val="24"/>
      <w:szCs w:val="24"/>
    </w:rPr>
  </w:style>
  <w:style w:type="character" w:styleId="ListLabel54">
    <w:name w:val="ListLabel 54"/>
    <w:qFormat/>
    <w:rPr>
      <w:rFonts w:ascii="Times New Roman" w:hAnsi="Times New Roman" w:cs="Symbol"/>
      <w:sz w:val="24"/>
    </w:rPr>
  </w:style>
  <w:style w:type="character" w:styleId="ListLabel55">
    <w:name w:val="ListLabel 55"/>
    <w:qFormat/>
    <w:rPr>
      <w:rFonts w:cs="Courier New"/>
    </w:rPr>
  </w:style>
  <w:style w:type="character" w:styleId="ListLabel56">
    <w:name w:val="ListLabel 56"/>
    <w:qFormat/>
    <w:rPr>
      <w:rFonts w:cs="Wingdings"/>
    </w:rPr>
  </w:style>
  <w:style w:type="character" w:styleId="ListLabel57">
    <w:name w:val="ListLabel 57"/>
    <w:qFormat/>
    <w:rPr>
      <w:rFonts w:cs="Symbol"/>
    </w:rPr>
  </w:style>
  <w:style w:type="character" w:styleId="ListLabel58">
    <w:name w:val="ListLabel 58"/>
    <w:qFormat/>
    <w:rPr>
      <w:rFonts w:cs="Courier New"/>
    </w:rPr>
  </w:style>
  <w:style w:type="character" w:styleId="ListLabel59">
    <w:name w:val="ListLabel 59"/>
    <w:qFormat/>
    <w:rPr>
      <w:rFonts w:cs="Wingdings"/>
    </w:rPr>
  </w:style>
  <w:style w:type="character" w:styleId="ListLabel60">
    <w:name w:val="ListLabel 60"/>
    <w:qFormat/>
    <w:rPr>
      <w:rFonts w:cs="Symbol"/>
    </w:rPr>
  </w:style>
  <w:style w:type="character" w:styleId="ListLabel61">
    <w:name w:val="ListLabel 61"/>
    <w:qFormat/>
    <w:rPr>
      <w:rFonts w:cs="Courier New"/>
    </w:rPr>
  </w:style>
  <w:style w:type="character" w:styleId="ListLabel62">
    <w:name w:val="ListLabel 62"/>
    <w:qFormat/>
    <w:rPr>
      <w:rFonts w:cs="Wingdings"/>
    </w:rPr>
  </w:style>
  <w:style w:type="character" w:styleId="ListLabel63">
    <w:name w:val="ListLabel 63"/>
    <w:qFormat/>
    <w:rPr>
      <w:rFonts w:ascii="Times New Roman" w:hAnsi="Times New Roman"/>
      <w:sz w:val="24"/>
      <w:szCs w:val="24"/>
    </w:rPr>
  </w:style>
  <w:style w:type="character" w:styleId="ListLabel64">
    <w:name w:val="ListLabel 64"/>
    <w:qFormat/>
    <w:rPr>
      <w:rFonts w:ascii="Times New Roman" w:hAnsi="Times New Roman" w:cs="Symbol"/>
      <w:sz w:val="24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ascii="Times New Roman" w:hAnsi="Times New Roman"/>
      <w:sz w:val="24"/>
      <w:szCs w:val="24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f21c6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056f6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nedelya40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Application>LibreOffice/6.0.4.2$Windows_X86_64 LibreOffice_project/9b0d9b32d5dcda91d2f1a96dc04c645c450872bf</Application>
  <Pages>3</Pages>
  <Words>694</Words>
  <Characters>4493</Characters>
  <CharactersWithSpaces>5201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2022-07-20T13:33:00Z</dcterms:created>
  <dc:creator>Buh_Alenina_Kn40</dc:creator>
  <dc:description/>
  <dc:language>ru-RU</dc:language>
  <cp:lastModifiedBy/>
  <dcterms:modified xsi:type="dcterms:W3CDTF">2023-07-19T19:44:09Z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