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32.xml" ContentType="application/vnd.openxmlformats-officedocument.wordprocessingml.header+xml"/>
  <Override PartName="/word/numbering.xml" ContentType="application/vnd.openxmlformats-officedocument.wordprocessingml.numbering+xml"/>
  <Override PartName="/word/footer4.xml" ContentType="application/vnd.openxmlformats-officedocument.wordprocessingml.footer+xml"/>
  <Override PartName="/word/footer5.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33.xml" ContentType="application/vnd.openxmlformats-officedocument.wordprocessingml.header+xml"/>
  <Override PartName="/word/header12.xml" ContentType="application/vnd.openxmlformats-officedocument.wordprocessingml.header+xml"/>
  <Override PartName="/word/header34.xml" ContentType="application/vnd.openxmlformats-officedocument.wordprocessingml.header+xml"/>
  <Override PartName="/word/footer6.xml" ContentType="application/vnd.openxmlformats-officedocument.wordprocessingml.footer+xml"/>
  <Override PartName="/word/footer11.xml" ContentType="application/vnd.openxmlformats-officedocument.wordprocessingml.footer+xml"/>
  <Override PartName="/word/footer7.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13.xml" ContentType="application/vnd.openxmlformats-officedocument.wordprocessingml.footer+xml"/>
  <Override PartName="/word/footer9.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3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201"/>
        <w:ind w:hanging="0" w:left="5955"/>
        <w:jc w:val="both"/>
        <w:rPr>
          <w:b w:val="false"/>
          <w:bCs w:val="false"/>
          <w:color w:themeColor="text1" w:val="000000"/>
          <w:sz w:val="24"/>
          <w:szCs w:val="24"/>
        </w:rPr>
      </w:pPr>
      <w:r>
        <w:rPr>
          <w:b w:val="false"/>
          <w:bCs w:val="false"/>
          <w:color w:themeColor="text1" w:val="000000"/>
          <w:sz w:val="24"/>
          <w:szCs w:val="24"/>
        </w:rPr>
        <w:t>Приложение 6 к положению</w:t>
      </w:r>
    </w:p>
    <w:p>
      <w:pPr>
        <w:pStyle w:val="201"/>
        <w:ind w:hanging="0" w:left="5955"/>
        <w:jc w:val="both"/>
        <w:rPr>
          <w:b w:val="false"/>
          <w:bCs w:val="false"/>
          <w:color w:themeColor="text1" w:val="000000"/>
          <w:sz w:val="24"/>
          <w:szCs w:val="24"/>
        </w:rPr>
      </w:pPr>
      <w:r>
        <w:rPr>
          <w:b w:val="false"/>
          <w:bCs w:val="false"/>
          <w:color w:themeColor="text1" w:val="000000"/>
          <w:sz w:val="24"/>
          <w:szCs w:val="24"/>
        </w:rPr>
        <w:t>о территориальном планировании</w:t>
      </w:r>
    </w:p>
    <w:p>
      <w:pPr>
        <w:pStyle w:val="201"/>
        <w:jc w:val="right"/>
        <w:rPr>
          <w:color w:themeColor="text1" w:val="000000"/>
          <w:sz w:val="24"/>
          <w:szCs w:val="24"/>
        </w:rPr>
      </w:pPr>
      <w:r>
        <w:rPr>
          <w:color w:themeColor="text1" w:val="000000"/>
          <w:sz w:val="24"/>
          <w:szCs w:val="24"/>
        </w:rPr>
      </w:r>
    </w:p>
    <w:p>
      <w:pPr>
        <w:pStyle w:val="201"/>
        <w:jc w:val="right"/>
        <w:rPr>
          <w:color w:themeColor="text1" w:val="000000"/>
          <w:sz w:val="24"/>
          <w:szCs w:val="24"/>
        </w:rPr>
      </w:pPr>
      <w:r>
        <w:rPr>
          <w:color w:themeColor="text1" w:val="000000"/>
          <w:sz w:val="24"/>
          <w:szCs w:val="24"/>
        </w:rPr>
      </w:r>
    </w:p>
    <w:p>
      <w:pPr>
        <w:pStyle w:val="201"/>
        <w:rPr>
          <w:color w:themeColor="text1" w:val="000000"/>
          <w:sz w:val="24"/>
          <w:szCs w:val="24"/>
        </w:rPr>
      </w:pPr>
      <w:r>
        <w:rPr>
          <w:color w:themeColor="text1" w:val="000000"/>
          <w:sz w:val="24"/>
          <w:szCs w:val="24"/>
        </w:rPr>
        <w:t>МАТЕРИАЛЫ ПО ОБОСНОВАНИЮ</w:t>
      </w:r>
    </w:p>
    <w:p>
      <w:pPr>
        <w:pStyle w:val="201"/>
        <w:rPr>
          <w:color w:themeColor="text1" w:val="000000"/>
          <w:sz w:val="24"/>
          <w:szCs w:val="24"/>
        </w:rPr>
      </w:pPr>
      <w:r>
        <w:rPr>
          <w:color w:themeColor="text1" w:val="000000"/>
          <w:sz w:val="24"/>
          <w:szCs w:val="24"/>
        </w:rPr>
      </w:r>
    </w:p>
    <w:p>
      <w:pPr>
        <w:pStyle w:val="181"/>
        <w:rPr>
          <w:b/>
          <w:bCs/>
          <w:color w:themeColor="text1" w:val="000000"/>
          <w:sz w:val="24"/>
          <w:szCs w:val="24"/>
        </w:rPr>
      </w:pPr>
      <w:bookmarkStart w:id="0" w:name="_Toc217312426"/>
      <w:r>
        <w:rPr>
          <w:b/>
          <w:bCs/>
          <w:color w:themeColor="text1" w:val="000000"/>
          <w:sz w:val="24"/>
          <w:szCs w:val="24"/>
        </w:rPr>
        <w:t>АНАЛИЗ СОВРЕМЕННОГО СОСТОЯНИЯ ТЕРРИТОРИИ, ВОЗМОЖНЫХ НАПРАВЛЕНИЙ РАЗВИТИЯ И ПРОГНОЗИРУЕМЫХ ОГРАНИЧЕНИЙ ЕЕ ИСПОЛЬЗОВАНИЯ (КОМПЛЕКСНЫЙ ГРАДОСТРОИТЕЛЬНЫЙ АНАЛИЗ)</w:t>
      </w:r>
      <w:bookmarkEnd w:id="0"/>
    </w:p>
    <w:p>
      <w:pPr>
        <w:pStyle w:val="Heading2"/>
        <w:numPr>
          <w:ilvl w:val="1"/>
          <w:numId w:val="2"/>
        </w:numPr>
        <w:spacing w:before="0" w:after="0"/>
        <w:ind w:firstLine="709" w:left="0"/>
        <w:rPr>
          <w:sz w:val="24"/>
          <w:szCs w:val="24"/>
        </w:rPr>
      </w:pPr>
      <w:bookmarkStart w:id="1" w:name="_Toc217312427"/>
      <w:r>
        <w:rPr>
          <w:rFonts w:cs="Symbol"/>
          <w:color w:themeColor="text1" w:val="000000"/>
          <w:sz w:val="24"/>
          <w:szCs w:val="24"/>
        </w:rPr>
        <w:t>1. Основные сведения о территории. Краткая историческая справка. Этапы градостроительного развития</w:t>
      </w:r>
      <w:bookmarkEnd w:id="1"/>
    </w:p>
    <w:p>
      <w:pPr>
        <w:pStyle w:val="Heading3"/>
        <w:numPr>
          <w:ilvl w:val="2"/>
          <w:numId w:val="2"/>
        </w:numPr>
        <w:spacing w:before="100" w:after="100"/>
        <w:ind w:firstLine="709" w:left="0"/>
        <w:rPr>
          <w:sz w:val="24"/>
          <w:szCs w:val="24"/>
        </w:rPr>
      </w:pPr>
      <w:bookmarkStart w:id="2" w:name="_Toc217312428"/>
      <w:r>
        <w:rPr>
          <w:rFonts w:eastAsia="Symbol" w:cs="Symbol"/>
          <w:color w:themeColor="text1" w:val="000000"/>
          <w:sz w:val="24"/>
          <w:szCs w:val="24"/>
        </w:rPr>
        <w:t>1.1. Основные сведения о территории</w:t>
      </w:r>
      <w:bookmarkEnd w:id="2"/>
    </w:p>
    <w:p>
      <w:pPr>
        <w:pStyle w:val="Normal"/>
        <w:ind w:firstLine="709"/>
        <w:jc w:val="both"/>
        <w:rPr>
          <w:color w:themeColor="text1" w:val="000000"/>
        </w:rPr>
      </w:pPr>
      <w:r>
        <w:rPr>
          <w:color w:themeColor="text1" w:val="000000"/>
        </w:rPr>
        <w:t>Калуга является административным центром Калужской области. Статус Калуги как административного центра Калужской области установлен Законом Калужской области от 06.12.2001 № 85-ОЗ «О статусе города Калуги как административного центра Калужской области».</w:t>
      </w:r>
    </w:p>
    <w:p>
      <w:pPr>
        <w:pStyle w:val="Normal"/>
        <w:ind w:firstLine="709"/>
        <w:jc w:val="both"/>
        <w:rPr>
          <w:color w:themeColor="text1" w:val="000000"/>
        </w:rPr>
      </w:pPr>
      <w:r>
        <w:rPr>
          <w:color w:themeColor="text1" w:val="000000"/>
        </w:rPr>
        <w:t>Калуга и Калужская область входят в состав Центрального федерального округа, а также Центрального экономического района.</w:t>
      </w:r>
    </w:p>
    <w:p>
      <w:pPr>
        <w:pStyle w:val="Normal"/>
        <w:ind w:firstLine="709"/>
        <w:jc w:val="both"/>
        <w:rPr>
          <w:color w:themeColor="text1" w:val="000000"/>
        </w:rPr>
      </w:pPr>
      <w:r>
        <w:rPr>
          <w:color w:themeColor="text1" w:val="000000"/>
        </w:rPr>
        <w:t>Городской округ город Калуга Калужской области наделен статусом городского округа в соответствии с Законом Калужской области от 28.12.2004 № 7-ОЗ «Об установлении границ муниципальных образований, расположенных на территории административно-территориальных единиц «Бабынинский район», «Боровский район», «Дзержинский район», «Жиздринский район», «Жуковский район», «Износковский район», «Козельский район», «Малоярославецкий район», «Мосальский район», «Ферзиковский район», «Хвастовичский район», «Город Калуга», «Город Обнинск», и наделении их статусом городского поселения, сельского поселения, городского округа, муниципального района».</w:t>
      </w:r>
    </w:p>
    <w:p>
      <w:pPr>
        <w:pStyle w:val="Normal"/>
        <w:ind w:firstLine="709"/>
        <w:jc w:val="both"/>
        <w:rPr/>
      </w:pPr>
      <w:r>
        <w:rPr>
          <w:color w:themeColor="text1" w:val="000000"/>
        </w:rPr>
        <w:t>В соответствии с данным законом, на территории городского округа находятся 73 населенных пункта, в том числе город Калуга и сельские населенные пункты.</w:t>
      </w:r>
    </w:p>
    <w:p>
      <w:pPr>
        <w:pStyle w:val="Style78"/>
        <w:ind w:hanging="0" w:right="1985"/>
        <w:rPr>
          <w:rFonts w:eastAsia="Symbol" w:cs="Symbol"/>
          <w:color w:themeColor="text1" w:val="000000"/>
        </w:rPr>
      </w:pPr>
      <w:r>
        <w:rPr>
          <w:rFonts w:eastAsia="Symbol" w:cs="Symbol"/>
          <w:color w:themeColor="text1" w:val="000000"/>
        </w:rPr>
        <w:t>Таблица 1.1.1.</w:t>
      </w:r>
    </w:p>
    <w:tbl>
      <w:tblPr>
        <w:tblW w:w="6365" w:type="dxa"/>
        <w:jc w:val="left"/>
        <w:tblInd w:w="1804" w:type="dxa"/>
        <w:tblLayout w:type="fixed"/>
        <w:tblCellMar>
          <w:top w:w="0" w:type="dxa"/>
          <w:left w:w="108" w:type="dxa"/>
          <w:bottom w:w="0" w:type="dxa"/>
          <w:right w:w="108" w:type="dxa"/>
        </w:tblCellMar>
        <w:tblLook w:firstRow="0" w:noVBand="0" w:lastRow="0" w:firstColumn="0" w:lastColumn="0" w:noHBand="0" w:val="0000"/>
      </w:tblPr>
      <w:tblGrid>
        <w:gridCol w:w="814"/>
        <w:gridCol w:w="5550"/>
      </w:tblGrid>
      <w:tr>
        <w:trPr>
          <w:tblHeader w:val="true"/>
          <w:trHeight w:val="300" w:hRule="atLeast"/>
        </w:trPr>
        <w:tc>
          <w:tcPr>
            <w:tcW w:w="814" w:type="dxa"/>
            <w:tcBorders>
              <w:top w:val="single" w:sz="4" w:space="0" w:color="000000"/>
              <w:left w:val="single" w:sz="4" w:space="0" w:color="000000"/>
              <w:bottom w:val="single" w:sz="4" w:space="0" w:color="000000"/>
            </w:tcBorders>
            <w:shd w:color="auto" w:fill="EDEDED" w:themeFill="accent3" w:themeFillTint="33" w:val="clear"/>
            <w:vAlign w:val="bottom"/>
          </w:tcPr>
          <w:p>
            <w:pPr>
              <w:pStyle w:val="Normal"/>
              <w:widowControl w:val="false"/>
              <w:jc w:val="center"/>
              <w:rPr>
                <w:b/>
                <w:color w:themeColor="text1" w:val="000000"/>
                <w:sz w:val="22"/>
                <w:szCs w:val="22"/>
              </w:rPr>
            </w:pPr>
            <w:r>
              <w:rPr>
                <w:b/>
                <w:color w:themeColor="text1" w:val="000000"/>
                <w:sz w:val="22"/>
                <w:szCs w:val="22"/>
              </w:rPr>
              <w:t>№</w:t>
            </w:r>
          </w:p>
        </w:tc>
        <w:tc>
          <w:tcPr>
            <w:tcW w:w="55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Статус и наименование населенного пункта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rPr>
              <w:t>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г. Калуга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Андреевское</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Аргуново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Бабенки</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Белая</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Березовка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Большая Каменка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Верхняя Вырка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Воровая</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Галкино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Георгиевское</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Горенское</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Городок</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Григоровка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Груздово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Доможирово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Желыбино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Жерело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Животинки</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Заречье</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Ильинка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Калашников Хутор</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Канищево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Карачево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Колюпаново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26</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Косарево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27</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Крутицы</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28</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Лихун</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29</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Лобаново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30</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Макаровка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Малая Каменка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Марьино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33</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Матюнино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34</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Мстихино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35</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Нижняя Вырка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36</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Николо-Лапиносово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37</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Новоселки</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38</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Орешково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39</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Переселенец</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40</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Петрово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Плетеневка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Починки</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43</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Пучково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44</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Рождествено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45</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Сивково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46</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Сокорево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47</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Тимошево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48</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Тинино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49</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Уварово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Угра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Чижовка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Шопино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53</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Юрьевка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54</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д. Яглово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55</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ж/д. ст. Горенская</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56</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57</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п. Зеленый</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58</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п. Мирный</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59</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п. Новый</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60</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Горенское</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Козлово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Муратовка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63</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64</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Некрасово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65</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Подстанция Колюпановская</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66</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Пригородного лесничества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67</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Приокское лесничество</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68</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Рожки</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69</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Росва</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70</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Рябинки</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71</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Сосновый Бор</w:t>
            </w:r>
          </w:p>
        </w:tc>
      </w:tr>
      <w:tr>
        <w:trPr>
          <w:trHeight w:val="300" w:hRule="atLeast"/>
        </w:trPr>
        <w:tc>
          <w:tcPr>
            <w:tcW w:w="814" w:type="dxa"/>
            <w:tcBorders>
              <w:left w:val="single" w:sz="8" w:space="0" w:color="000000"/>
              <w:bottom w:val="single" w:sz="8"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72</w:t>
            </w:r>
          </w:p>
        </w:tc>
        <w:tc>
          <w:tcPr>
            <w:tcW w:w="5550" w:type="dxa"/>
            <w:tcBorders>
              <w:left w:val="single" w:sz="8" w:space="0" w:color="000000"/>
              <w:bottom w:val="single" w:sz="8"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Спас</w:t>
            </w:r>
          </w:p>
        </w:tc>
      </w:tr>
      <w:tr>
        <w:trPr>
          <w:trHeight w:val="300" w:hRule="atLeast"/>
        </w:trPr>
        <w:tc>
          <w:tcPr>
            <w:tcW w:w="814" w:type="dxa"/>
            <w:tcBorders>
              <w:top w:val="single" w:sz="8" w:space="0" w:color="000000"/>
              <w:left w:val="single" w:sz="8" w:space="0" w:color="000000"/>
              <w:bottom w:val="single" w:sz="4" w:space="0" w:color="000000"/>
            </w:tcBorders>
            <w:shd w:color="auto" w:fill="FFFFFF" w:themeFill="background1" w:val="clear"/>
            <w:vAlign w:val="center"/>
          </w:tcPr>
          <w:p>
            <w:pPr>
              <w:pStyle w:val="Normal"/>
              <w:widowControl w:val="false"/>
              <w:jc w:val="center"/>
              <w:rPr>
                <w:color w:themeColor="text1" w:val="000000"/>
                <w:sz w:val="22"/>
                <w:szCs w:val="22"/>
              </w:rPr>
            </w:pPr>
            <w:r>
              <w:rPr>
                <w:color w:themeColor="text1" w:val="000000"/>
                <w:sz w:val="22"/>
                <w:szCs w:val="22"/>
              </w:rPr>
              <w:t>73</w:t>
            </w:r>
          </w:p>
        </w:tc>
        <w:tc>
          <w:tcPr>
            <w:tcW w:w="5550" w:type="dxa"/>
            <w:tcBorders>
              <w:top w:val="single" w:sz="8" w:space="0" w:color="000000"/>
              <w:left w:val="single" w:sz="8" w:space="0" w:color="000000"/>
              <w:bottom w:val="single" w:sz="4" w:space="0" w:color="000000"/>
              <w:right w:val="single" w:sz="8" w:space="0" w:color="000000"/>
            </w:tcBorders>
            <w:shd w:color="auto" w:fill="FFFFFF" w:themeFill="background1" w:val="clear"/>
            <w:vAlign w:val="center"/>
          </w:tcPr>
          <w:p>
            <w:pPr>
              <w:pStyle w:val="Normal"/>
              <w:widowControl w:val="false"/>
              <w:rPr>
                <w:color w:themeColor="text1" w:val="000000"/>
                <w:sz w:val="22"/>
                <w:szCs w:val="22"/>
              </w:rPr>
            </w:pPr>
            <w:r>
              <w:rPr>
                <w:color w:themeColor="text1" w:val="000000"/>
                <w:sz w:val="22"/>
                <w:szCs w:val="22"/>
              </w:rPr>
              <w:t>с. Шахты</w:t>
            </w:r>
          </w:p>
        </w:tc>
      </w:tr>
    </w:tbl>
    <w:p>
      <w:pPr>
        <w:pStyle w:val="Normal"/>
        <w:ind w:firstLine="709"/>
        <w:jc w:val="both"/>
        <w:rPr>
          <w:b/>
          <w:bCs/>
          <w:color w:themeColor="text1" w:val="000000"/>
        </w:rPr>
      </w:pPr>
      <w:r>
        <w:rPr>
          <w:color w:themeColor="text1" w:val="000000"/>
        </w:rPr>
        <w:t xml:space="preserve">Общая площадь территории городского округа составляет </w:t>
      </w:r>
      <w:r>
        <w:rPr>
          <w:b/>
          <w:color w:themeColor="text1" w:val="000000"/>
        </w:rPr>
        <w:t>54702,0 га</w:t>
      </w:r>
      <w:r>
        <w:rPr>
          <w:b/>
          <w:bCs/>
          <w:color w:themeColor="text1" w:val="000000"/>
        </w:rPr>
        <w:t>.</w:t>
      </w:r>
    </w:p>
    <w:p>
      <w:pPr>
        <w:pStyle w:val="Normal"/>
        <w:ind w:firstLine="709"/>
        <w:jc w:val="both"/>
        <w:rPr>
          <w:color w:themeColor="text1" w:val="000000"/>
        </w:rPr>
      </w:pPr>
      <w:r>
        <w:rPr>
          <w:color w:themeColor="text1" w:val="000000"/>
        </w:rPr>
        <w:t xml:space="preserve">Численность населения на 1 января 2023 года составляет </w:t>
      </w:r>
      <w:r>
        <w:rPr>
          <w:b/>
          <w:color w:themeColor="text1" w:val="000000"/>
        </w:rPr>
        <w:t>355,488 тыс. человек</w:t>
      </w:r>
      <w:r>
        <w:rPr>
          <w:color w:themeColor="text1" w:val="000000"/>
        </w:rPr>
        <w:t>, в том числе городское население – 336,716 тыс. человек и сельское население – 18,772 тыс. человек.</w:t>
      </w:r>
    </w:p>
    <w:p>
      <w:pPr>
        <w:pStyle w:val="Normal"/>
        <w:ind w:firstLine="709"/>
        <w:jc w:val="both"/>
        <w:rPr>
          <w:color w:themeColor="text1" w:val="000000"/>
        </w:rPr>
      </w:pPr>
      <w:r>
        <w:rPr>
          <w:color w:themeColor="text1" w:val="000000"/>
        </w:rPr>
        <w:t>Городской округ граничит с Малоярославецким, Ферзиковским, Перемышльским, Бабынинским и Дзержинским муниципальными округами Калужской области.</w:t>
      </w:r>
    </w:p>
    <w:p>
      <w:pPr>
        <w:pStyle w:val="Normal"/>
        <w:ind w:firstLine="709"/>
        <w:jc w:val="both"/>
        <w:rPr>
          <w:color w:themeColor="text1" w:val="000000"/>
        </w:rPr>
      </w:pPr>
      <w:r>
        <w:rPr>
          <w:color w:themeColor="text1" w:val="000000"/>
        </w:rPr>
        <w:t xml:space="preserve">В настоящее время Калуга – динамично развивающийся многофункциональный город, выполняющий административно-управленческие, транспортно-распределительные, промышленные, научно-образовательные, торгово-бытовые функции. </w:t>
      </w:r>
    </w:p>
    <w:p>
      <w:pPr>
        <w:pStyle w:val="Normal"/>
        <w:ind w:firstLine="709"/>
        <w:jc w:val="both"/>
        <w:rPr>
          <w:color w:themeColor="text1" w:val="000000"/>
        </w:rPr>
      </w:pPr>
      <w:r>
        <w:rPr>
          <w:color w:themeColor="text1" w:val="000000"/>
        </w:rPr>
        <w:t xml:space="preserve">Город Калуга является крупным транспортным узлом межрегионального значения, внешние транспортные связи которого ориентированы преимущественно на автомобильный и железнодорожный транспорт. Город расположен в 160 км от города Москвы. </w:t>
      </w:r>
    </w:p>
    <w:p>
      <w:pPr>
        <w:pStyle w:val="Normal"/>
        <w:ind w:firstLine="709"/>
        <w:jc w:val="both"/>
        <w:rPr>
          <w:color w:themeColor="text1" w:val="000000"/>
        </w:rPr>
      </w:pPr>
      <w:r>
        <w:rPr>
          <w:color w:themeColor="text1" w:val="000000"/>
        </w:rPr>
        <w:t>В настоящее время на территории города Калуги действует международный аэропорт «Калуга» (Грабцево) им. К.Э. Циолковского.</w:t>
      </w:r>
    </w:p>
    <w:p>
      <w:pPr>
        <w:pStyle w:val="Normal"/>
        <w:ind w:firstLine="709"/>
        <w:jc w:val="both"/>
        <w:rPr>
          <w:color w:themeColor="text1" w:val="000000"/>
        </w:rPr>
      </w:pPr>
      <w:r>
        <w:rPr>
          <w:color w:themeColor="text1" w:val="000000"/>
        </w:rPr>
        <w:t xml:space="preserve">Генеральный план городского округа разработан на следующие проектные периоды: </w:t>
      </w:r>
    </w:p>
    <w:p>
      <w:pPr>
        <w:pStyle w:val="Normal"/>
        <w:ind w:firstLine="709"/>
        <w:jc w:val="both"/>
        <w:rPr>
          <w:color w:themeColor="text1" w:val="000000"/>
        </w:rPr>
      </w:pPr>
      <w:r>
        <w:rPr>
          <w:color w:themeColor="text1" w:val="000000"/>
        </w:rPr>
        <w:t>- I этап (первая очередь) – 2035 г.;</w:t>
      </w:r>
    </w:p>
    <w:p>
      <w:pPr>
        <w:pStyle w:val="Normal"/>
        <w:ind w:firstLine="709"/>
        <w:jc w:val="both"/>
        <w:rPr>
          <w:color w:themeColor="text1" w:val="000000"/>
        </w:rPr>
      </w:pPr>
      <w:r>
        <w:rPr>
          <w:color w:themeColor="text1" w:val="000000"/>
        </w:rPr>
        <w:t>- II этап (расчетный срок) – 2045 г.</w:t>
      </w:r>
    </w:p>
    <w:p>
      <w:pPr>
        <w:pStyle w:val="Heading3"/>
        <w:numPr>
          <w:ilvl w:val="2"/>
          <w:numId w:val="2"/>
        </w:numPr>
        <w:spacing w:before="100" w:after="100"/>
        <w:ind w:firstLine="709" w:left="0"/>
        <w:rPr>
          <w:rFonts w:eastAsia="Symbol" w:cs="Symbol"/>
          <w:color w:themeColor="text1" w:val="000000"/>
        </w:rPr>
      </w:pPr>
      <w:bookmarkStart w:id="3" w:name="_Toc217312429"/>
      <w:r>
        <w:rPr>
          <w:rFonts w:eastAsia="Symbol" w:cs="Symbol"/>
          <w:color w:themeColor="text1" w:val="000000"/>
        </w:rPr>
        <w:t>1.2. Краткая историческая справка</w:t>
      </w:r>
      <w:bookmarkEnd w:id="3"/>
    </w:p>
    <w:p>
      <w:pPr>
        <w:pStyle w:val="Normal"/>
        <w:ind w:firstLine="709"/>
        <w:jc w:val="both"/>
        <w:rPr>
          <w:color w:themeColor="text1" w:val="000000"/>
        </w:rPr>
      </w:pPr>
      <w:r>
        <w:rPr>
          <w:color w:themeColor="text1" w:val="000000"/>
        </w:rPr>
        <w:t xml:space="preserve">Территория города Калуги археологически изучена недостаточно полно, но на основе имеющихся сведений можно говорить о том, что эта территория была заселена достаточно давно. Первые археологические исследования древних поселений и городищ на территории современного города и в его окрестностях начались в XVIII в. и продолжились позднее в XIX-XX вв. В результате этих работ были выявлены ряд древнерусских поселений, расположенных в бассейне нижнего течения р. Калужки и р. Яченки, а также ряд более ранних памятников. Проводимые раскопки и исторические исследования из разных источников датируют образование поселений на месте Калуги примерно от 7 до 5 тыс. лет до нашей эры, хотя нет точных подтверждений о постоянстве данных поселений. </w:t>
      </w:r>
    </w:p>
    <w:p>
      <w:pPr>
        <w:pStyle w:val="Normal"/>
        <w:ind w:firstLine="709"/>
        <w:jc w:val="both"/>
        <w:rPr>
          <w:color w:themeColor="text1" w:val="000000"/>
        </w:rPr>
      </w:pPr>
      <w:r>
        <w:rPr>
          <w:color w:themeColor="text1" w:val="000000"/>
        </w:rPr>
        <w:t>Археологические исследования указывают, что в VI-XII веках в бассейне реки Оки, на территории современной калужской земли обитал восточнославянский племенной союз вятичи.</w:t>
      </w:r>
    </w:p>
    <w:p>
      <w:pPr>
        <w:pStyle w:val="Normal"/>
        <w:ind w:firstLine="709"/>
        <w:jc w:val="both"/>
        <w:rPr>
          <w:color w:themeColor="text1" w:val="000000"/>
        </w:rPr>
      </w:pPr>
      <w:r>
        <w:rPr>
          <w:color w:themeColor="text1" w:val="000000"/>
        </w:rPr>
        <w:t>Точный год образования города Калуги неизвестен. Датой основания принято условно считать 1371 г. – первое известное упоминание о городе в грамоте великого литовского князя Ольгерда. Близ современной Калуги сохранились три городища. Город или трижды переносили на новое место, или существовали три самостоятельных поселения в разные периоды истории, которые впоследствии заложили основу образования современного города. Причиной отсутствия упоминания Калуги в более ранних письменных источниках мог быть ее нейтральный статус, находящийся вне политических и имущественных споров между русскими и литовскими князьями. Это могло быть, только в том случае, если Калуга с волостью являлась «особой» территорией, на которую распространялась юрисдикция Золотой Орды. На золотоордынской территории строились города и с преобладанием русского населения, в число которых вошла и Калуга. Это были резиденции и опорные гарнизоны баскачества. Формирование баскачества на Руси происходило в 1250 - 1260-х гг. Наиболее вероятно, что в административно-налоговую функцию «Калужского баскачества» входили Верховские удельные княжества и водные торговые пути в верховьях р. Оки. Золотоордынский анклав «тин Колыган» обладал статусом «неприкасаемой территории» в междоусобицах князей, что обеспечивало ему безопасность и, естественным образом, привлекало сюда ремесленников и торговцев. В результате до второй половины XIV века город не испытал на себе вооруженных нападений. Со временем, по мере продвижения литовской экспансии на Русский Улус Золотой Орды, расширились и административно-налоговые функции «Калужского баскачества», в которые, вероятно, вошли все литовские владения, расположенные на правом берегу пограничных рек Оки и Угры, но и тогда город имел нейтральный статус. Такое положение Калуги как бы оставляло ее в тени происходивших исторических процессов соперничества Литовского и Московского великих княжеств за влияние на русских землях, в результате чего первый век своего существования «тин Колыган» (Калуга) не упоминается в летописной истории России.</w:t>
      </w:r>
    </w:p>
    <w:p>
      <w:pPr>
        <w:pStyle w:val="Normal"/>
        <w:ind w:firstLine="709"/>
        <w:jc w:val="both"/>
        <w:rPr>
          <w:color w:themeColor="text1" w:val="000000"/>
        </w:rPr>
      </w:pPr>
      <w:r>
        <w:rPr>
          <w:color w:themeColor="text1" w:val="000000"/>
        </w:rPr>
        <w:t>В начавшейся литовско-русской войне 1367-1375 гг. калужская крепость оставалась недостроенной, что и объясняет ту легкость, с которой она отошла к Московскому княжеству во время брянского похода князя Дмитрия Ивановича в 1369-1370 гг. После этого Калуга почти полтора века являлась пограничной крепостью с Литовским княжеством на юго-западном рубеже Московского государства.</w:t>
      </w:r>
    </w:p>
    <w:p>
      <w:pPr>
        <w:pStyle w:val="Normal"/>
        <w:ind w:firstLine="709"/>
        <w:jc w:val="both"/>
        <w:rPr>
          <w:color w:themeColor="text1" w:val="000000"/>
        </w:rPr>
      </w:pPr>
      <w:r>
        <w:rPr>
          <w:color w:themeColor="text1" w:val="000000"/>
        </w:rPr>
        <w:t>Что касается заставы «тин Колыган» на реке Городенке (Калужке), то ее оборонительные укрепления изначально не предназначались для отражения неприятельских нападений. Само место сбора золотоордынской дани внушало всем трепетный ужас, что являлось лучшей защитой от любых посягательств. Но со временем многие деревянные постройки пришли в негодность и ввиду строительства новой крепости не ремонтировались. В один из дней приходящая в ветхость застава сгорела, оставив после себя уцелевшую ямскую слободу.</w:t>
      </w:r>
    </w:p>
    <w:p>
      <w:pPr>
        <w:pStyle w:val="Normal"/>
        <w:ind w:firstLine="709"/>
        <w:jc w:val="both"/>
        <w:rPr>
          <w:color w:themeColor="text1" w:val="000000"/>
        </w:rPr>
      </w:pPr>
      <w:r>
        <w:rPr>
          <w:color w:themeColor="text1" w:val="000000"/>
        </w:rPr>
        <w:t>Позднее Калуга упоминается в 1389 г. в завещании Дмитрия Донского. В конце ХIV в. город вошел в состав удельного Можайского княжества и выполнял функции пограничного форпоста для обороны юго-западных рубежей Древней Руси от вторжений литовцев, а позднее и крымских татар.</w:t>
      </w:r>
    </w:p>
    <w:p>
      <w:pPr>
        <w:pStyle w:val="Normal"/>
        <w:ind w:firstLine="709"/>
        <w:jc w:val="both"/>
        <w:rPr>
          <w:color w:themeColor="text1" w:val="000000"/>
        </w:rPr>
      </w:pPr>
      <w:r>
        <w:rPr>
          <w:color w:themeColor="text1" w:val="000000"/>
        </w:rPr>
        <w:t>В 1451 г. Калуга от Можайского княжества присоединяется к Московскому и становится с этого времени феодально-княжеским городом с административными функциями, городом общерусским, а не удельного княжества. Таковым она упоминается в летописи 1480 г. На берегах реки Угры в 1480 г., недалеко от города Калуги, в «Великом стоянии» было окончательно преодолено монголо-татарское иго.</w:t>
      </w:r>
    </w:p>
    <w:p>
      <w:pPr>
        <w:pStyle w:val="Normal"/>
        <w:ind w:firstLine="709"/>
        <w:jc w:val="both"/>
        <w:rPr>
          <w:color w:themeColor="text1" w:val="000000"/>
        </w:rPr>
      </w:pPr>
      <w:r>
        <w:rPr>
          <w:color w:themeColor="text1" w:val="000000"/>
        </w:rPr>
        <w:t>Иван 3-й завещал город в «удел» своему сыну Симеону, и в течение 13 лет (1505-</w:t>
        <w:br/>
        <w:t>1518 гг.) существовало зависимое от Москвы, но считавшееся самостоятельным удельное Калужское княжество. Калуга в этот период была достаточно хорошо укрепленным пунктом. В 1512 г. ей удалось отразить нашествие крымских татар. В ХVI в. во главе войска, собиравшегося в поход на Казань, в Калугу прибыл Иван Грозный.</w:t>
      </w:r>
    </w:p>
    <w:p>
      <w:pPr>
        <w:pStyle w:val="Normal"/>
        <w:ind w:firstLine="709"/>
        <w:jc w:val="both"/>
        <w:rPr>
          <w:color w:themeColor="text1" w:val="000000"/>
        </w:rPr>
      </w:pPr>
      <w:r>
        <w:rPr>
          <w:color w:themeColor="text1" w:val="000000"/>
        </w:rPr>
        <w:t xml:space="preserve">Перенос города на берег Оки был, вероятно, связан с начатым в ХV-ХVI вв. московским правительством планомерным созданием оборонительных рубежей для укрепления южных и восточных границ государства. С этого времени Калуга уже часто упоминается в летописях. </w:t>
      </w:r>
    </w:p>
    <w:p>
      <w:pPr>
        <w:pStyle w:val="Normal"/>
        <w:ind w:firstLine="709"/>
        <w:jc w:val="both"/>
        <w:rPr>
          <w:color w:themeColor="text1" w:val="000000"/>
        </w:rPr>
      </w:pPr>
      <w:r>
        <w:rPr>
          <w:color w:themeColor="text1" w:val="000000"/>
        </w:rPr>
        <w:t>Для сооружения крепости было выбрано очень выгодное в стратегическом отношении плато на левом берегу Оки, возвышающееся на 25 м над уровнем реки. С юго-востока и северо-запада оно было ограничено оврагами речек Городенки (позднее Городецкий ручей) и Березуйки. К «городу», окруженному деревянными стенами, с северо-востока примыкал посад, сильно разросшийся уже к началу XVII в.</w:t>
      </w:r>
    </w:p>
    <w:p>
      <w:pPr>
        <w:pStyle w:val="Normal"/>
        <w:ind w:firstLine="709"/>
        <w:jc w:val="both"/>
        <w:rPr>
          <w:color w:themeColor="text1" w:val="000000"/>
        </w:rPr>
      </w:pPr>
      <w:r>
        <w:rPr>
          <w:color w:themeColor="text1" w:val="000000"/>
        </w:rPr>
        <w:t>Укрепленная земляным валом с тыном и двойным рвом территория посада получила наименование «острога» (после возведения в 1622 г. деревянных стен «нового острога» эту часть города стали называть «Старым Острогом»). Описания Калужской крепости XVI в. отсутствуют, известно только, что она была достаточно мощной. О дополнительном укреплении крепости позаботился Иван Болотников, благодаря чему зимой 1606-1607 гг. восставшие смогли выдержать четырехмесячную осаду и принудить войско московских воевод к отступлению. В то время Калуга росла медленно, численность ее населения колебалась в пределах от одной до трех тысяч человек. Крепость несколько раз горела и восстанавливалась, неоднократно заново отстраивался острог.</w:t>
      </w:r>
    </w:p>
    <w:p>
      <w:pPr>
        <w:pStyle w:val="Normal"/>
        <w:ind w:firstLine="709"/>
        <w:jc w:val="both"/>
        <w:rPr>
          <w:color w:themeColor="text1" w:val="000000"/>
        </w:rPr>
      </w:pPr>
      <w:r>
        <w:rPr>
          <w:color w:themeColor="text1" w:val="000000"/>
        </w:rPr>
        <w:t>После воссоединения Украины с Россией Калуга утрачивает значение пограничной сторожевой крепости, но оказывается на перекрестке транзитных гужевых и водных путей, в связи с чем приобретает значение как торговый пункт. В этот же период в городе процветает искусство иконописи, о котором можно судить по экспонатам местного художественно музея, а также различные ремесла – возникают полотняные, щетинные, маслобойные, воскобойные, пеньковые предприятия.</w:t>
      </w:r>
    </w:p>
    <w:p>
      <w:pPr>
        <w:pStyle w:val="Normal"/>
        <w:ind w:firstLine="709"/>
        <w:jc w:val="both"/>
        <w:rPr>
          <w:color w:themeColor="text1" w:val="000000"/>
        </w:rPr>
      </w:pPr>
      <w:r>
        <w:rPr>
          <w:color w:themeColor="text1" w:val="000000"/>
        </w:rPr>
        <w:t>В течение ХVI-ХVII вв. город несколько раз подвергался разрушениям, пожарам, мору, но возрождался и продолжал расти. Во второй половине XVII в. и соотечественники, и иностранцы восторженно отзывались о красоте Калуги, отмечая характерную черту русского города – живописность его силуэта, создаваемую контрастным сочетанием высоких шатровых колоколен и разнообразных выразительных завершений церквей с низкой рядовой жилой застройкой.</w:t>
      </w:r>
    </w:p>
    <w:p>
      <w:pPr>
        <w:pStyle w:val="Normal"/>
        <w:ind w:firstLine="709"/>
        <w:jc w:val="both"/>
        <w:rPr>
          <w:color w:themeColor="text1" w:val="000000"/>
        </w:rPr>
      </w:pPr>
      <w:r>
        <w:rPr>
          <w:color w:themeColor="text1" w:val="000000"/>
        </w:rPr>
        <w:t>В начале ХVII в. город был центром крестьянского восстания под предводительством Ивана Болотникова. В 1609-1610 гг. Лжедмитрий играл роль «калужского царька», сохранившиеся до наших дней палаты ХVII в. до сих пор часто ошибочно называют «домом Марины Мнишек».</w:t>
      </w:r>
    </w:p>
    <w:p>
      <w:pPr>
        <w:pStyle w:val="Normal"/>
        <w:ind w:firstLine="709"/>
        <w:jc w:val="both"/>
        <w:rPr>
          <w:color w:themeColor="text1" w:val="000000"/>
        </w:rPr>
      </w:pPr>
      <w:r>
        <w:rPr>
          <w:color w:themeColor="text1" w:val="000000"/>
        </w:rPr>
        <w:t>Несмотря на стихийные бедствия, постигшие Калугу в ХVIII в., экономические условия для развития города были настолько благоприятными, что Калуга продолжала усиленно застраиваться не только деревянными, но и каменными зданиями. В связи с большим каменным строительством в городе получило развитие производство кирпича и художественных печных изразцов. Намного выросло число рабочих и различных строительных профессий, среди них были весьма искусные мастера своего дела, которые под руководством талантливых архитекторов воздвигли немало интересных сооружений, являющихся украшением Калуги и в наши дни.</w:t>
      </w:r>
    </w:p>
    <w:p>
      <w:pPr>
        <w:pStyle w:val="Normal"/>
        <w:ind w:firstLine="709"/>
        <w:jc w:val="both"/>
        <w:rPr>
          <w:color w:themeColor="text1" w:val="000000"/>
        </w:rPr>
      </w:pPr>
      <w:r>
        <w:rPr>
          <w:color w:themeColor="text1" w:val="000000"/>
        </w:rPr>
        <w:t>При организации административной системы губерний в России в 1708 г. Калуга была приписана к Московской губернии. В ее же состав вошла и учрежденная в 1719 г. Калужская провинция. В 1776 г. было учреждено Калужское наместничество. Открытие наместничества способствовало дальнейшему экономическому процветанию города. Развивается торговля, появляется промышленное производство. В 1785 г. заводов и фабрик в Калуге насчитывалось около 120.</w:t>
      </w:r>
    </w:p>
    <w:p>
      <w:pPr>
        <w:pStyle w:val="Normal"/>
        <w:ind w:firstLine="709"/>
        <w:jc w:val="both"/>
        <w:rPr>
          <w:color w:themeColor="text1" w:val="000000"/>
        </w:rPr>
      </w:pPr>
      <w:r>
        <w:rPr>
          <w:color w:themeColor="text1" w:val="000000"/>
        </w:rPr>
        <w:t>В городе было много каменщиков и штукатуров. Процветали и художественные ремесла: резьба по дереву, серебряное дело, золотошвейное мастерство, домашнее ткачество и плетение кружев. Город начал застраиваться по «регулярному плану», утвержденному Сенатом в 1778 г. (план был разработан под руководством архитектора П. Р. Никитина).</w:t>
      </w:r>
    </w:p>
    <w:p>
      <w:pPr>
        <w:pStyle w:val="Normal"/>
        <w:ind w:firstLine="709"/>
        <w:jc w:val="both"/>
        <w:rPr>
          <w:color w:themeColor="text1" w:val="000000"/>
        </w:rPr>
      </w:pPr>
      <w:r>
        <w:rPr>
          <w:color w:themeColor="text1" w:val="000000"/>
        </w:rPr>
        <w:t>В 1812 г. Калуга была главным пунктом формирования войска и базой снабжения русской армии.</w:t>
      </w:r>
    </w:p>
    <w:p>
      <w:pPr>
        <w:pStyle w:val="Normal"/>
        <w:ind w:firstLine="709"/>
        <w:jc w:val="both"/>
        <w:rPr>
          <w:color w:themeColor="text1" w:val="000000"/>
        </w:rPr>
      </w:pPr>
      <w:r>
        <w:rPr>
          <w:color w:themeColor="text1" w:val="000000"/>
        </w:rPr>
        <w:t>С конца 1830-х годов в связи с образованием новых торговых центров и возникновением железнодорожных путей сообщения начинается очень быстрый упадок экономической жизни города. Обмеление р. Оки вместе с открытием в 1874 г. участка Сызранско-Вяземской железной дороги, соединившей Калугу с Тулой, были причинами почти полного прекращения перевоза товаров по воде. Город утратил прежнее свое значение крупного транзитного пункта. Заглохла оптовая торговля хлебом и лесом, прекратился прогон крупного рогатого скота из восточных и южных губерний. Изделия местного производства не могли конкурировать с продукцией других промышленных центров. В результате к концу XIX в. калужская обрабатывающая промышленность почти прекратила свое существование. Только некоторые художественные ремесла, приспосабливаясь к изменившимся условиям, не утратили полностью самобытного характера. Уже к 1860-м годам Калуга стала тихим провинциальным городом.</w:t>
      </w:r>
    </w:p>
    <w:p>
      <w:pPr>
        <w:pStyle w:val="Normal"/>
        <w:ind w:firstLine="709"/>
        <w:jc w:val="both"/>
        <w:rPr>
          <w:color w:themeColor="text1" w:val="000000"/>
        </w:rPr>
      </w:pPr>
      <w:r>
        <w:rPr>
          <w:color w:themeColor="text1" w:val="000000"/>
        </w:rPr>
        <w:t>При проведении в 1899 г. Московско-Брянской железной дороги Калуга была соединена с ней лишь веткой и осталась в стороне от магистрали. Строительство почти не велось. На 62 карликовых заводах и фабриках в 90-х годах ХIХ в. работало только 1,4 тыс. рабочих, в кустарных ремесленных заведениях было занято примерно столько же. Численность населения города составляла около 50 тыс. человек.</w:t>
      </w:r>
    </w:p>
    <w:p>
      <w:pPr>
        <w:pStyle w:val="Normal"/>
        <w:ind w:firstLine="709"/>
        <w:jc w:val="both"/>
        <w:rPr>
          <w:color w:themeColor="text1" w:val="000000"/>
        </w:rPr>
      </w:pPr>
      <w:r>
        <w:rPr>
          <w:color w:themeColor="text1" w:val="000000"/>
        </w:rPr>
        <w:t>В царское время Калуга служила местом ссылки. В городе жили последний крымский хан Шагин Гирей (1786-1787 гг.), султан Мамай Киргизской Орды Аригази-Абдул-Азис (1823-1863 гг.), дагестанский имам Шамиль (1859-1868 гг.).</w:t>
      </w:r>
    </w:p>
    <w:p>
      <w:pPr>
        <w:pStyle w:val="Normal"/>
        <w:ind w:firstLine="709"/>
        <w:jc w:val="both"/>
        <w:rPr>
          <w:color w:themeColor="text1" w:val="000000"/>
        </w:rPr>
      </w:pPr>
      <w:r>
        <w:rPr>
          <w:color w:themeColor="text1" w:val="000000"/>
        </w:rPr>
        <w:t>Калугу посещали и жили в городе Г.Р. Державин, А.С. Пушкин, Н.В. Гоголь, В.Г. Белинский, А.К. Толстой, И.С. Аксаков, Ф.М. Достоевский, Л.Н. Толстой и многие другие представители русской культуры. Позднее здесь жили вернувшиеся из ссылки декабристы    Г.С. Батеньков, Е.П. Оболенский и П.Н. Свистунов.</w:t>
      </w:r>
    </w:p>
    <w:p>
      <w:pPr>
        <w:pStyle w:val="Normal"/>
        <w:ind w:firstLine="709"/>
        <w:jc w:val="both"/>
        <w:rPr>
          <w:color w:themeColor="text1" w:val="000000"/>
        </w:rPr>
      </w:pPr>
      <w:r>
        <w:rPr>
          <w:color w:themeColor="text1" w:val="000000"/>
        </w:rPr>
        <w:t>В конце ХIХ в. некоторое время в городе пребывали ссыльные большевики Луначарский, Дубровинский, Доброхотов, Скворцов-Степанов.</w:t>
      </w:r>
    </w:p>
    <w:p>
      <w:pPr>
        <w:pStyle w:val="Normal"/>
        <w:ind w:firstLine="709"/>
        <w:jc w:val="both"/>
        <w:rPr>
          <w:color w:themeColor="text1" w:val="000000"/>
        </w:rPr>
      </w:pPr>
      <w:r>
        <w:rPr>
          <w:color w:themeColor="text1" w:val="000000"/>
        </w:rPr>
        <w:t xml:space="preserve">В годы Советской власти Калуга начинает быстро развиваться как значительный промышленный центр. Накануне Великой Отечественной войны в городе работало </w:t>
        <w:br/>
        <w:t>35 промышленных предприятий с численностью кадров свыше 15 тыс. человек. Численность населения города составляла 90 тыс. человек. Кратковременная оккупация города</w:t>
        <w:br/>
        <w:t xml:space="preserve">(с 11 октября по 30 декабря 1941 г.) сопровождалась значительными разрушениями. В 1944 году была образована Калужская область. С этого времени город стал быстро развиваться. </w:t>
      </w:r>
    </w:p>
    <w:p>
      <w:pPr>
        <w:pStyle w:val="Normal"/>
        <w:ind w:firstLine="709"/>
        <w:jc w:val="both"/>
        <w:rPr>
          <w:color w:themeColor="text1" w:val="000000"/>
        </w:rPr>
      </w:pPr>
      <w:r>
        <w:rPr>
          <w:color w:themeColor="text1" w:val="000000"/>
        </w:rPr>
        <w:t>В наши дни Калуга это один из красивейших старинных городов России. В связи с развитием космонавтики город, связанный с жизнью и творчеством основоположника науки по освоению космического пространства К.Э. Циолковского, получил всемирную известность.</w:t>
      </w:r>
    </w:p>
    <w:p>
      <w:pPr>
        <w:pStyle w:val="Heading3"/>
        <w:numPr>
          <w:ilvl w:val="2"/>
          <w:numId w:val="2"/>
        </w:numPr>
        <w:spacing w:before="100" w:after="100"/>
        <w:ind w:firstLine="709" w:left="0"/>
        <w:rPr>
          <w:rFonts w:eastAsia="Symbol" w:cs="Symbol"/>
          <w:color w:themeColor="text1" w:val="000000"/>
        </w:rPr>
      </w:pPr>
      <w:bookmarkStart w:id="4" w:name="_Toc217312430"/>
      <w:r>
        <w:rPr>
          <w:rFonts w:eastAsia="Symbol" w:cs="Symbol"/>
          <w:color w:themeColor="text1" w:val="000000"/>
        </w:rPr>
        <w:t>1.3. Этапы градостроительного развития</w:t>
      </w:r>
      <w:bookmarkEnd w:id="4"/>
    </w:p>
    <w:p>
      <w:pPr>
        <w:pStyle w:val="Normal"/>
        <w:ind w:firstLine="709"/>
        <w:jc w:val="both"/>
        <w:rPr>
          <w:color w:themeColor="text1" w:val="000000"/>
        </w:rPr>
      </w:pPr>
      <w:r>
        <w:rPr>
          <w:color w:themeColor="text1" w:val="000000"/>
        </w:rPr>
        <w:t>Градостроительное развитие города можно условно разделить на восемь этапов.</w:t>
      </w:r>
    </w:p>
    <w:p>
      <w:pPr>
        <w:pStyle w:val="Normal"/>
        <w:spacing w:before="20" w:after="20"/>
        <w:ind w:firstLine="709"/>
        <w:jc w:val="both"/>
        <w:rPr>
          <w:b/>
          <w:color w:themeColor="text1" w:val="000000"/>
        </w:rPr>
      </w:pPr>
      <w:r>
        <w:rPr>
          <w:b/>
          <w:color w:themeColor="text1" w:val="000000"/>
        </w:rPr>
        <w:t>1 этап (начало XIV в. - начало XVI в.)</w:t>
      </w:r>
    </w:p>
    <w:p>
      <w:pPr>
        <w:pStyle w:val="Normal"/>
        <w:ind w:firstLine="709"/>
        <w:jc w:val="both"/>
        <w:rPr>
          <w:color w:themeColor="text1" w:val="000000"/>
        </w:rPr>
      </w:pPr>
      <w:r>
        <w:rPr>
          <w:color w:themeColor="text1" w:val="000000"/>
        </w:rPr>
        <w:t>Впервые упомянутый в 1371 г. город Калуга изначально являлся пограничным форпостом для обороны юго-западных рубежей Древней Руси от вторжений врагов с запада и юга. Деревянная крепость на высоком мысу, образуемом оврагами Березуйским и Городецким, была, по-видимому, возведена сыном Ивана Калиты Симеоном, бывшим великим князем Московским с 1341 по 1353 гг.</w:t>
      </w:r>
    </w:p>
    <w:p>
      <w:pPr>
        <w:pStyle w:val="Normal"/>
        <w:ind w:firstLine="709"/>
        <w:jc w:val="both"/>
        <w:rPr>
          <w:color w:themeColor="text1" w:val="000000"/>
        </w:rPr>
      </w:pPr>
      <w:r>
        <w:rPr>
          <w:color w:themeColor="text1" w:val="000000"/>
        </w:rPr>
        <w:t>Вопрос о местоположении г. Калуги в эпоху, наиболее близкую ко времени первого упоминания о городе, не решен до сих пор. Местоположение Калуги в XIV-XVI вв. на месте городского парка традиционно связывается с преданием о том, что к началу XVII века город менял местоположение уже 4 раза. В 1994 г. для определения времени освоения этой части города были проведены археологические исследования, на основании которых, ввиду отсутствия не только слоев, но и находок массового материала (керамики), датируемой ранее XVI в., возможно сделать предварительный вывод о том, что территория городского парка была освоена в XVI - XVII вв.</w:t>
      </w:r>
    </w:p>
    <w:p>
      <w:pPr>
        <w:pStyle w:val="Normal"/>
        <w:spacing w:before="20" w:after="20"/>
        <w:ind w:firstLine="709"/>
        <w:jc w:val="both"/>
        <w:rPr>
          <w:b/>
          <w:color w:themeColor="text1" w:val="000000"/>
        </w:rPr>
      </w:pPr>
      <w:r>
        <w:rPr>
          <w:b/>
          <w:color w:themeColor="text1" w:val="000000"/>
        </w:rPr>
        <w:t>2 этап (конец XVI в.-1776 г.)</w:t>
      </w:r>
    </w:p>
    <w:p>
      <w:pPr>
        <w:pStyle w:val="Normal"/>
        <w:ind w:firstLine="709"/>
        <w:jc w:val="both"/>
        <w:rPr>
          <w:color w:themeColor="text1" w:val="000000"/>
        </w:rPr>
      </w:pPr>
      <w:r>
        <w:rPr>
          <w:color w:themeColor="text1" w:val="000000"/>
        </w:rPr>
        <w:t>На этом этапе развития города закладывались основы его будущей градостроительной структуры. Калуга в первую четверть XVII-го столетия состояла из двух главных частей: города и острога. Городом в то время называли центральную укрепленную часть поселения (крепость или кремль). За пределами крепости с течением времени возникал посад. Посад также имел укрепления, но менее прочные, состоящие из вала со рвом и тына на валу – острог. За его пределом, как правило, располагались слободы. Отсутствие посадских дворов вне укреплений острога в 20-е годы XVII столетия объясняется тем, что жители покинули свои дворы в самом начале военных действий 1617-1618 годов, до прихода под Калугу черкесов, т.е. малороссийских казаков гетмана Сагайдачнаго.</w:t>
      </w:r>
    </w:p>
    <w:p>
      <w:pPr>
        <w:pStyle w:val="Normal"/>
        <w:ind w:firstLine="709"/>
        <w:jc w:val="both"/>
        <w:rPr>
          <w:color w:themeColor="text1" w:val="000000"/>
        </w:rPr>
      </w:pPr>
      <w:r>
        <w:rPr>
          <w:color w:themeColor="text1" w:val="000000"/>
        </w:rPr>
        <w:t>В 1700 г. стен крепости уже не существовало, они сгорели в конце столетия кроме одной проезжей башни. Однако сохранилась застройка посадов. Поэтому можно предположить, что существовавший до 1700 г. кремль был построен в 1622 г. на территории, ограниченной обрывами: Березуйского оврага, р. Оки и Ильинского (Полицейского позднее Городецкого) оврага. По гребню вала была выстроена стена с 12 башнями. Четыре шестиугольные возвышались по углам этой крепости. Между ними по четырем фасадам было еще восемь башен, из них три - с проезжими воротами. Юго-восточный фасад кремля, обращенный к оврагу Ильинскому (Полицейскому), простирался на 185 сажен, кроме башен, а всего около 200 сажен, северо-восточный – около 160 сажен, северо-западный (над Березуем) – около 204 сажен и юго-западный, обращенный к Оке, - около 180 сажен, всего около 744 сажен.</w:t>
      </w:r>
    </w:p>
    <w:p>
      <w:pPr>
        <w:pStyle w:val="Normal"/>
        <w:ind w:firstLine="709"/>
        <w:jc w:val="both"/>
        <w:rPr>
          <w:color w:themeColor="text1" w:val="000000"/>
        </w:rPr>
      </w:pPr>
      <w:r>
        <w:rPr>
          <w:color w:themeColor="text1" w:val="000000"/>
        </w:rPr>
        <w:t>В кремле в 1626 г. было 4 церкви, они выстроены на месте существовавших до пожара 1622 г. деревянных церквей. Вокруг церквей располагались дома священников и причта. На территории кремля также находился дом воеводы, Приказная изба, кладовая для казенных запасов, тюрьма и осадные дворы для служивых и посадских людей. В 1617 г. посадские люди Калуги делились на 6 сотен, каждая из которых формировала свои посады: Покровскую, Архангельскую, Егорьевскую, Богоявленскую, Рождественскую и Воробьевскую. Главные дворы посадов включались в острог. К 1626 году был возведен новый острог, охвативший меньшие территории, чем старый. П.А. Трейтер выполнил реконструкцию планировки города XVII века и совместил ее с современным (конца</w:t>
        <w:br/>
        <w:t>XIX века) планом.</w:t>
      </w:r>
    </w:p>
    <w:p>
      <w:pPr>
        <w:pStyle w:val="Normal"/>
        <w:ind w:firstLine="709"/>
        <w:jc w:val="both"/>
        <w:rPr>
          <w:color w:themeColor="text1" w:val="000000"/>
        </w:rPr>
      </w:pPr>
      <w:r>
        <w:rPr>
          <w:color w:themeColor="text1" w:val="000000"/>
        </w:rPr>
        <w:t>В XVII веке происходит бурный рост города. Городские посады разрастаются за пределы земляного вала. Рост посадов происходит в западном, северном и восточном направлениях. Возникает большое количество храмов как в «городе», так и на посадах. Город перестает выполнять оборонительные функции и становится торговым центром. Этому способствует его расположение по отношению к основным транспортным коммуникациям того времени.</w:t>
      </w:r>
    </w:p>
    <w:p>
      <w:pPr>
        <w:pStyle w:val="Normal"/>
        <w:ind w:firstLine="709"/>
        <w:jc w:val="both"/>
        <w:rPr>
          <w:color w:themeColor="text1" w:val="000000"/>
        </w:rPr>
      </w:pPr>
      <w:r>
        <w:rPr>
          <w:color w:themeColor="text1" w:val="000000"/>
        </w:rPr>
        <w:t>Как уже было сказано к 1700 г. кремль перестает существовать. Конец ХVII в. ознаменовался началом каменного строительства. Строятся кирпичные храмы и жилые дома. Некоторые из них сохранились до наших дней. Несмотря на частые пожары церкви всегда возводились на прежних местах.</w:t>
      </w:r>
    </w:p>
    <w:p>
      <w:pPr>
        <w:pStyle w:val="Normal"/>
        <w:ind w:firstLine="709"/>
        <w:jc w:val="both"/>
        <w:rPr>
          <w:color w:themeColor="text1" w:val="000000"/>
        </w:rPr>
      </w:pPr>
      <w:r>
        <w:rPr>
          <w:color w:themeColor="text1" w:val="000000"/>
        </w:rPr>
        <w:t>В 1708 г. Калуга становится уездным городом, в 1719 г. – центром провинции. Город продолжает быстро строиться. По-прежнему Калуга планировочно делится на «город», укрепления которого больше не существовали, и на 8 слобод, занимающих территорию, окруженную в начале XVII в. острогом. Новые слободы также именовались по церквям и улицам, как и старые, образовавшиеся из «сотен». К концу столетия сформировалась планировочная структура.</w:t>
      </w:r>
    </w:p>
    <w:p>
      <w:pPr>
        <w:pStyle w:val="Normal"/>
        <w:ind w:firstLine="709"/>
        <w:jc w:val="both"/>
        <w:rPr>
          <w:color w:themeColor="text1" w:val="000000"/>
        </w:rPr>
      </w:pPr>
      <w:r>
        <w:rPr>
          <w:color w:themeColor="text1" w:val="000000"/>
        </w:rPr>
        <w:t>Город не получил законченной кольцевой или радиальной системы планировки. Сеть его улиц сложилась под влиянием двух существенных факторов – реки Оки и перпендикулярной ей дороги в Москву, сформировав веерную структуру. Планировка и застройка города отражена на первой топографической съемке города, произведенной в мае 1776 г.</w:t>
      </w:r>
    </w:p>
    <w:p>
      <w:pPr>
        <w:pStyle w:val="Normal"/>
        <w:spacing w:before="20" w:after="20"/>
        <w:ind w:firstLine="709"/>
        <w:jc w:val="both"/>
        <w:rPr>
          <w:b/>
          <w:color w:themeColor="text1" w:val="000000"/>
        </w:rPr>
      </w:pPr>
      <w:r>
        <w:rPr>
          <w:b/>
          <w:color w:themeColor="text1" w:val="000000"/>
        </w:rPr>
        <w:t>3 этап (1777-1874 гг.)</w:t>
      </w:r>
    </w:p>
    <w:p>
      <w:pPr>
        <w:pStyle w:val="Normal"/>
        <w:ind w:firstLine="709"/>
        <w:jc w:val="both"/>
        <w:rPr>
          <w:color w:themeColor="text1" w:val="000000"/>
        </w:rPr>
      </w:pPr>
      <w:r>
        <w:rPr>
          <w:color w:themeColor="text1" w:val="000000"/>
        </w:rPr>
        <w:t>В конце ХVIII в. было открыто наместничество, в 1777 г. Калуга становится губернским городом. Новый статус города потребовал составления проекта генерального плана города, который должен был отвечать новым градостроительным требованиям. Осенью 1777 г. калужский наместник М.Н. Кречетников направил разработанный в Калуге под руководством архитектора П.Р. Никитина проект плана города в Петербург. Но «Комиссия о каменном строении» вернула его, ввиду того, что на чертеже не были указаны существующие каменные здания. В марте следующего года план Калуги снова был представлен на утверждение.</w:t>
      </w:r>
    </w:p>
    <w:p>
      <w:pPr>
        <w:pStyle w:val="Normal"/>
        <w:ind w:firstLine="709"/>
        <w:jc w:val="both"/>
        <w:rPr>
          <w:color w:themeColor="text1" w:val="000000"/>
        </w:rPr>
      </w:pPr>
      <w:r>
        <w:rPr>
          <w:color w:themeColor="text1" w:val="000000"/>
        </w:rPr>
        <w:t>В Петербурге проект, вторично представленный Кречетниковым, подвергся значительной переработке, без изменений была оставлена только предложенная планировка административного центра. В результате был создан «регулярный» план города, утвержденный 13 июня 1778 г. В нем сочетались приемы веерной, лучевой и прямоугольной организации планировочной структуры. Граница города образовывалась рвом и валом, имела очертание правильной трапеции с примыкавшими территориями прямоугольной формы двух Ямских слобод. В утвержденном проекте была регламентирована каменная застройка в центральных кварталах и по красным линиям главнейших улиц. На чертеже сделано совмещение проектируемой и существующей планировочных структур.</w:t>
      </w:r>
    </w:p>
    <w:p>
      <w:pPr>
        <w:pStyle w:val="Normal"/>
        <w:ind w:firstLine="709"/>
        <w:jc w:val="both"/>
        <w:rPr>
          <w:color w:themeColor="text1" w:val="000000"/>
        </w:rPr>
      </w:pPr>
      <w:r>
        <w:rPr>
          <w:color w:themeColor="text1" w:val="000000"/>
        </w:rPr>
        <w:t>Долгое время работы по реализации генерального плана почти не велись. Однако в 1779 г. была проложена Новая Большая Московская улица – от главного народного училища до Московских ворот, в 1784 г. проложили поперечную улицу – Садовую (ныне Кирова).</w:t>
      </w:r>
    </w:p>
    <w:p>
      <w:pPr>
        <w:pStyle w:val="Normal"/>
        <w:ind w:firstLine="709"/>
        <w:jc w:val="both"/>
        <w:rPr>
          <w:color w:themeColor="text1" w:val="000000"/>
        </w:rPr>
      </w:pPr>
      <w:r>
        <w:rPr>
          <w:color w:themeColor="text1" w:val="000000"/>
        </w:rPr>
        <w:t>В 1782 г. не был полностью закончен снос строений на территории Кремля, необходимый для возведения Присутственных мест. В последней четверти XVIII в. и начале XIX в. велись активные работы, правда, с существенными изменениями утвержденного плана. Не был осуществлен один из ведущих элементов планировочной структуры, предложенной в проекте, – трехлучевой композиции с острием трезубца у въезда в город. Создать въезд в город на оси главной улицы и центральной площади Ямской слободы, как это было запроектировано в Петербурге, оказалось невозможным. Комиссией не было учтено созданное в 1777 г. архитектурное оформление Московской заставы Триумфальной аркой, Кордегардиями и обелисками.</w:t>
      </w:r>
    </w:p>
    <w:p>
      <w:pPr>
        <w:pStyle w:val="Normal"/>
        <w:ind w:firstLine="709"/>
        <w:jc w:val="both"/>
        <w:rPr>
          <w:color w:themeColor="text1" w:val="000000"/>
        </w:rPr>
      </w:pPr>
      <w:r>
        <w:rPr>
          <w:color w:themeColor="text1" w:val="000000"/>
        </w:rPr>
        <w:t>Новый вариант плана был разработан архитектором И.Д. Ясныгиным, калужским губернским архитектором. Он сумел увязать предложения утвержденного Генерального плана с существующей градостроительной ситуацией. По этому плану проводилась дальнейшая планировка и застройка города. Пробиваются и застраиваются улицы Беговая, Казинская, Хлюстинская, Рождественская, Говенская, Знаменская, Бахметьевская, Касмодемьянская, Теренинская и др.</w:t>
      </w:r>
    </w:p>
    <w:p>
      <w:pPr>
        <w:pStyle w:val="Normal"/>
        <w:ind w:firstLine="709"/>
        <w:jc w:val="both"/>
        <w:rPr>
          <w:color w:themeColor="text1" w:val="000000"/>
        </w:rPr>
      </w:pPr>
      <w:r>
        <w:rPr>
          <w:color w:themeColor="text1" w:val="000000"/>
        </w:rPr>
        <w:t>В этот период срываются валы потерявшей значение крепости, новые улицы прокладываются по старым трассам и уничтоженным земляным валам, засыпается Городецский овраг. Каменные храмы, административные здания, торговые ряды строятся на местах старых деревянных зданий, за исключением нескольких церквей, которые были разобраны и возведены впоследствии на окраине города. Калуга получает законченную, очень красивую сеть улиц и систему общественных площадей, которая ныне оценивается как памятник градостроительного искусства.</w:t>
      </w:r>
    </w:p>
    <w:p>
      <w:pPr>
        <w:pStyle w:val="Normal"/>
        <w:spacing w:before="20" w:after="20"/>
        <w:ind w:firstLine="709"/>
        <w:jc w:val="both"/>
        <w:rPr>
          <w:b/>
          <w:color w:themeColor="text1" w:val="000000"/>
        </w:rPr>
      </w:pPr>
      <w:r>
        <w:rPr>
          <w:b/>
          <w:color w:themeColor="text1" w:val="000000"/>
        </w:rPr>
        <w:t>4 этап (1875-1916 гг.)</w:t>
      </w:r>
    </w:p>
    <w:p>
      <w:pPr>
        <w:pStyle w:val="Normal"/>
        <w:ind w:firstLine="709"/>
        <w:jc w:val="both"/>
        <w:rPr>
          <w:color w:themeColor="text1" w:val="000000"/>
        </w:rPr>
      </w:pPr>
      <w:r>
        <w:rPr>
          <w:color w:themeColor="text1" w:val="000000"/>
        </w:rPr>
        <w:t>К концу ХIХ в. вся территория в границах регулярного плана была уже освоена городом. Дополнительно к ней в плане 1912 г. показано лишь несколько регулярных кварталов в районе Хлюстинской богадельни, железнодорожный вокзал, ипподром и несколько промышленно-складских предприятий.</w:t>
      </w:r>
    </w:p>
    <w:p>
      <w:pPr>
        <w:pStyle w:val="Normal"/>
        <w:ind w:firstLine="709"/>
        <w:jc w:val="both"/>
        <w:rPr>
          <w:color w:themeColor="text1" w:val="000000"/>
        </w:rPr>
      </w:pPr>
      <w:r>
        <w:rPr>
          <w:color w:themeColor="text1" w:val="000000"/>
        </w:rPr>
        <w:t>В связи с обмелением Оки Калуга оказалась в стороне от новых магистральных дорог, хозяйственных и административных центров страны. Сызранско-Вяземская (первоначально Ряжско-Вяземская) железная дорога, построенная в 1874 г. на участке Вязьма – Павелец, не оказала значительной роли в хозяйственном развитии города, продолженная позднее Московско-Киевская железная дорога (Москва – Брянск, 1899 г.) прошла мимо города. Калуга потеряла свое значение крупного транзитного города и стала тихим провинциальным городом.</w:t>
      </w:r>
    </w:p>
    <w:p>
      <w:pPr>
        <w:pStyle w:val="Normal"/>
        <w:ind w:firstLine="709"/>
        <w:jc w:val="both"/>
        <w:rPr>
          <w:color w:themeColor="text1" w:val="000000"/>
        </w:rPr>
      </w:pPr>
      <w:r>
        <w:rPr>
          <w:color w:themeColor="text1" w:val="000000"/>
        </w:rPr>
        <w:t>На этом этапе Калуга начала развиваться уже как промышленный город. Появилась железная дорога с вокзалом, сформировались зоны промышленных предприятий, завершилась застройка кирпичными зданиями центральной части города.</w:t>
      </w:r>
    </w:p>
    <w:p>
      <w:pPr>
        <w:pStyle w:val="Normal"/>
        <w:spacing w:lineRule="auto" w:line="276" w:before="20" w:after="0"/>
        <w:ind w:firstLine="709"/>
        <w:jc w:val="both"/>
        <w:rPr>
          <w:b/>
          <w:color w:themeColor="text1" w:val="000000"/>
        </w:rPr>
      </w:pPr>
      <w:r>
        <w:rPr>
          <w:b/>
          <w:color w:themeColor="text1" w:val="000000"/>
        </w:rPr>
        <w:t>5 этап (1917-1944 гг.)</w:t>
      </w:r>
    </w:p>
    <w:p>
      <w:pPr>
        <w:pStyle w:val="Normal"/>
        <w:ind w:firstLine="709"/>
        <w:jc w:val="both"/>
        <w:rPr>
          <w:color w:themeColor="text1" w:val="000000"/>
        </w:rPr>
      </w:pPr>
      <w:r>
        <w:rPr>
          <w:color w:themeColor="text1" w:val="000000"/>
        </w:rPr>
        <w:t>После Октябрьской революции до 1924 г. Калуга была губернским городом, а затем на продолжительный период стала административным центром округа. При упразднении округов город был включен в состав Московской, а затем Тульской области.</w:t>
      </w:r>
    </w:p>
    <w:p>
      <w:pPr>
        <w:pStyle w:val="Normal"/>
        <w:ind w:firstLine="709"/>
        <w:jc w:val="both"/>
        <w:rPr>
          <w:color w:themeColor="text1" w:val="000000"/>
        </w:rPr>
      </w:pPr>
      <w:r>
        <w:rPr>
          <w:color w:themeColor="text1" w:val="000000"/>
        </w:rPr>
        <w:t>В этот период Калуга продолжает развиваться как промышленный центр. Старые предприятия реконструируются и строятся новые: швейная фабрика имени Димитрова, спичечная фабрика «Гигант», электромеханический завод, созданный на базе телеграфно-телефонных мастерских вблизи старой окской пристани, машиностроительный завод возведен на месте главных железнодорожных мастерских. В 1936 году началось строительство комбината синтетических душистых веществ (СДВ), готовилась закладка турбинного завода.</w:t>
      </w:r>
    </w:p>
    <w:p>
      <w:pPr>
        <w:pStyle w:val="Normal"/>
        <w:spacing w:lineRule="auto" w:line="276" w:before="20" w:after="0"/>
        <w:ind w:firstLine="709"/>
        <w:jc w:val="both"/>
        <w:rPr>
          <w:b/>
          <w:color w:themeColor="text1" w:val="000000"/>
        </w:rPr>
      </w:pPr>
      <w:r>
        <w:rPr>
          <w:b/>
          <w:color w:themeColor="text1" w:val="000000"/>
        </w:rPr>
        <w:t>6 этап (1944-1964 гг.)</w:t>
      </w:r>
    </w:p>
    <w:p>
      <w:pPr>
        <w:pStyle w:val="Normal"/>
        <w:ind w:firstLine="709"/>
        <w:jc w:val="both"/>
        <w:rPr>
          <w:color w:themeColor="text1" w:val="000000"/>
        </w:rPr>
      </w:pPr>
      <w:r>
        <w:rPr>
          <w:color w:themeColor="text1" w:val="000000"/>
        </w:rPr>
        <w:t>5 июля 1944 г. образовалась Калужская область, и Калуга стала областным центром. В сентябре 1945 г. начались работы по составлению Генерального плана Калуги, который был утвержден в 1949 г. Расширение города намечалось в северном направлении. Для нужд индивидуального жилищного строительства были выделены крупные территории в районе поселков Малинники, Маяковского и стекольного завода. Полностью генплан не был реализован по причине недостатка мощности строительных организаций и нехватки строительных материалов. Жилой фонд к 1960 г. составил порядка 900 тыс. квадратных метров. За год вводилось не более 10 тысяч квадратных метров жилой площади. Здания строились двух- и трехэтажные и, как исключение, четырехэтажные. По генеральному плану 1949 г. основным звеном застройки являлся квартал. Проводится реконструкция центральных улиц города и площадей.</w:t>
      </w:r>
    </w:p>
    <w:p>
      <w:pPr>
        <w:pStyle w:val="Normal"/>
        <w:ind w:firstLine="709"/>
        <w:jc w:val="both"/>
        <w:rPr>
          <w:color w:themeColor="text1" w:val="000000"/>
        </w:rPr>
      </w:pPr>
      <w:r>
        <w:rPr>
          <w:color w:themeColor="text1" w:val="000000"/>
        </w:rPr>
        <w:t>В этот период продолжает формироваться промышленная зона города – на базе предприятия по выпуску электрических счетчиков создается завод электрооборудования. Возобновляется сооружение комбината синтетических душистых веществ и турбинного завода, начавших работу в 1947 г. В этом же году начинает работу фабрика музыкальных инструментов «Аккорд» и мельничный комбинат. Ведущими в отраслевой структуре промышленности г. Калуги становятся предприятия машиностроения и приборостроения.</w:t>
      </w:r>
    </w:p>
    <w:p>
      <w:pPr>
        <w:pStyle w:val="Normal"/>
        <w:spacing w:lineRule="auto" w:line="276" w:before="20" w:after="0"/>
        <w:ind w:firstLine="709"/>
        <w:jc w:val="both"/>
        <w:rPr>
          <w:b/>
          <w:color w:themeColor="text1" w:val="000000"/>
        </w:rPr>
      </w:pPr>
      <w:r>
        <w:rPr>
          <w:b/>
          <w:color w:themeColor="text1" w:val="000000"/>
        </w:rPr>
        <w:t>7 этап (1965-1985 гг.)</w:t>
      </w:r>
    </w:p>
    <w:p>
      <w:pPr>
        <w:pStyle w:val="Normal"/>
        <w:ind w:firstLine="709"/>
        <w:jc w:val="both"/>
        <w:rPr>
          <w:color w:themeColor="text1" w:val="000000"/>
        </w:rPr>
      </w:pPr>
      <w:r>
        <w:rPr>
          <w:color w:themeColor="text1" w:val="000000"/>
        </w:rPr>
        <w:t>К 1965 г. Гипрогором (г. Москва) был разработан новый Генеральный план Калуги и утвержден Советом Министров РСФСР 3 февраля 1966 г. постановлением № 123.</w:t>
      </w:r>
    </w:p>
    <w:p>
      <w:pPr>
        <w:pStyle w:val="Normal"/>
        <w:ind w:firstLine="709"/>
        <w:jc w:val="both"/>
        <w:rPr>
          <w:color w:themeColor="text1" w:val="000000"/>
        </w:rPr>
      </w:pPr>
      <w:r>
        <w:rPr>
          <w:color w:themeColor="text1" w:val="000000"/>
        </w:rPr>
        <w:t>При проектировании были учтены новые подходы к формированию жилой застройки. За планировочную единицу был принят микрорайон. Он рассматривался как комплекс, имеющий в своем составе всю сеть обслуживания. Получил широкое применение прием свободной планировки. Предполагалось увеличение численности населения к 1980 г. до 200-250 тыс. человек. Проект предлагал переход городской застройки на правый берег реки Оки. Новый Правобережный район должен был возникнуть на свободных территориях правого берега реки Оки, где предполагалось разместить до 40% населения города. Этот планировочный район предусматривалось осваивать одновременно под жилую и промышленную функции. Застройку левого берега планировалось осуществлять, главным образом, на реконструируемых территориях и лишь в северной части города, за промышленной зоной намечалась организация нового Северного жилого района на свободных территориях на 18-20 тыс. человек. Правобережный и левобережный районы предполагалось соединить двумя мостами. В проекте предложено строительство водохранилища в пойме реки Яченки.</w:t>
      </w:r>
    </w:p>
    <w:p>
      <w:pPr>
        <w:pStyle w:val="Normal"/>
        <w:ind w:firstLine="709"/>
        <w:jc w:val="both"/>
        <w:rPr>
          <w:color w:themeColor="text1" w:val="000000"/>
        </w:rPr>
      </w:pPr>
      <w:r>
        <w:rPr>
          <w:color w:themeColor="text1" w:val="000000"/>
        </w:rPr>
        <w:t>Основные предложения проекта не были реализованы. К 1985 г. численность населения, планировочная структура и система расселения города не соответствовали сложившейся градостроительной ситуации. Промышленные предприятия, близкие по профилю к объектам, предлагаемым для развития правобережного района, были размещены в Северной промышленной зоне. Существующие промышленные предприятия были значительно расширены в больших масштабах, чем это было предусмотрено проектом 1965 г.</w:t>
      </w:r>
    </w:p>
    <w:p>
      <w:pPr>
        <w:pStyle w:val="Normal"/>
        <w:ind w:firstLine="709"/>
        <w:jc w:val="both"/>
        <w:rPr>
          <w:color w:themeColor="text1" w:val="000000"/>
        </w:rPr>
      </w:pPr>
      <w:r>
        <w:rPr>
          <w:color w:themeColor="text1" w:val="000000"/>
        </w:rPr>
        <w:t>Преобладающая часть нового жилищного строительства размещалась на освоенных территориях за счет сноса и уплотнения малоценной одноэтажной застройки. Уплотнение жилой застройки привело к невозможности прокладки транспортных магистралей, намечаемых генеральным планом, и к отсутствию свободных территорий для развития системы соцкультбыта. Город не вышел на новые территории. Незначительное строительство осуществлялось в поселках Малинники, Ольговского кирпичного завода, Азаровского завода стеновых материалов, Дубрава, Анненки, Калуга–II, Турынино, Терепецкий. Разбросанность небольших поселков обуславливает трудности в их транспортном и культурно-бытовом обслуживании.</w:t>
      </w:r>
    </w:p>
    <w:p>
      <w:pPr>
        <w:pStyle w:val="Normal"/>
        <w:spacing w:lineRule="auto" w:line="276" w:before="20" w:after="0"/>
        <w:ind w:firstLine="709"/>
        <w:jc w:val="both"/>
        <w:rPr>
          <w:b/>
          <w:color w:themeColor="text1" w:val="000000"/>
        </w:rPr>
      </w:pPr>
      <w:r>
        <w:rPr>
          <w:b/>
          <w:color w:themeColor="text1" w:val="000000"/>
        </w:rPr>
        <w:t>8 этап (1986-2023 гг.)</w:t>
      </w:r>
    </w:p>
    <w:p>
      <w:pPr>
        <w:pStyle w:val="Normal"/>
        <w:ind w:firstLine="709"/>
        <w:jc w:val="both"/>
        <w:rPr>
          <w:color w:themeColor="text1" w:val="000000"/>
        </w:rPr>
      </w:pPr>
      <w:r>
        <w:rPr>
          <w:color w:themeColor="text1" w:val="000000"/>
        </w:rPr>
        <w:t>Градостроительное развитие с момента начала Перестройки и до наших дней характеризуется противоречивыми тенденциями. С одной стороны, с конца 1980-х гг. началось активное освоение под жилую и производственную застройку правобережного района (с. Ромоданово и его окрестности), с другой стороны, с учетом общего спада экономического развития в стране в течение 1990-х гг., краха многих предприятий в историческом центре города началась хаотичная точечная застройка современными высотными зданиями, диссонирующими с окружающей их исторической средой.</w:t>
      </w:r>
    </w:p>
    <w:p>
      <w:pPr>
        <w:sectPr>
          <w:headerReference w:type="default" r:id="rId2"/>
          <w:headerReference w:type="first" r:id="rId3"/>
          <w:type w:val="nextPage"/>
          <w:pgSz w:w="11906" w:h="16838"/>
          <w:pgMar w:left="1418" w:right="567" w:gutter="0" w:header="567" w:top="1128" w:footer="0" w:bottom="709"/>
          <w:pgNumType w:fmt="decimal"/>
          <w:formProt w:val="false"/>
          <w:titlePg/>
          <w:textDirection w:val="lrTb"/>
          <w:docGrid w:type="default" w:linePitch="360" w:charSpace="0"/>
        </w:sectPr>
        <w:pStyle w:val="Normal"/>
        <w:ind w:firstLine="709"/>
        <w:jc w:val="both"/>
        <w:rPr>
          <w:color w:themeColor="text1" w:val="000000"/>
        </w:rPr>
      </w:pPr>
      <w:r>
        <w:rPr>
          <w:color w:themeColor="text1" w:val="000000"/>
        </w:rPr>
        <w:t>Последующее освоение территории города и городского округа ознаменовалось реализацией в 2000-2020-е гг. проектов жилой застройки (микрорайоны 30, 31) и размещением в границах округа ряда индустриальных парков (Калуга-Юг, Росва, Грабцево), что способствовало бурной индустриализации Калужской области. В то же время продолжается тенденция застройки бывших промышленных территорий (ЖК Мельница, мкр. Хрустальный и др.), продолжается точечная уплотнительная застройка центра.</w:t>
      </w:r>
    </w:p>
    <w:p>
      <w:pPr>
        <w:pStyle w:val="Heading2"/>
        <w:numPr>
          <w:ilvl w:val="1"/>
          <w:numId w:val="2"/>
        </w:numPr>
        <w:spacing w:before="0" w:after="0"/>
        <w:ind w:hanging="0" w:left="0"/>
        <w:rPr>
          <w:rFonts w:cs="Symbol"/>
          <w:color w:themeColor="text1" w:val="000000"/>
        </w:rPr>
      </w:pPr>
      <w:bookmarkStart w:id="5" w:name="_Toc217312431"/>
      <w:r>
        <w:rPr>
          <w:rFonts w:cs="Symbol"/>
          <w:color w:themeColor="text1" w:val="000000"/>
        </w:rPr>
        <w:t>2. Природные условия и ресурсы</w:t>
      </w:r>
      <w:bookmarkEnd w:id="5"/>
    </w:p>
    <w:p>
      <w:pPr>
        <w:pStyle w:val="Heading3"/>
        <w:numPr>
          <w:ilvl w:val="2"/>
          <w:numId w:val="2"/>
        </w:numPr>
        <w:spacing w:before="100" w:after="100"/>
        <w:ind w:hanging="0" w:left="0"/>
        <w:rPr>
          <w:rFonts w:eastAsia="Symbol" w:cs="Symbol"/>
          <w:color w:themeColor="text1" w:val="000000"/>
        </w:rPr>
      </w:pPr>
      <w:bookmarkStart w:id="6" w:name="_Toc217312432"/>
      <w:r>
        <w:rPr>
          <w:rFonts w:eastAsia="Symbol" w:cs="Symbol"/>
          <w:color w:themeColor="text1" w:val="000000"/>
        </w:rPr>
        <w:t>2.1. Климат</w:t>
      </w:r>
      <w:bookmarkEnd w:id="6"/>
    </w:p>
    <w:p>
      <w:pPr>
        <w:pStyle w:val="Style70"/>
        <w:spacing w:before="0" w:after="0"/>
        <w:ind w:firstLine="709"/>
        <w:rPr>
          <w:color w:themeColor="text1" w:val="000000"/>
        </w:rPr>
      </w:pPr>
      <w:r>
        <w:rPr>
          <w:color w:themeColor="text1" w:val="000000"/>
        </w:rPr>
        <w:t>Городской округ характеризуется умеренно-континентальным климатом с холодной зимой и умеренно теплым летом. Основные климатические характеристики и их изменение по территории округа определяются влиянием общих и местных факторов: солнечной радиации, циркуляции атмосферы и характером подстилающей поверхности.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 летом. Западный тип атмосферной циркуляции характеризуется значительной устойчивостью и нередко сохраняется на протяжении до двух месяцев. С октября по май в результате воздействия сибирского максимума западная циркуляция нередко сменяется восточной, что сопровождается малооблачной погодой, большими отрицательными аномалиями температуры воздуха зимой и положительными летом.</w:t>
      </w:r>
    </w:p>
    <w:p>
      <w:pPr>
        <w:pStyle w:val="Style70"/>
        <w:spacing w:before="0" w:after="0"/>
        <w:ind w:firstLine="709"/>
        <w:rPr>
          <w:rFonts w:eastAsia="Symbol" w:cs="Symbol"/>
          <w:color w:themeColor="text1" w:val="000000"/>
        </w:rPr>
      </w:pPr>
      <w:r>
        <w:rPr>
          <w:color w:themeColor="text1" w:val="000000"/>
        </w:rPr>
        <w:t>Средняя годовая температура воздуха в городском округе составляет 3,8</w:t>
      </w:r>
      <w:r>
        <w:rPr>
          <w:rFonts w:eastAsia="Symbol" w:cs="Symbol" w:ascii="Symbol" w:hAnsi="Symbol"/>
          <w:color w:themeColor="text1" w:val="000000"/>
        </w:rPr>
        <w:t></w:t>
      </w:r>
      <w:r>
        <w:rPr>
          <w:rFonts w:eastAsia="Symbol" w:cs="Symbol"/>
          <w:color w:themeColor="text1" w:val="000000"/>
        </w:rPr>
        <w:t>С. Средняя температура самого холодного месяца в году (январь) равна -10</w:t>
      </w:r>
      <w:r>
        <w:rPr>
          <w:rFonts w:eastAsia="Symbol" w:cs="Symbol" w:ascii="Symbol" w:hAnsi="Symbol"/>
          <w:color w:themeColor="text1" w:val="000000"/>
        </w:rPr>
        <w:t></w:t>
      </w:r>
      <w:r>
        <w:rPr>
          <w:rFonts w:eastAsia="Symbol" w:cs="Symbol"/>
          <w:color w:themeColor="text1" w:val="000000"/>
        </w:rPr>
        <w:t>С, а самого теплого месяца года (июль) - +17,6</w:t>
      </w:r>
      <w:r>
        <w:rPr>
          <w:rFonts w:eastAsia="Symbol" w:cs="Symbol" w:ascii="Symbol" w:hAnsi="Symbol"/>
          <w:color w:themeColor="text1" w:val="000000"/>
        </w:rPr>
        <w:t></w:t>
      </w:r>
      <w:r>
        <w:rPr>
          <w:rFonts w:eastAsia="Symbol" w:cs="Symbol"/>
          <w:color w:themeColor="text1" w:val="000000"/>
        </w:rPr>
        <w:t>С. Минимальная температура воздуха составляет -46</w:t>
      </w:r>
      <w:r>
        <w:rPr>
          <w:rFonts w:eastAsia="Symbol" w:cs="Symbol" w:ascii="Symbol" w:hAnsi="Symbol"/>
          <w:color w:themeColor="text1" w:val="000000"/>
        </w:rPr>
        <w:t></w:t>
      </w:r>
      <w:r>
        <w:rPr>
          <w:rFonts w:eastAsia="Symbol" w:cs="Symbol"/>
          <w:color w:themeColor="text1" w:val="000000"/>
        </w:rPr>
        <w:t>С, а максимальная +38</w:t>
      </w:r>
      <w:r>
        <w:rPr>
          <w:rFonts w:eastAsia="Symbol" w:cs="Symbol" w:ascii="Symbol" w:hAnsi="Symbol"/>
          <w:color w:themeColor="text1" w:val="000000"/>
        </w:rPr>
        <w:t></w:t>
      </w:r>
      <w:r>
        <w:rPr>
          <w:rFonts w:eastAsia="Symbol" w:cs="Symbol"/>
          <w:color w:themeColor="text1" w:val="000000"/>
        </w:rPr>
        <w:t xml:space="preserve">С. </w:t>
      </w:r>
    </w:p>
    <w:p>
      <w:pPr>
        <w:pStyle w:val="Style70"/>
        <w:spacing w:before="0" w:after="0"/>
        <w:ind w:firstLine="709"/>
        <w:rPr>
          <w:rFonts w:eastAsia="Symbol" w:cs="Symbol"/>
          <w:color w:themeColor="text1" w:val="000000"/>
        </w:rPr>
      </w:pPr>
      <w:r>
        <w:rPr>
          <w:rFonts w:eastAsia="Symbol" w:cs="Symbol"/>
          <w:color w:themeColor="text1" w:val="000000"/>
        </w:rPr>
        <w:t>Сведения о температуре воздуха представлены в таблице 2.1.1.</w:t>
      </w:r>
    </w:p>
    <w:p>
      <w:pPr>
        <w:pStyle w:val="Style78"/>
        <w:rPr>
          <w:rFonts w:eastAsia="Symbol" w:cs="Symbol"/>
          <w:color w:themeColor="text1" w:val="000000"/>
        </w:rPr>
      </w:pPr>
      <w:r>
        <w:rPr>
          <w:rFonts w:eastAsia="Symbol" w:cs="Symbol"/>
          <w:color w:themeColor="text1" w:val="000000"/>
        </w:rPr>
        <w:t>Таблица 2.1.1.</w:t>
      </w:r>
    </w:p>
    <w:p>
      <w:pPr>
        <w:pStyle w:val="Style83"/>
        <w:spacing w:before="0" w:after="0"/>
        <w:rPr>
          <w:rFonts w:eastAsia="Symbol" w:cs="Symbol"/>
          <w:color w:themeColor="text1" w:val="000000"/>
        </w:rPr>
      </w:pPr>
      <w:r>
        <w:rPr>
          <w:rFonts w:eastAsia="Symbol" w:cs="Symbol"/>
          <w:color w:themeColor="text1" w:val="000000"/>
        </w:rPr>
        <w:t>Средняя месячная, годовая, минимальная и максимальная температура воздуха</w:t>
      </w:r>
    </w:p>
    <w:tbl>
      <w:tblPr>
        <w:tblW w:w="972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146"/>
        <w:gridCol w:w="720"/>
        <w:gridCol w:w="743"/>
        <w:gridCol w:w="621"/>
        <w:gridCol w:w="624"/>
        <w:gridCol w:w="667"/>
        <w:gridCol w:w="671"/>
        <w:gridCol w:w="662"/>
        <w:gridCol w:w="672"/>
        <w:gridCol w:w="662"/>
        <w:gridCol w:w="635"/>
        <w:gridCol w:w="616"/>
        <w:gridCol w:w="635"/>
        <w:gridCol w:w="654"/>
      </w:tblGrid>
      <w:tr>
        <w:trPr>
          <w:trHeight w:val="420" w:hRule="atLeast"/>
        </w:trPr>
        <w:tc>
          <w:tcPr>
            <w:tcW w:w="114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Месяцы</w:t>
            </w:r>
          </w:p>
        </w:tc>
        <w:tc>
          <w:tcPr>
            <w:tcW w:w="720"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I</w:t>
            </w:r>
          </w:p>
        </w:tc>
        <w:tc>
          <w:tcPr>
            <w:tcW w:w="743"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II</w:t>
            </w:r>
          </w:p>
        </w:tc>
        <w:tc>
          <w:tcPr>
            <w:tcW w:w="621"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III</w:t>
            </w:r>
          </w:p>
        </w:tc>
        <w:tc>
          <w:tcPr>
            <w:tcW w:w="62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IV</w:t>
            </w:r>
          </w:p>
        </w:tc>
        <w:tc>
          <w:tcPr>
            <w:tcW w:w="66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V</w:t>
            </w:r>
          </w:p>
        </w:tc>
        <w:tc>
          <w:tcPr>
            <w:tcW w:w="671"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VI</w:t>
            </w:r>
          </w:p>
        </w:tc>
        <w:tc>
          <w:tcPr>
            <w:tcW w:w="66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VII</w:t>
            </w:r>
          </w:p>
        </w:tc>
        <w:tc>
          <w:tcPr>
            <w:tcW w:w="67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VIII</w:t>
            </w:r>
          </w:p>
        </w:tc>
        <w:tc>
          <w:tcPr>
            <w:tcW w:w="66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IX</w:t>
            </w:r>
          </w:p>
        </w:tc>
        <w:tc>
          <w:tcPr>
            <w:tcW w:w="63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X</w:t>
            </w:r>
          </w:p>
        </w:tc>
        <w:tc>
          <w:tcPr>
            <w:tcW w:w="61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XI</w:t>
            </w:r>
          </w:p>
        </w:tc>
        <w:tc>
          <w:tcPr>
            <w:tcW w:w="63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XII</w:t>
            </w:r>
          </w:p>
        </w:tc>
        <w:tc>
          <w:tcPr>
            <w:tcW w:w="65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Год</w:t>
            </w:r>
          </w:p>
        </w:tc>
      </w:tr>
      <w:tr>
        <w:trPr>
          <w:trHeight w:val="412" w:hRule="atLeast"/>
        </w:trPr>
        <w:tc>
          <w:tcPr>
            <w:tcW w:w="114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eastAsia="Symbol" w:cs="Symbol"/>
                <w:b/>
                <w:color w:themeColor="text1" w:val="000000"/>
              </w:rPr>
              <w:t>Средняя</w:t>
            </w:r>
          </w:p>
        </w:tc>
        <w:tc>
          <w:tcPr>
            <w:tcW w:w="72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-10,4</w:t>
            </w:r>
          </w:p>
        </w:tc>
        <w:tc>
          <w:tcPr>
            <w:tcW w:w="743"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-9,6</w:t>
            </w:r>
          </w:p>
        </w:tc>
        <w:tc>
          <w:tcPr>
            <w:tcW w:w="62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-4,9</w:t>
            </w:r>
          </w:p>
        </w:tc>
        <w:tc>
          <w:tcPr>
            <w:tcW w:w="6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3,8</w:t>
            </w:r>
          </w:p>
        </w:tc>
        <w:tc>
          <w:tcPr>
            <w:tcW w:w="667"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11,9</w:t>
            </w:r>
          </w:p>
        </w:tc>
        <w:tc>
          <w:tcPr>
            <w:tcW w:w="67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15,5</w:t>
            </w:r>
          </w:p>
        </w:tc>
        <w:tc>
          <w:tcPr>
            <w:tcW w:w="66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17,6</w:t>
            </w:r>
          </w:p>
        </w:tc>
        <w:tc>
          <w:tcPr>
            <w:tcW w:w="67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16,0</w:t>
            </w:r>
          </w:p>
        </w:tc>
        <w:tc>
          <w:tcPr>
            <w:tcW w:w="66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10,5</w:t>
            </w:r>
          </w:p>
        </w:tc>
        <w:tc>
          <w:tcPr>
            <w:tcW w:w="635"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4,2</w:t>
            </w:r>
          </w:p>
        </w:tc>
        <w:tc>
          <w:tcPr>
            <w:tcW w:w="61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-2,0</w:t>
            </w:r>
          </w:p>
        </w:tc>
        <w:tc>
          <w:tcPr>
            <w:tcW w:w="635"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-7,4</w:t>
            </w:r>
          </w:p>
        </w:tc>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3,8</w:t>
            </w:r>
          </w:p>
        </w:tc>
      </w:tr>
      <w:tr>
        <w:trPr/>
        <w:tc>
          <w:tcPr>
            <w:tcW w:w="114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rFonts w:eastAsia="Symbol" w:cs="Symbol"/>
                <w:b/>
                <w:color w:themeColor="text1" w:val="000000"/>
              </w:rPr>
            </w:pPr>
            <w:r>
              <w:rPr>
                <w:rFonts w:eastAsia="Symbol" w:cs="Symbol"/>
                <w:b/>
                <w:color w:themeColor="text1" w:val="000000"/>
              </w:rPr>
              <w:t>Абс.</w:t>
            </w:r>
          </w:p>
          <w:p>
            <w:pPr>
              <w:pStyle w:val="1116"/>
              <w:widowControl w:val="false"/>
              <w:jc w:val="center"/>
              <w:rPr>
                <w:b/>
                <w:color w:themeColor="text1" w:val="000000"/>
              </w:rPr>
            </w:pPr>
            <w:r>
              <w:rPr>
                <w:rFonts w:eastAsia="Symbol" w:cs="Symbol"/>
                <w:b/>
                <w:color w:themeColor="text1" w:val="000000"/>
              </w:rPr>
              <w:t>min.</w:t>
            </w:r>
          </w:p>
        </w:tc>
        <w:tc>
          <w:tcPr>
            <w:tcW w:w="72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-46</w:t>
            </w:r>
          </w:p>
        </w:tc>
        <w:tc>
          <w:tcPr>
            <w:tcW w:w="743"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-37</w:t>
            </w:r>
          </w:p>
        </w:tc>
        <w:tc>
          <w:tcPr>
            <w:tcW w:w="62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-31</w:t>
            </w:r>
          </w:p>
        </w:tc>
        <w:tc>
          <w:tcPr>
            <w:tcW w:w="6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-22</w:t>
            </w:r>
          </w:p>
        </w:tc>
        <w:tc>
          <w:tcPr>
            <w:tcW w:w="667"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-7</w:t>
            </w:r>
          </w:p>
        </w:tc>
        <w:tc>
          <w:tcPr>
            <w:tcW w:w="67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w:t>
            </w:r>
          </w:p>
        </w:tc>
        <w:tc>
          <w:tcPr>
            <w:tcW w:w="66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w:t>
            </w:r>
          </w:p>
        </w:tc>
        <w:tc>
          <w:tcPr>
            <w:tcW w:w="67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w:t>
            </w:r>
          </w:p>
        </w:tc>
        <w:tc>
          <w:tcPr>
            <w:tcW w:w="66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-6</w:t>
            </w:r>
          </w:p>
        </w:tc>
        <w:tc>
          <w:tcPr>
            <w:tcW w:w="635"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-20</w:t>
            </w:r>
          </w:p>
        </w:tc>
        <w:tc>
          <w:tcPr>
            <w:tcW w:w="61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-32</w:t>
            </w:r>
          </w:p>
        </w:tc>
        <w:tc>
          <w:tcPr>
            <w:tcW w:w="635"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-38</w:t>
            </w:r>
          </w:p>
        </w:tc>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-46</w:t>
            </w:r>
          </w:p>
        </w:tc>
      </w:tr>
      <w:tr>
        <w:trPr/>
        <w:tc>
          <w:tcPr>
            <w:tcW w:w="114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rFonts w:eastAsia="Symbol" w:cs="Symbol"/>
                <w:b/>
                <w:color w:themeColor="text1" w:val="000000"/>
              </w:rPr>
            </w:pPr>
            <w:r>
              <w:rPr>
                <w:rFonts w:eastAsia="Symbol" w:cs="Symbol"/>
                <w:b/>
                <w:color w:themeColor="text1" w:val="000000"/>
              </w:rPr>
              <w:t>Абс.</w:t>
            </w:r>
          </w:p>
          <w:p>
            <w:pPr>
              <w:pStyle w:val="1116"/>
              <w:widowControl w:val="false"/>
              <w:jc w:val="center"/>
              <w:rPr>
                <w:b/>
                <w:color w:themeColor="text1" w:val="000000"/>
              </w:rPr>
            </w:pPr>
            <w:r>
              <w:rPr>
                <w:rFonts w:eastAsia="Symbol" w:cs="Symbol"/>
                <w:b/>
                <w:color w:themeColor="text1" w:val="000000"/>
              </w:rPr>
              <w:t>max.</w:t>
            </w:r>
          </w:p>
        </w:tc>
        <w:tc>
          <w:tcPr>
            <w:tcW w:w="72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6</w:t>
            </w:r>
          </w:p>
        </w:tc>
        <w:tc>
          <w:tcPr>
            <w:tcW w:w="743"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6</w:t>
            </w:r>
          </w:p>
        </w:tc>
        <w:tc>
          <w:tcPr>
            <w:tcW w:w="62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5</w:t>
            </w:r>
          </w:p>
        </w:tc>
        <w:tc>
          <w:tcPr>
            <w:tcW w:w="6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27</w:t>
            </w:r>
          </w:p>
        </w:tc>
        <w:tc>
          <w:tcPr>
            <w:tcW w:w="667"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33</w:t>
            </w:r>
          </w:p>
        </w:tc>
        <w:tc>
          <w:tcPr>
            <w:tcW w:w="67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34</w:t>
            </w:r>
          </w:p>
        </w:tc>
        <w:tc>
          <w:tcPr>
            <w:tcW w:w="66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38</w:t>
            </w:r>
          </w:p>
        </w:tc>
        <w:tc>
          <w:tcPr>
            <w:tcW w:w="67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38</w:t>
            </w:r>
          </w:p>
        </w:tc>
        <w:tc>
          <w:tcPr>
            <w:tcW w:w="662"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33</w:t>
            </w:r>
          </w:p>
        </w:tc>
        <w:tc>
          <w:tcPr>
            <w:tcW w:w="635"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25</w:t>
            </w:r>
          </w:p>
        </w:tc>
        <w:tc>
          <w:tcPr>
            <w:tcW w:w="61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14</w:t>
            </w:r>
          </w:p>
        </w:tc>
        <w:tc>
          <w:tcPr>
            <w:tcW w:w="635"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9</w:t>
            </w:r>
          </w:p>
        </w:tc>
        <w:tc>
          <w:tcPr>
            <w:tcW w:w="6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eastAsia="Symbol" w:cs="Symbol"/>
                <w:color w:themeColor="text1" w:val="000000"/>
              </w:rPr>
              <w:t>38</w:t>
            </w:r>
          </w:p>
        </w:tc>
      </w:tr>
    </w:tbl>
    <w:p>
      <w:pPr>
        <w:pStyle w:val="Style70"/>
        <w:spacing w:before="0" w:after="0"/>
        <w:ind w:firstLine="709"/>
        <w:rPr>
          <w:rFonts w:eastAsia="Symbol" w:cs="Symbol"/>
          <w:color w:themeColor="text1" w:val="000000"/>
        </w:rPr>
      </w:pPr>
      <w:r>
        <w:rPr>
          <w:rFonts w:eastAsia="Symbol" w:cs="Symbol"/>
          <w:color w:themeColor="text1" w:val="000000"/>
        </w:rPr>
        <w:t>В течение холодного периода (с ноября по март) часты оттепели. В некоторые теплые зимы оттепели следуют одна за другой, перемежаясь с непродолжительными и несущественными похолоданиями.</w:t>
      </w:r>
    </w:p>
    <w:p>
      <w:pPr>
        <w:pStyle w:val="Style70"/>
        <w:spacing w:before="0" w:after="0"/>
        <w:ind w:firstLine="709"/>
        <w:rPr>
          <w:rFonts w:eastAsia="Symbol" w:cs="Symbol"/>
          <w:color w:themeColor="text1" w:val="000000"/>
        </w:rPr>
      </w:pPr>
      <w:r>
        <w:rPr>
          <w:rFonts w:eastAsia="Symbol" w:cs="Symbol"/>
          <w:color w:themeColor="text1" w:val="000000"/>
        </w:rPr>
        <w:t>Последний мороз в районе г. Калуги отмечается 4-12 мая, первый – от 20 сентября до</w:t>
        <w:br/>
        <w:t xml:space="preserve">1 октября. Продолжительность безморозного периода колеблется в пределах от 99 до 183 суток, в среднем - 149 суток. </w:t>
      </w:r>
    </w:p>
    <w:p>
      <w:pPr>
        <w:pStyle w:val="Style70"/>
        <w:spacing w:before="0" w:after="0"/>
        <w:ind w:firstLine="709"/>
        <w:rPr>
          <w:rFonts w:eastAsia="Symbol" w:cs="Symbol"/>
          <w:color w:themeColor="text1" w:val="000000"/>
        </w:rPr>
      </w:pPr>
      <w:r>
        <w:rPr>
          <w:rFonts w:eastAsia="Symbol" w:cs="Symbol"/>
          <w:color w:themeColor="text1" w:val="000000"/>
        </w:rPr>
        <w:t>В зависимости от характера зим, их снежности и температурного режима изменяется глубина промерзания почвы, которая колеблется в отдельные зимы от 25 до 100 см, в среднем составляя 64 см. Многолетняя средняя продолжительность промерзания почвы составляет 150-180 дней.</w:t>
      </w:r>
    </w:p>
    <w:p>
      <w:pPr>
        <w:pStyle w:val="Style70"/>
        <w:spacing w:before="0" w:after="0"/>
        <w:ind w:firstLine="709"/>
        <w:rPr>
          <w:rFonts w:eastAsia="Symbol" w:cs="Symbol"/>
          <w:color w:themeColor="text1" w:val="000000"/>
        </w:rPr>
      </w:pPr>
      <w:r>
        <w:rPr>
          <w:rFonts w:eastAsia="Symbol" w:cs="Symbol"/>
          <w:color w:themeColor="text1" w:val="000000"/>
        </w:rPr>
        <w:t>В таблице 2.1.2 представлены основные строительно-климатические характеристики температурного режима.</w:t>
      </w:r>
    </w:p>
    <w:p>
      <w:pPr>
        <w:pStyle w:val="Style78"/>
        <w:rPr>
          <w:rFonts w:eastAsia="Symbol" w:cs="Symbol"/>
          <w:color w:themeColor="text1" w:val="000000"/>
        </w:rPr>
      </w:pPr>
      <w:r>
        <w:rPr>
          <w:rFonts w:eastAsia="Symbol" w:cs="Symbol"/>
          <w:color w:themeColor="text1" w:val="000000"/>
        </w:rPr>
        <w:t>Таблица 2.1.2.</w:t>
      </w:r>
    </w:p>
    <w:p>
      <w:pPr>
        <w:pStyle w:val="Style83"/>
        <w:spacing w:before="0" w:after="0"/>
        <w:rPr>
          <w:rFonts w:eastAsia="Symbol" w:cs="Symbol"/>
          <w:color w:themeColor="text1" w:val="000000"/>
        </w:rPr>
      </w:pPr>
      <w:r>
        <w:rPr>
          <w:rFonts w:eastAsia="Symbol" w:cs="Symbol"/>
          <w:color w:themeColor="text1" w:val="000000"/>
        </w:rPr>
        <w:t>Расчетные показатели температурного режима в г. Калуга</w:t>
      </w:r>
    </w:p>
    <w:tbl>
      <w:tblPr>
        <w:tblW w:w="959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360"/>
        <w:gridCol w:w="1448"/>
        <w:gridCol w:w="1435"/>
        <w:gridCol w:w="1619"/>
        <w:gridCol w:w="1"/>
        <w:gridCol w:w="2110"/>
        <w:gridCol w:w="1617"/>
      </w:tblGrid>
      <w:tr>
        <w:trPr>
          <w:cantSplit w:val="true"/>
        </w:trPr>
        <w:tc>
          <w:tcPr>
            <w:tcW w:w="5863" w:type="dxa"/>
            <w:gridSpan w:val="5"/>
            <w:tcBorders>
              <w:top w:val="single" w:sz="4" w:space="0" w:color="000000"/>
              <w:left w:val="single" w:sz="4" w:space="0" w:color="000000"/>
              <w:bottom w:val="single" w:sz="4" w:space="0" w:color="000000"/>
              <w:right w:val="single" w:sz="4" w:space="0" w:color="000000"/>
            </w:tcBorders>
            <w:shd w:color="auto" w:fill="EDEDED" w:themeFill="accent3" w:themeFillTint="33" w:val="clear"/>
          </w:tcPr>
          <w:p>
            <w:pPr>
              <w:pStyle w:val="1112"/>
              <w:widowControl w:val="false"/>
              <w:rPr>
                <w:b/>
                <w:color w:themeColor="text1" w:val="000000"/>
              </w:rPr>
            </w:pPr>
            <w:r>
              <w:rPr>
                <w:rFonts w:eastAsia="Symbol" w:cs="Symbol"/>
                <w:b/>
                <w:color w:themeColor="text1" w:val="000000"/>
              </w:rPr>
              <w:t xml:space="preserve">Средняя температура наружного воздуха, </w:t>
            </w:r>
            <w:r>
              <w:rPr>
                <w:rFonts w:eastAsia="Symbol" w:cs="Symbol" w:ascii="Symbol" w:hAnsi="Symbol"/>
                <w:b/>
                <w:color w:themeColor="text1" w:val="000000"/>
              </w:rPr>
              <w:t></w:t>
            </w:r>
            <w:r>
              <w:rPr>
                <w:rFonts w:eastAsia="Symbol" w:cs="Symbol"/>
                <w:b/>
                <w:color w:themeColor="text1" w:val="000000"/>
              </w:rPr>
              <w:t>С</w:t>
            </w:r>
          </w:p>
        </w:tc>
        <w:tc>
          <w:tcPr>
            <w:tcW w:w="3727" w:type="dxa"/>
            <w:gridSpan w:val="2"/>
            <w:tcBorders>
              <w:top w:val="single" w:sz="4" w:space="0" w:color="000000"/>
              <w:left w:val="single" w:sz="4" w:space="0" w:color="000000"/>
              <w:bottom w:val="single" w:sz="4" w:space="0" w:color="000000"/>
              <w:right w:val="single" w:sz="4" w:space="0" w:color="000000"/>
            </w:tcBorders>
            <w:shd w:color="auto" w:fill="EDEDED" w:themeFill="accent3" w:themeFillTint="33" w:val="clear"/>
          </w:tcPr>
          <w:p>
            <w:pPr>
              <w:pStyle w:val="1112"/>
              <w:widowControl w:val="false"/>
              <w:rPr>
                <w:b/>
                <w:color w:themeColor="text1" w:val="000000"/>
              </w:rPr>
            </w:pPr>
            <w:r>
              <w:rPr>
                <w:rFonts w:eastAsia="Symbol" w:cs="Symbol"/>
                <w:b/>
                <w:color w:themeColor="text1" w:val="000000"/>
              </w:rPr>
              <w:t>Продолжительность периода, сут.</w:t>
            </w:r>
          </w:p>
        </w:tc>
      </w:tr>
      <w:tr>
        <w:trPr/>
        <w:tc>
          <w:tcPr>
            <w:tcW w:w="136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rFonts w:eastAsia="Symbol" w:cs="Symbol"/>
                <w:b/>
                <w:color w:themeColor="text1" w:val="000000"/>
              </w:rPr>
              <w:t>Наиболее</w:t>
            </w:r>
          </w:p>
          <w:p>
            <w:pPr>
              <w:pStyle w:val="1112"/>
              <w:widowControl w:val="false"/>
              <w:rPr>
                <w:rFonts w:eastAsia="Symbol" w:cs="Symbol"/>
                <w:b/>
                <w:color w:themeColor="text1" w:val="000000"/>
              </w:rPr>
            </w:pPr>
            <w:r>
              <w:rPr>
                <w:rFonts w:eastAsia="Symbol" w:cs="Symbol"/>
                <w:b/>
                <w:color w:themeColor="text1" w:val="000000"/>
              </w:rPr>
              <w:t>холодных</w:t>
            </w:r>
          </w:p>
          <w:p>
            <w:pPr>
              <w:pStyle w:val="1112"/>
              <w:widowControl w:val="false"/>
              <w:rPr>
                <w:b/>
                <w:color w:themeColor="text1" w:val="000000"/>
              </w:rPr>
            </w:pPr>
            <w:r>
              <w:rPr>
                <w:rFonts w:eastAsia="Symbol" w:cs="Symbol"/>
                <w:b/>
                <w:color w:themeColor="text1" w:val="000000"/>
              </w:rPr>
              <w:t>суток</w:t>
            </w:r>
          </w:p>
        </w:tc>
        <w:tc>
          <w:tcPr>
            <w:tcW w:w="144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rFonts w:eastAsia="Symbol" w:cs="Symbol"/>
                <w:b/>
                <w:color w:themeColor="text1" w:val="000000"/>
              </w:rPr>
              <w:t>Наиболее</w:t>
            </w:r>
          </w:p>
          <w:p>
            <w:pPr>
              <w:pStyle w:val="1112"/>
              <w:widowControl w:val="false"/>
              <w:rPr>
                <w:rFonts w:eastAsia="Symbol" w:cs="Symbol"/>
                <w:b/>
                <w:color w:themeColor="text1" w:val="000000"/>
              </w:rPr>
            </w:pPr>
            <w:r>
              <w:rPr>
                <w:rFonts w:eastAsia="Symbol" w:cs="Symbol"/>
                <w:b/>
                <w:color w:themeColor="text1" w:val="000000"/>
              </w:rPr>
              <w:t>холодной</w:t>
            </w:r>
          </w:p>
          <w:p>
            <w:pPr>
              <w:pStyle w:val="1112"/>
              <w:widowControl w:val="false"/>
              <w:rPr>
                <w:b/>
                <w:color w:themeColor="text1" w:val="000000"/>
              </w:rPr>
            </w:pPr>
            <w:r>
              <w:rPr>
                <w:rFonts w:eastAsia="Symbol" w:cs="Symbol"/>
                <w:b/>
                <w:color w:themeColor="text1" w:val="000000"/>
              </w:rPr>
              <w:t>пятидневки</w:t>
            </w:r>
          </w:p>
        </w:tc>
        <w:tc>
          <w:tcPr>
            <w:tcW w:w="143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rFonts w:eastAsia="Symbol" w:cs="Symbol"/>
                <w:b/>
                <w:color w:themeColor="text1" w:val="000000"/>
              </w:rPr>
              <w:t>Наиболее</w:t>
            </w:r>
          </w:p>
          <w:p>
            <w:pPr>
              <w:pStyle w:val="1112"/>
              <w:widowControl w:val="false"/>
              <w:rPr>
                <w:b/>
                <w:color w:themeColor="text1" w:val="000000"/>
              </w:rPr>
            </w:pPr>
            <w:r>
              <w:rPr>
                <w:rFonts w:eastAsia="Symbol" w:cs="Symbol"/>
                <w:b/>
                <w:color w:themeColor="text1" w:val="000000"/>
              </w:rPr>
              <w:t>холодного периода</w:t>
            </w:r>
          </w:p>
        </w:tc>
        <w:tc>
          <w:tcPr>
            <w:tcW w:w="161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rFonts w:eastAsia="Symbol" w:cs="Symbol"/>
                <w:b/>
                <w:color w:themeColor="text1" w:val="000000"/>
              </w:rPr>
              <w:t>Отопительно-го периода</w:t>
            </w:r>
          </w:p>
        </w:tc>
        <w:tc>
          <w:tcPr>
            <w:tcW w:w="2111" w:type="dxa"/>
            <w:gridSpan w:val="2"/>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rFonts w:eastAsia="Symbol" w:cs="Symbol"/>
                <w:b/>
                <w:color w:themeColor="text1" w:val="000000"/>
              </w:rPr>
              <w:t xml:space="preserve">Со среднесуточной температурой </w:t>
            </w:r>
            <w:r>
              <w:rPr>
                <w:rFonts w:eastAsia="Symbol" w:cs="Symbol" w:ascii="Symbol" w:hAnsi="Symbol"/>
                <w:b/>
                <w:color w:themeColor="text1" w:val="000000"/>
              </w:rPr>
              <w:t></w:t>
            </w:r>
            <w:r>
              <w:rPr>
                <w:rFonts w:eastAsia="Symbol" w:cs="Symbol"/>
                <w:b/>
                <w:color w:themeColor="text1" w:val="000000"/>
              </w:rPr>
              <w:t>8</w:t>
            </w:r>
            <w:r>
              <w:rPr>
                <w:rFonts w:eastAsia="Symbol" w:cs="Symbol" w:ascii="Symbol" w:hAnsi="Symbol"/>
                <w:b/>
                <w:color w:themeColor="text1" w:val="000000"/>
              </w:rPr>
              <w:t></w:t>
            </w:r>
            <w:r>
              <w:rPr>
                <w:rFonts w:eastAsia="Symbol" w:cs="Symbol"/>
                <w:b/>
                <w:color w:themeColor="text1" w:val="000000"/>
              </w:rPr>
              <w:t>С (отопительного</w:t>
            </w:r>
          </w:p>
          <w:p>
            <w:pPr>
              <w:pStyle w:val="1112"/>
              <w:widowControl w:val="false"/>
              <w:rPr>
                <w:b/>
                <w:color w:themeColor="text1" w:val="000000"/>
              </w:rPr>
            </w:pPr>
            <w:r>
              <w:rPr>
                <w:rFonts w:eastAsia="Symbol" w:cs="Symbol"/>
                <w:b/>
                <w:color w:themeColor="text1" w:val="000000"/>
              </w:rPr>
              <w:t>периода</w:t>
            </w:r>
          </w:p>
        </w:tc>
        <w:tc>
          <w:tcPr>
            <w:tcW w:w="161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rFonts w:eastAsia="Symbol" w:cs="Symbol"/>
                <w:b/>
                <w:color w:themeColor="text1" w:val="000000"/>
              </w:rPr>
              <w:t xml:space="preserve">Со средней суточной температурой воздуха </w:t>
            </w:r>
            <w:r>
              <w:rPr>
                <w:rFonts w:eastAsia="Symbol" w:cs="Symbol" w:ascii="Symbol" w:hAnsi="Symbol"/>
                <w:b/>
                <w:color w:themeColor="text1" w:val="000000"/>
              </w:rPr>
              <w:t></w:t>
            </w:r>
            <w:r>
              <w:rPr>
                <w:rFonts w:eastAsia="Symbol" w:cs="Symbol"/>
                <w:b/>
                <w:color w:themeColor="text1" w:val="000000"/>
              </w:rPr>
              <w:t>0</w:t>
            </w:r>
            <w:r>
              <w:rPr>
                <w:rFonts w:eastAsia="Symbol" w:cs="Symbol" w:ascii="Symbol" w:hAnsi="Symbol"/>
                <w:b/>
                <w:color w:themeColor="text1" w:val="000000"/>
              </w:rPr>
              <w:t></w:t>
            </w:r>
            <w:r>
              <w:rPr>
                <w:rFonts w:eastAsia="Symbol" w:cs="Symbol"/>
                <w:b/>
                <w:color w:themeColor="text1" w:val="000000"/>
              </w:rPr>
              <w:t>С</w:t>
            </w:r>
          </w:p>
        </w:tc>
      </w:tr>
      <w:tr>
        <w:trPr>
          <w:trHeight w:val="449" w:hRule="atLeast"/>
        </w:trPr>
        <w:tc>
          <w:tcPr>
            <w:tcW w:w="13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rFonts w:eastAsia="Symbol" w:cs="Symbol"/>
                <w:color w:themeColor="text1" w:val="000000"/>
              </w:rPr>
              <w:t>-31</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rFonts w:eastAsia="Symbol" w:cs="Symbol"/>
                <w:color w:themeColor="text1" w:val="000000"/>
              </w:rPr>
              <w:t>-27</w:t>
            </w:r>
          </w:p>
        </w:tc>
        <w:tc>
          <w:tcPr>
            <w:tcW w:w="14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rFonts w:eastAsia="Symbol" w:cs="Symbol"/>
                <w:color w:themeColor="text1" w:val="000000"/>
              </w:rPr>
              <w:t>-14</w:t>
            </w:r>
          </w:p>
        </w:tc>
        <w:tc>
          <w:tcPr>
            <w:tcW w:w="16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rFonts w:eastAsia="Symbol" w:cs="Symbol"/>
                <w:color w:themeColor="text1" w:val="000000"/>
              </w:rPr>
              <w:t>-3,5</w:t>
            </w:r>
          </w:p>
        </w:tc>
        <w:tc>
          <w:tcPr>
            <w:tcW w:w="211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rFonts w:eastAsia="Symbol" w:cs="Symbol"/>
                <w:color w:themeColor="text1" w:val="000000"/>
              </w:rPr>
              <w:t>214</w:t>
            </w:r>
          </w:p>
        </w:tc>
        <w:tc>
          <w:tcPr>
            <w:tcW w:w="1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rFonts w:eastAsia="Symbol" w:cs="Symbol"/>
                <w:color w:themeColor="text1" w:val="000000"/>
              </w:rPr>
              <w:t>150</w:t>
            </w:r>
          </w:p>
        </w:tc>
      </w:tr>
    </w:tbl>
    <w:p>
      <w:pPr>
        <w:sectPr>
          <w:headerReference w:type="default" r:id="rId4"/>
          <w:headerReference w:type="first" r:id="rId5"/>
          <w:type w:val="nextPage"/>
          <w:pgSz w:w="11906" w:h="16838"/>
          <w:pgMar w:left="1418" w:right="709" w:gutter="0" w:header="1134" w:top="1695" w:footer="0" w:bottom="709"/>
          <w:pgNumType w:fmt="decimal"/>
          <w:formProt w:val="false"/>
          <w:textDirection w:val="lrTb"/>
          <w:docGrid w:type="default" w:linePitch="360" w:charSpace="0"/>
        </w:sectPr>
      </w:pPr>
    </w:p>
    <w:p>
      <w:pPr>
        <w:pStyle w:val="Style70"/>
        <w:spacing w:before="0" w:after="0"/>
        <w:ind w:firstLine="709"/>
        <w:rPr>
          <w:rFonts w:eastAsia="Symbol" w:cs="Symbol"/>
          <w:color w:themeColor="text1" w:val="000000"/>
        </w:rPr>
      </w:pPr>
      <w:r>
        <w:rPr>
          <w:rFonts w:eastAsia="Symbol" w:cs="Symbol"/>
          <w:color w:themeColor="text1" w:val="000000"/>
        </w:rPr>
        <w:t xml:space="preserve">Городской округ находится в зоне достаточного увлажнения. За год выпадает 738 мм осадков, из них – 467 мм приходится на теплый период года и 271 мм – на холодный. Самым дождливым месяцем является июль, когда выпадает в среднем 95 мм осадков, а самый «сухой» - март (44 мм осадков). </w:t>
      </w:r>
    </w:p>
    <w:p>
      <w:pPr>
        <w:pStyle w:val="Style70"/>
        <w:spacing w:before="0" w:after="0"/>
        <w:ind w:firstLine="709"/>
        <w:rPr>
          <w:rFonts w:eastAsia="Symbol" w:cs="Symbol"/>
          <w:color w:themeColor="text1" w:val="000000"/>
        </w:rPr>
      </w:pPr>
      <w:r>
        <w:rPr>
          <w:rFonts w:eastAsia="Symbol" w:cs="Symbol"/>
          <w:color w:themeColor="text1" w:val="000000"/>
        </w:rPr>
        <w:t>Средняя дата образования устойчивого снежного покрова – 29 ноября, а разрушение –</w:t>
        <w:br/>
        <w:t>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w:t>
      </w:r>
    </w:p>
    <w:p>
      <w:pPr>
        <w:pStyle w:val="Style70"/>
        <w:spacing w:before="0" w:after="0"/>
        <w:ind w:firstLine="709"/>
        <w:rPr>
          <w:rFonts w:eastAsia="Symbol" w:cs="Symbol"/>
          <w:color w:themeColor="text1" w:val="000000"/>
        </w:rPr>
      </w:pPr>
      <w:r>
        <w:rPr>
          <w:rFonts w:eastAsia="Symbol" w:cs="Symbol"/>
          <w:color w:themeColor="text1" w:val="000000"/>
        </w:rPr>
        <w:t>Средняя месячная относительная влажность воздуха колеблется от 68% до 87%. Число дней с относительной влажностью 80% и более за год составляет 125-133.</w:t>
      </w:r>
    </w:p>
    <w:p>
      <w:pPr>
        <w:pStyle w:val="Style70"/>
        <w:spacing w:before="0" w:after="0"/>
        <w:ind w:firstLine="709"/>
        <w:rPr>
          <w:rFonts w:eastAsia="Symbol" w:cs="Symbol"/>
          <w:color w:themeColor="text1" w:val="000000"/>
        </w:rPr>
      </w:pPr>
      <w:r>
        <w:rPr>
          <w:rFonts w:eastAsia="Symbol" w:cs="Symbol"/>
          <w:color w:themeColor="text1" w:val="000000"/>
        </w:rPr>
        <w:t xml:space="preserve">Ветровой режим г. Калуги характеризуется небольшим колебанием повторяемости ветра по различным направлениям. Наибольшую повторяемость в среднем за год имеют юго-западные (19%) и западные (15%) ветры, наименьшую – северо-западные (11%), северные (10%) и северо-восточные (9%). В зимний период преобладают ветры юго-западного направления (23%), в летний – западные (17%), северные (14%) и северо-восточные (14%). </w:t>
      </w:r>
    </w:p>
    <w:p>
      <w:pPr>
        <w:pStyle w:val="Style70"/>
        <w:spacing w:before="0" w:after="0"/>
        <w:ind w:firstLine="709"/>
        <w:rPr>
          <w:rFonts w:eastAsia="Symbol" w:cs="Symbol"/>
          <w:color w:themeColor="text1" w:val="000000"/>
        </w:rPr>
      </w:pPr>
      <w:r>
        <w:rPr>
          <w:rFonts w:eastAsia="Symbol" w:cs="Symbol"/>
          <w:color w:themeColor="text1" w:val="000000"/>
        </w:rPr>
        <w:t>Средняя годовая скорость ветра равна 3,6 м/с. Самые ветреные месяцы со средней скоростью ветра 4,0 м/с и более – это период с ноября по март включительно. Из них ноябрь наиболее ветреный, скорость ветра достигает 4,3 м/с. Наименьшие скорости ветра отмечаются в августе. Максимальные скорости ветра в зимний период фиксируются при ветрах южных и юго-западных направлений (4,9-5 м/сек), в летний период – при ветрах северо-западного и западного направления (3,3-3,8 м/сек).</w:t>
      </w:r>
    </w:p>
    <w:p>
      <w:pPr>
        <w:pStyle w:val="Style70"/>
        <w:spacing w:before="0" w:after="0"/>
        <w:ind w:firstLine="709"/>
        <w:rPr>
          <w:rFonts w:eastAsia="Symbol" w:cs="Symbol"/>
          <w:color w:themeColor="text1" w:val="000000"/>
        </w:rPr>
      </w:pPr>
      <w:r>
        <w:rPr>
          <w:rFonts w:eastAsia="Symbol" w:cs="Symbol"/>
          <w:color w:themeColor="text1" w:val="000000"/>
        </w:rPr>
        <w:t>Ветровой режим оказывает существенное влияние на перенос и рассеивание загрязняющих веществ. Особенно это относится к ветрам со скоростью 0-1 м/сек. В Калуге повторяемость ветров этой градации за год составляет 20-30%. Увеличение повторяемости слабых ветров и штилей отмечается в летние месяцы, достигая максимума в августе.</w:t>
      </w:r>
    </w:p>
    <w:p>
      <w:pPr>
        <w:pStyle w:val="Style70"/>
        <w:spacing w:before="0" w:after="0"/>
        <w:ind w:firstLine="709"/>
        <w:rPr>
          <w:rFonts w:eastAsia="Symbol" w:cs="Symbol"/>
          <w:color w:themeColor="text1" w:val="000000"/>
        </w:rPr>
      </w:pPr>
      <w:r>
        <w:rPr>
          <w:rFonts w:eastAsia="Symbol" w:cs="Symbol"/>
          <w:color w:themeColor="text1" w:val="000000"/>
        </w:rPr>
        <w:t>Потенциал загрязнения атмосферы (ПЗА) на рассматриваемой территории характеризуется как умеренный. Повышенный уровень загрязнения атмосферного воздуха, обусловленный метеорологическими условиями, может отмечаться летом и зимой.</w:t>
      </w:r>
    </w:p>
    <w:p>
      <w:pPr>
        <w:pStyle w:val="Style70"/>
        <w:spacing w:before="0" w:after="0"/>
        <w:ind w:firstLine="709"/>
        <w:rPr>
          <w:rFonts w:eastAsia="Symbol" w:cs="Symbol"/>
          <w:color w:themeColor="text1" w:val="000000"/>
        </w:rPr>
      </w:pPr>
      <w:r>
        <w:rPr>
          <w:rFonts w:eastAsia="Symbol" w:cs="Symbol"/>
          <w:color w:themeColor="text1" w:val="000000"/>
        </w:rPr>
        <w:t>Важное значение в формировании ветрового режима играют орографические особенности рельефа. В непродуваемых долинах рек, ручьев, оврагов отмечается существенное снижение скорости ветрового потока (до 25%), увеличивается вероятность образования застойных зон.</w:t>
      </w:r>
    </w:p>
    <w:p>
      <w:pPr>
        <w:pStyle w:val="Heading3"/>
        <w:numPr>
          <w:ilvl w:val="2"/>
          <w:numId w:val="2"/>
        </w:numPr>
        <w:spacing w:before="100" w:after="100"/>
        <w:ind w:firstLine="709" w:left="0"/>
        <w:rPr>
          <w:rFonts w:eastAsia="Symbol" w:cs="Symbol"/>
          <w:color w:themeColor="text1" w:val="000000"/>
        </w:rPr>
      </w:pPr>
      <w:bookmarkStart w:id="7" w:name="_Toc217312433"/>
      <w:r>
        <w:rPr>
          <w:rFonts w:eastAsia="Symbol" w:cs="Symbol"/>
          <w:color w:themeColor="text1" w:val="000000"/>
        </w:rPr>
        <w:t>2.2. Гидрологические условия</w:t>
      </w:r>
      <w:bookmarkEnd w:id="7"/>
    </w:p>
    <w:p>
      <w:pPr>
        <w:pStyle w:val="Style70"/>
        <w:spacing w:before="0" w:after="0"/>
        <w:ind w:firstLine="709"/>
        <w:rPr>
          <w:rFonts w:eastAsia="Symbol" w:cs="Symbol"/>
          <w:color w:themeColor="text1" w:val="000000"/>
        </w:rPr>
      </w:pPr>
      <w:r>
        <w:rPr>
          <w:rFonts w:eastAsia="Symbol" w:cs="Symbol"/>
          <w:color w:themeColor="text1" w:val="000000"/>
        </w:rPr>
        <w:t xml:space="preserve">Городской округ расположен в бассейне р. Оки. </w:t>
      </w:r>
    </w:p>
    <w:p>
      <w:pPr>
        <w:pStyle w:val="Style70"/>
        <w:spacing w:before="0" w:after="0"/>
        <w:ind w:firstLine="709"/>
        <w:rPr/>
      </w:pPr>
      <w:r>
        <w:rPr>
          <w:rFonts w:eastAsia="Symbol" w:cs="Symbol"/>
          <w:color w:themeColor="text1" w:val="000000"/>
        </w:rPr>
        <w:t xml:space="preserve">Общая длина р. Оки 1500 км, водосборная площадь 245 тыс.кв.км. На территории в пределах широтного отрезка долина реки Оки узкая с высокими крутыми склонами – террасами, расчлененными оврагами, а в пределах меридионального отрезка - широкая с поймой от 800 м до 2 км с отмелями – косами. Русло реки прямолинейное. Ширина реки около 300 м, глубина – 3,5 м, скорость течения – 0,3 м/сек. Уклон водной поверхности – 4,5 см на километр. </w:t>
      </w:r>
    </w:p>
    <w:p>
      <w:pPr>
        <w:pStyle w:val="Style70"/>
        <w:spacing w:before="0" w:after="0"/>
        <w:ind w:firstLine="709"/>
        <w:rPr>
          <w:rFonts w:eastAsia="Symbol" w:cs="Symbol"/>
          <w:color w:themeColor="text1" w:val="000000"/>
        </w:rPr>
      </w:pPr>
      <w:r>
        <w:rPr>
          <w:rFonts w:eastAsia="Symbol" w:cs="Symbol"/>
          <w:color w:themeColor="text1" w:val="000000"/>
        </w:rPr>
        <w:t>Основным источником питания реки являются талые воды. 87% годового стока приходится на март – май. Расходы воды р. Оки сильно варьируют от года: в межень изменяются от 58,2 до 824 куб.м./сек, в паводок – от 232 до 3950 куб. м/сек.</w:t>
      </w:r>
    </w:p>
    <w:p>
      <w:pPr>
        <w:pStyle w:val="Style70"/>
        <w:spacing w:before="0" w:after="0"/>
        <w:ind w:firstLine="709"/>
        <w:rPr>
          <w:rFonts w:eastAsia="Symbol" w:cs="Symbol"/>
          <w:color w:themeColor="text1" w:val="000000"/>
        </w:rPr>
      </w:pPr>
      <w:r>
        <w:rPr>
          <w:rFonts w:eastAsia="Symbol" w:cs="Symbol"/>
          <w:color w:themeColor="text1" w:val="000000"/>
        </w:rPr>
        <w:t xml:space="preserve">Режим уровней воды характеризуется четко выраженным высоким весенним половодьем, низкой летней меженью, прерываемой дождевыми паводками и устойчивой продолжительной зимней меженью. Продолжительность ледостава от 106 до 179 суток, средняя 146 суток. Средний годовой сток составляет 5,5 л/с/км. Из них 69% снегового питания и 40% дождевого и грунтового. </w:t>
      </w:r>
    </w:p>
    <w:p>
      <w:pPr>
        <w:pStyle w:val="Style70"/>
        <w:spacing w:before="0" w:after="0"/>
        <w:ind w:firstLine="709"/>
        <w:rPr>
          <w:rFonts w:eastAsia="Symbol" w:cs="Symbol"/>
          <w:color w:themeColor="text1" w:val="000000"/>
        </w:rPr>
      </w:pPr>
      <w:r>
        <w:rPr>
          <w:rFonts w:eastAsia="Symbol" w:cs="Symbol"/>
          <w:color w:themeColor="text1" w:val="000000"/>
        </w:rPr>
        <w:t xml:space="preserve">Река Яченка – левый приток р. Ока. Длина ее 31 км. Площадь водосбора 238 кв. км. В верховьях река имеет широкую долину с крутыми берегами. В приустьевой части долина ассиметрична с крутым до 30 градусов левым и пологим правым склонами. Крутые склоны разрезаны оврагами. Русло р. Яченка извилистое, шириной от 3 до 10-12 м. Скорость течения 0,3-0,5 м/сек. В долине реки наблюдаются выходы источников из окского горизонта, которые играют большую роль в питании реки. Доля снегового питания составляет 60%, дождевого – 20%, Режим реки отличается высоким весенним половодьем, низкой летней меженью. Отмечается один хороший паводок в конце марта – начале апреля. Он совпадает с началом ледохода. Река перегорожена Смоленской дамбой. Отметка порога водослива равна 127,0 м. В меженный период при закрытых донных отверстиях в р. Яченке поддерживается зеркало воды на отметке 127,0 м. </w:t>
      </w:r>
    </w:p>
    <w:p>
      <w:pPr>
        <w:pStyle w:val="Style70"/>
        <w:spacing w:before="0" w:after="0"/>
        <w:ind w:firstLine="709"/>
        <w:rPr>
          <w:rFonts w:eastAsia="Symbol" w:cs="Symbol"/>
          <w:color w:themeColor="text1" w:val="000000"/>
        </w:rPr>
      </w:pPr>
      <w:r>
        <w:rPr>
          <w:rFonts w:eastAsia="Symbol" w:cs="Symbol"/>
          <w:color w:themeColor="text1" w:val="000000"/>
        </w:rPr>
        <w:t>Река Яченка имеет притоки – ручей Каменец и р. Терепец. Общая длина притоков       43 км. В долине реки расположено о. Резванское, озеро старичного типа.</w:t>
      </w:r>
    </w:p>
    <w:p>
      <w:pPr>
        <w:pStyle w:val="Style70"/>
        <w:spacing w:before="0" w:after="0"/>
        <w:ind w:firstLine="709"/>
        <w:rPr>
          <w:rFonts w:eastAsia="Symbol" w:cs="Symbol"/>
          <w:color w:themeColor="text1" w:val="000000"/>
        </w:rPr>
      </w:pPr>
      <w:r>
        <w:rPr>
          <w:rFonts w:eastAsia="Symbol" w:cs="Symbol"/>
          <w:color w:themeColor="text1" w:val="000000"/>
        </w:rPr>
        <w:t>Яченское водохранилище организовано в 1980 г. в устьевой части р. Яченка. Длина водохранилища 2,5 км, максимальная ширина до 800 м. Максимальная глубина 7,0 м. За время эксплуатации водохранилища на дне сформировался ил глинистого и суглинистого состава. Мощность ила достигает 1,0-1,5 м. Данные анализов воды и ила Яченского водохранилища по материалам детальных геолого-экологических исследований 1993 г. показывают влияние на него промышленно-хозяйственной деятельности человека. В илистых грунтах происходит постепенное накопление загрязняющих веществ.</w:t>
      </w:r>
    </w:p>
    <w:p>
      <w:pPr>
        <w:pStyle w:val="Style70"/>
        <w:spacing w:before="0" w:after="0"/>
        <w:ind w:firstLine="709"/>
        <w:rPr>
          <w:rFonts w:eastAsia="Symbol" w:cs="Symbol"/>
          <w:color w:themeColor="text1" w:val="000000"/>
        </w:rPr>
      </w:pPr>
      <w:r>
        <w:rPr>
          <w:rFonts w:eastAsia="Symbol" w:cs="Symbol"/>
          <w:color w:themeColor="text1" w:val="000000"/>
        </w:rPr>
        <w:t>Река Терепец имеет длину 22 км, площадь водосбора 802 км². Ширина русла – 10 м, глубина в межень – 0,2-0,4 м, уклон в пределах 0,0018-0,002 на спокойных участках, перемежаемых порогами и водопадами со значительными скоростями. Скорость на спокойных участках составляет 0,5-0,7 куб. м/с. Среднегодовые расходы при 50% обеспеченности равны 0,47 м³, 75% - 0,38 м³/с, 95% - 0,27 куб. м/с и при 97% обеспеченности – 0,25 м³/с.</w:t>
      </w:r>
    </w:p>
    <w:p>
      <w:pPr>
        <w:pStyle w:val="Style70"/>
        <w:spacing w:before="0" w:after="0"/>
        <w:ind w:firstLine="709"/>
        <w:rPr>
          <w:rFonts w:eastAsia="Symbol" w:cs="Symbol"/>
          <w:color w:themeColor="text1" w:val="000000"/>
        </w:rPr>
      </w:pPr>
      <w:r>
        <w:rPr>
          <w:rFonts w:eastAsia="Symbol" w:cs="Symbol"/>
          <w:color w:themeColor="text1" w:val="000000"/>
        </w:rPr>
        <w:t xml:space="preserve">Река Киевка – левый приток р. Оки. Расположена на восточной окраине г. Калуги, течет с севера на юг. Площадь водосбора составляет 30 км², длина реки 10 км, берега изрезаны глубокими оврагами и ложбинами. Русло имеет ширину 4-10 м. Скорость на спокойных участках составляет 0,5-0,7 м³/с. Режим р. Киевка связан с режимом р. Оки и характеризуется четко выраженным высоким весенним половодьем, низкой летней меженью, прерываемой дождевыми паводками и устойчивой продолжительной зимней меженью. Весеннее половодье происходит на 1,5-2,0 декады раньше, чем на р. Оке, средняя продолжительность его 30-60 дней. </w:t>
      </w:r>
    </w:p>
    <w:p>
      <w:pPr>
        <w:pStyle w:val="Style70"/>
        <w:spacing w:before="0" w:after="0"/>
        <w:ind w:firstLine="709"/>
        <w:rPr>
          <w:rFonts w:eastAsia="Symbol" w:cs="Symbol"/>
          <w:color w:themeColor="text1" w:val="000000"/>
        </w:rPr>
      </w:pPr>
      <w:r>
        <w:rPr>
          <w:rFonts w:eastAsia="Symbol" w:cs="Symbol"/>
          <w:color w:themeColor="text1" w:val="000000"/>
        </w:rPr>
        <w:t xml:space="preserve">Река Угра – левый приток р. Оки. Общая длина 399 км, площадь водосбора - 15700 км². Впадает в Оку в западной части городского округа. </w:t>
      </w:r>
    </w:p>
    <w:p>
      <w:pPr>
        <w:pStyle w:val="Style70"/>
        <w:spacing w:before="0" w:after="0"/>
        <w:ind w:firstLine="709"/>
        <w:rPr>
          <w:rFonts w:eastAsia="TimesNewRomanOOEnc" w:cs="Symbol"/>
          <w:color w:themeColor="text1" w:val="000000"/>
        </w:rPr>
      </w:pPr>
      <w:r>
        <w:rPr>
          <w:rFonts w:eastAsia="Symbol" w:cs="Symbol"/>
          <w:color w:themeColor="text1" w:val="000000"/>
        </w:rPr>
        <w:t xml:space="preserve">Территория городского округа характеризуется довольно большим количеством ручьев, истоком которых служат восходящие родники. Территория вокруг этих ручьев заболочена. </w:t>
      </w:r>
    </w:p>
    <w:p>
      <w:pPr>
        <w:pStyle w:val="Style70"/>
        <w:spacing w:before="0" w:after="0"/>
        <w:ind w:firstLine="709"/>
        <w:rPr>
          <w:rStyle w:val="Style18"/>
          <w:rFonts w:cs="Symbol"/>
          <w:color w:themeColor="text1" w:val="000000"/>
        </w:rPr>
      </w:pPr>
      <w:r>
        <w:rPr>
          <w:rFonts w:eastAsia="TimesNewRomanOOEnc" w:cs="Symbol"/>
          <w:color w:themeColor="text1" w:val="000000"/>
        </w:rPr>
        <w:t xml:space="preserve">Паводковый горизонт воды 1 % обеспеченности (повторяемостью один раз в 100 лет) </w:t>
      </w:r>
      <w:r>
        <w:rPr>
          <w:rStyle w:val="Style18"/>
          <w:rFonts w:cs="Symbol"/>
          <w:color w:themeColor="text1" w:val="000000"/>
        </w:rPr>
        <w:t>по водопосту г. Калуги</w:t>
      </w:r>
      <w:r>
        <w:rPr>
          <w:rFonts w:eastAsia="TimesNewRomanOOEnc" w:cs="Symbol"/>
          <w:color w:themeColor="text1" w:val="000000"/>
        </w:rPr>
        <w:t xml:space="preserve"> находится на отметке </w:t>
      </w:r>
      <w:r>
        <w:rPr>
          <w:rStyle w:val="Style18"/>
          <w:rFonts w:cs="Symbol"/>
          <w:color w:themeColor="text1" w:val="000000"/>
        </w:rPr>
        <w:t>134,5 м</w:t>
      </w:r>
      <w:r>
        <w:rPr>
          <w:rFonts w:eastAsia="TimesNewRomanOOEnc" w:cs="Symbol"/>
          <w:color w:themeColor="text1" w:val="000000"/>
        </w:rPr>
        <w:t>.</w:t>
      </w:r>
      <w:r>
        <w:rPr>
          <w:rStyle w:val="Style18"/>
          <w:rFonts w:cs="Symbol"/>
          <w:color w:themeColor="text1" w:val="000000"/>
        </w:rPr>
        <w:t xml:space="preserve"> Расчетные уровни воды паводка 10% обеспеченности - 130,47 м.</w:t>
      </w:r>
    </w:p>
    <w:p>
      <w:pPr>
        <w:pStyle w:val="Heading3"/>
        <w:numPr>
          <w:ilvl w:val="2"/>
          <w:numId w:val="2"/>
        </w:numPr>
        <w:spacing w:before="100" w:after="100"/>
        <w:ind w:firstLine="709" w:left="0"/>
        <w:rPr>
          <w:rFonts w:eastAsia="Symbol" w:cs="Symbol"/>
          <w:color w:themeColor="text1" w:val="000000"/>
        </w:rPr>
      </w:pPr>
      <w:bookmarkStart w:id="8" w:name="_Toc217312434"/>
      <w:r>
        <w:rPr>
          <w:rFonts w:eastAsia="Symbol" w:cs="Symbol"/>
          <w:color w:themeColor="text1" w:val="000000"/>
        </w:rPr>
        <w:t>2.3. Гидрогеологические условия</w:t>
      </w:r>
      <w:bookmarkEnd w:id="8"/>
    </w:p>
    <w:p>
      <w:pPr>
        <w:pStyle w:val="Style70"/>
        <w:spacing w:before="0" w:after="0"/>
        <w:ind w:firstLine="709"/>
        <w:rPr>
          <w:rFonts w:cs="Symbol"/>
          <w:color w:themeColor="text1" w:val="000000"/>
        </w:rPr>
      </w:pPr>
      <w:r>
        <w:rPr>
          <w:rFonts w:cs="Symbol"/>
          <w:color w:themeColor="text1" w:val="000000"/>
        </w:rPr>
        <w:t>Город Калуга расположен в пределах Московского артезианского бассейна. Пресные подземные воды встречаются в интервале глубин от 2-3 м до 120 м. Они приурочены к отложениям каменноугольного, юрского, мелового третичного и четвертичного возрастов.</w:t>
      </w:r>
    </w:p>
    <w:p>
      <w:pPr>
        <w:pStyle w:val="Style70"/>
        <w:spacing w:before="0" w:after="0"/>
        <w:ind w:firstLine="709"/>
        <w:rPr>
          <w:rFonts w:cs="Symbol"/>
          <w:color w:themeColor="text1" w:val="000000"/>
        </w:rPr>
      </w:pPr>
      <w:r>
        <w:rPr>
          <w:rFonts w:cs="Symbol"/>
          <w:color w:themeColor="text1" w:val="000000"/>
        </w:rPr>
        <w:t>Для централизованного водоснабжения используются подземные воды, залегающие в известняках упинского, окско-тарусского, нижнетульского горизонтов.</w:t>
      </w:r>
    </w:p>
    <w:p>
      <w:pPr>
        <w:pStyle w:val="Style70"/>
        <w:spacing w:before="0" w:after="0"/>
        <w:ind w:firstLine="709"/>
        <w:rPr>
          <w:rFonts w:cs="Symbol"/>
          <w:color w:themeColor="text1" w:val="000000"/>
        </w:rPr>
      </w:pPr>
      <w:r>
        <w:rPr>
          <w:rFonts w:cs="Symbol"/>
          <w:color w:themeColor="text1" w:val="000000"/>
        </w:rPr>
        <w:t>Окско-тарусский водоносный горизонт, безнапорный, дренируется речной сетью. Водовмещающими отложениями служат трещиноватые известняки мощностью до 20 м. Абсолютные отметки статистического уровня изменяются от 132 м в долине р. Оки до 188 м на водоразделах, а глубины залегания уровня от 1-2 до 100 м.</w:t>
      </w:r>
    </w:p>
    <w:p>
      <w:pPr>
        <w:pStyle w:val="Style70"/>
        <w:spacing w:before="0" w:after="0"/>
        <w:ind w:firstLine="709"/>
        <w:rPr>
          <w:rFonts w:cs="Symbol"/>
          <w:color w:themeColor="text1" w:val="000000"/>
        </w:rPr>
      </w:pPr>
      <w:r>
        <w:rPr>
          <w:rFonts w:cs="Symbol"/>
          <w:color w:themeColor="text1" w:val="000000"/>
        </w:rPr>
        <w:t>Нижне-тульский водоносный горизонт представлен мелкозернистыми песками с обводненной мощностью в среднем 18-20 м, иногда до 50 м, залегает на бобриковских глинах или на упинских известняках. Горизонт перекрывается четвертичными отложениями. Питание горизонта осуществляется как за счет перетекания вод из поверхностных водоисточников, так и за счет переноса из смежных горизонтов.</w:t>
      </w:r>
    </w:p>
    <w:p>
      <w:pPr>
        <w:pStyle w:val="Style70"/>
        <w:spacing w:before="0" w:after="0"/>
        <w:ind w:firstLine="709"/>
        <w:rPr>
          <w:rFonts w:cs="Symbol"/>
          <w:color w:themeColor="text1" w:val="000000"/>
        </w:rPr>
      </w:pPr>
      <w:r>
        <w:rPr>
          <w:rFonts w:cs="Symbol"/>
          <w:color w:themeColor="text1" w:val="000000"/>
        </w:rPr>
        <w:t>Удельный дебиты скважин составляют в среднем 1 л/сек, а коэффициент фильтрации составляет 0,5-5 м/сутки.</w:t>
      </w:r>
    </w:p>
    <w:p>
      <w:pPr>
        <w:pStyle w:val="Style70"/>
        <w:spacing w:before="0" w:after="0"/>
        <w:ind w:firstLine="709"/>
        <w:rPr>
          <w:rFonts w:cs="Symbol"/>
          <w:color w:themeColor="text1" w:val="000000"/>
        </w:rPr>
      </w:pPr>
      <w:r>
        <w:rPr>
          <w:rFonts w:cs="Symbol"/>
          <w:color w:themeColor="text1" w:val="000000"/>
        </w:rPr>
        <w:t>Упинский водоносный горизонт распространен на всей изучаемой территории. Водовмещающими породами являются трещиноватые известняки, подстилаемые водоупорными глинами Малевского горизонта мощностью 8-12 м.</w:t>
      </w:r>
    </w:p>
    <w:p>
      <w:pPr>
        <w:pStyle w:val="Style70"/>
        <w:spacing w:before="0" w:after="0"/>
        <w:ind w:firstLine="709"/>
        <w:rPr/>
      </w:pPr>
      <w:r>
        <w:rPr>
          <w:rFonts w:cs="Symbol"/>
          <w:color w:themeColor="text1" w:val="000000"/>
        </w:rPr>
        <w:t>В районе Калужского кольцевого вала, в долинах рек Ока, Яченка горизонт залегает на глубинах от 10 до 50 м. Удельный дебит скважин достигает 10-20 л/сек. На водоразделах водостабильность горизонта снижается (дебит скважины 0,1-1 л/сек.). Коэффициент фильтрации в долинах рек 25-40 м/сут, на водоразделах 2-6 м/сутки.</w:t>
      </w:r>
    </w:p>
    <w:p>
      <w:pPr>
        <w:pStyle w:val="Style70"/>
        <w:spacing w:before="60" w:after="60"/>
        <w:ind w:firstLine="709"/>
        <w:rPr>
          <w:rFonts w:cs="Symbol"/>
          <w:b/>
          <w:color w:themeColor="text1" w:val="000000"/>
        </w:rPr>
      </w:pPr>
      <w:r>
        <w:rPr>
          <w:rStyle w:val="Style15"/>
          <w:rFonts w:cs="Symbol"/>
          <w:b/>
          <w:color w:themeColor="text1" w:val="000000"/>
          <w:u w:val="none"/>
        </w:rPr>
        <w:t>Пресные подземные воды</w:t>
      </w:r>
    </w:p>
    <w:p>
      <w:pPr>
        <w:pStyle w:val="Style70"/>
        <w:spacing w:before="0" w:after="0"/>
        <w:ind w:firstLine="709"/>
        <w:rPr>
          <w:rFonts w:cs="Symbol"/>
          <w:color w:themeColor="text1" w:val="000000"/>
        </w:rPr>
      </w:pPr>
      <w:r>
        <w:rPr>
          <w:rFonts w:cs="Symbol"/>
          <w:color w:themeColor="text1" w:val="000000"/>
        </w:rPr>
        <w:t>В разделе использованы материалы Калужского филиала ГУ Центра природопользования и охраны окружающей среды Всероссийский НИИ экономики минерального сырья и недропользования (ВИЭМС).</w:t>
      </w:r>
    </w:p>
    <w:p>
      <w:pPr>
        <w:pStyle w:val="Style70"/>
        <w:spacing w:before="0" w:after="0"/>
        <w:ind w:firstLine="709"/>
        <w:rPr/>
      </w:pPr>
      <w:r>
        <w:rPr>
          <w:rFonts w:cs="Symbol"/>
          <w:color w:themeColor="text1" w:val="000000"/>
        </w:rPr>
        <w:t>На территории г. Калуги и пригорода разведано одиннадцать месторождений</w:t>
        <w:br/>
        <w:t>(37 участков) пресных подземных вод с утвержденными эксплуатационными запасами категорий А+В+С1+С2 – 276,6 тыс. м³/сут, в том числе по категориям: А – 154,6 тыс. м³/сут,  В–20,2 тыс. м³/сут, С1 – 79,3 тыс. м³/сут, С2 – 22,5 тыс. м³/сут, что составляет 23,4 % от разведанных эксплуатационных запасов Калужской области. Краткая характеристика месторождений пресных подземных вод приведена в таблице 2.3.1.</w:t>
      </w:r>
    </w:p>
    <w:p>
      <w:pPr>
        <w:pStyle w:val="Style70"/>
        <w:spacing w:before="0" w:after="0"/>
        <w:ind w:firstLine="709"/>
        <w:rPr>
          <w:rFonts w:cs="Symbol"/>
          <w:color w:themeColor="text1" w:val="000000"/>
        </w:rPr>
      </w:pPr>
      <w:r>
        <w:rPr>
          <w:rFonts w:cs="Symbol"/>
          <w:color w:themeColor="text1" w:val="000000"/>
        </w:rPr>
        <w:t>В эксплуатации находятся двадцать два участка семи месторождений.</w:t>
      </w:r>
    </w:p>
    <w:p>
      <w:pPr>
        <w:pStyle w:val="Style70"/>
        <w:spacing w:before="0" w:after="0"/>
        <w:ind w:firstLine="709"/>
        <w:rPr>
          <w:rFonts w:cs="Symbol"/>
          <w:color w:themeColor="text1" w:val="000000"/>
        </w:rPr>
      </w:pPr>
      <w:r>
        <w:rPr>
          <w:rFonts w:cs="Symbol"/>
          <w:color w:themeColor="text1" w:val="000000"/>
        </w:rPr>
        <w:t>Водоотбор подземных вод составляет около 91 тыс. куб.м/сут, в том числе: на участках с утвержденными запасами ~ 87,5 тыс. м³/сут, на участках с неутвержденными запасами ~</w:t>
        <w:br/>
        <w:t>3,7 тыс. куб.м/сут. Обеспеченность разведанными эксплуатационными запасами подземных вод на человека ~ 0,8 куб.м/сут.</w:t>
      </w:r>
    </w:p>
    <w:p>
      <w:pPr>
        <w:pStyle w:val="Style70"/>
        <w:spacing w:before="0" w:after="0"/>
        <w:ind w:firstLine="709"/>
        <w:rPr>
          <w:rFonts w:cs="Symbol"/>
          <w:color w:themeColor="text1" w:val="000000"/>
        </w:rPr>
      </w:pPr>
      <w:r>
        <w:rPr>
          <w:rFonts w:cs="Symbol"/>
          <w:color w:themeColor="text1" w:val="000000"/>
        </w:rPr>
        <w:t>Утвержденные запасы подземных вод по существующим водозаборам составляют:</w:t>
      </w:r>
    </w:p>
    <w:p>
      <w:pPr>
        <w:pStyle w:val="138"/>
        <w:spacing w:before="0" w:after="0"/>
        <w:ind w:hanging="0" w:left="709"/>
        <w:rPr>
          <w:rFonts w:cs="Symbol"/>
          <w:color w:themeColor="text1" w:val="000000"/>
        </w:rPr>
      </w:pPr>
      <w:r>
        <w:rPr>
          <w:rFonts w:cs="Symbol"/>
          <w:color w:themeColor="text1" w:val="000000"/>
        </w:rPr>
        <w:t>- Северный водозабор (в долине р. Яченка) – 34 тыс.куб.м/сут.</w:t>
      </w:r>
    </w:p>
    <w:p>
      <w:pPr>
        <w:pStyle w:val="138"/>
        <w:widowControl/>
        <w:suppressAutoHyphens w:val="true"/>
        <w:bidi w:val="0"/>
        <w:spacing w:before="0" w:after="0"/>
        <w:ind w:firstLine="709" w:left="0" w:right="0"/>
        <w:jc w:val="both"/>
        <w:rPr/>
      </w:pPr>
      <w:r>
        <w:rPr>
          <w:rFonts w:cs="Symbol"/>
          <w:color w:themeColor="text1" w:val="000000"/>
        </w:rPr>
        <w:t>- Южный водозабор (скважины вдоль р. Оки, по берегам Яченского водохранилища) – 28,6 тыс. куб.м/сут.</w:t>
      </w:r>
    </w:p>
    <w:p>
      <w:pPr>
        <w:pStyle w:val="138"/>
        <w:spacing w:before="0" w:after="0"/>
        <w:ind w:hanging="0" w:left="709"/>
        <w:rPr>
          <w:rFonts w:cs="Symbol"/>
          <w:color w:themeColor="text1" w:val="000000"/>
        </w:rPr>
      </w:pPr>
      <w:r>
        <w:rPr>
          <w:rFonts w:cs="Symbol"/>
          <w:color w:themeColor="text1" w:val="000000"/>
        </w:rPr>
        <w:t>- ГНС (в южной части г. Калуга по обоим берегам р. Оки) – 39,9 тыс.куб.м/сутки.</w:t>
      </w:r>
    </w:p>
    <w:p>
      <w:pPr>
        <w:sectPr>
          <w:headerReference w:type="default" r:id="rId6"/>
          <w:headerReference w:type="first" r:id="rId7"/>
          <w:footerReference w:type="default" r:id="rId8"/>
          <w:type w:val="nextPage"/>
          <w:pgSz w:w="11906" w:h="16838"/>
          <w:pgMar w:left="1418" w:right="709" w:gutter="0" w:header="567" w:top="1129" w:footer="0" w:bottom="709"/>
          <w:pgNumType w:fmt="decimal"/>
          <w:formProt w:val="false"/>
          <w:textDirection w:val="lrTb"/>
          <w:docGrid w:type="default" w:linePitch="360" w:charSpace="0"/>
        </w:sectPr>
        <w:pStyle w:val="Style70"/>
        <w:spacing w:before="0" w:after="0"/>
        <w:ind w:firstLine="709"/>
        <w:rPr>
          <w:rFonts w:cs="Symbol"/>
          <w:color w:themeColor="text1" w:val="000000"/>
        </w:rPr>
      </w:pPr>
      <w:r>
        <w:rPr>
          <w:rFonts w:cs="Symbol"/>
          <w:color w:themeColor="text1" w:val="000000"/>
        </w:rPr>
        <w:t>Ресурсы пресных подземных вод, пригодных для хозяйственно-питьевого потребления ограничены. Для Калуги актуальна проблема обеспечения населения качественной питьевой водой.</w:t>
      </w:r>
    </w:p>
    <w:p>
      <w:pPr>
        <w:pStyle w:val="Style78"/>
        <w:rPr>
          <w:rFonts w:cs="Symbol"/>
          <w:color w:themeColor="text1" w:val="000000"/>
        </w:rPr>
      </w:pPr>
      <w:r>
        <w:rPr>
          <w:rFonts w:cs="Symbol"/>
          <w:color w:themeColor="text1" w:val="000000"/>
        </w:rPr>
        <w:t>Таблица 2.3.1.</w:t>
      </w:r>
    </w:p>
    <w:p>
      <w:pPr>
        <w:pStyle w:val="Style83"/>
        <w:rPr>
          <w:color w:themeColor="text1" w:val="000000"/>
        </w:rPr>
      </w:pPr>
      <w:r>
        <w:rPr>
          <w:rFonts w:cs="Symbol"/>
          <w:color w:themeColor="text1" w:val="000000"/>
        </w:rPr>
        <w:t>Характеристика месторождений пресных подземных вод</w:t>
      </w:r>
    </w:p>
    <w:tbl>
      <w:tblPr>
        <w:tblW w:w="1587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66"/>
        <w:gridCol w:w="2129"/>
        <w:gridCol w:w="2124"/>
        <w:gridCol w:w="2433"/>
        <w:gridCol w:w="1898"/>
        <w:gridCol w:w="2"/>
        <w:gridCol w:w="884"/>
        <w:gridCol w:w="3"/>
        <w:gridCol w:w="883"/>
        <w:gridCol w:w="3"/>
        <w:gridCol w:w="878"/>
        <w:gridCol w:w="761"/>
        <w:gridCol w:w="1"/>
        <w:gridCol w:w="1013"/>
        <w:gridCol w:w="2"/>
        <w:gridCol w:w="1"/>
        <w:gridCol w:w="2293"/>
      </w:tblGrid>
      <w:tr>
        <w:trPr>
          <w:tblHeader w:val="true"/>
          <w:trHeight w:val="533" w:hRule="atLeast"/>
          <w:cantSplit w:val="true"/>
        </w:trPr>
        <w:tc>
          <w:tcPr>
            <w:tcW w:w="566"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b/>
                <w:color w:themeColor="text1" w:val="000000"/>
              </w:rPr>
              <w:t xml:space="preserve">№ </w:t>
            </w:r>
            <w:r>
              <w:rPr>
                <w:rFonts w:cs="Symbol"/>
                <w:b/>
                <w:color w:themeColor="text1" w:val="000000"/>
              </w:rPr>
              <w:t>п/п</w:t>
            </w:r>
          </w:p>
        </w:tc>
        <w:tc>
          <w:tcPr>
            <w:tcW w:w="2129"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Наименование месторождения</w:t>
            </w:r>
          </w:p>
        </w:tc>
        <w:tc>
          <w:tcPr>
            <w:tcW w:w="2124"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Водопотребитель</w:t>
            </w:r>
          </w:p>
        </w:tc>
        <w:tc>
          <w:tcPr>
            <w:tcW w:w="2433"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Название водоносного горизонта</w:t>
            </w:r>
          </w:p>
        </w:tc>
        <w:tc>
          <w:tcPr>
            <w:tcW w:w="1898"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b/>
                <w:color w:themeColor="text1" w:val="000000"/>
              </w:rPr>
              <w:t xml:space="preserve">№ </w:t>
            </w:r>
            <w:r>
              <w:rPr>
                <w:rFonts w:cs="Symbol"/>
                <w:b/>
                <w:color w:themeColor="text1" w:val="000000"/>
              </w:rPr>
              <w:t>и дата протокола ГКЗ, ТКЗ, НТС</w:t>
            </w:r>
          </w:p>
        </w:tc>
        <w:tc>
          <w:tcPr>
            <w:tcW w:w="4431" w:type="dxa"/>
            <w:gridSpan w:val="11"/>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Эксплуатационные запасы по категориям, тыс. куб.м/сут</w:t>
            </w:r>
          </w:p>
        </w:tc>
        <w:tc>
          <w:tcPr>
            <w:tcW w:w="229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6"/>
              <w:widowControl w:val="false"/>
              <w:jc w:val="center"/>
              <w:rPr>
                <w:rFonts w:cs="Symbol"/>
                <w:b/>
                <w:color w:themeColor="text1" w:val="000000"/>
              </w:rPr>
            </w:pPr>
            <w:r>
              <w:rPr>
                <w:rFonts w:cs="Symbol"/>
                <w:b/>
                <w:color w:themeColor="text1" w:val="000000"/>
              </w:rPr>
              <w:t>Водоотбор тыс. куб.м/сут.</w:t>
            </w:r>
          </w:p>
          <w:p>
            <w:pPr>
              <w:pStyle w:val="1116"/>
              <w:widowControl w:val="false"/>
              <w:jc w:val="center"/>
              <w:rPr>
                <w:color w:themeColor="text1" w:val="000000"/>
              </w:rPr>
            </w:pPr>
            <w:r>
              <w:rPr>
                <w:rFonts w:cs="Symbol"/>
                <w:b/>
                <w:color w:themeColor="text1" w:val="000000"/>
              </w:rPr>
              <w:t>Год начала эксплуатации</w:t>
            </w:r>
          </w:p>
        </w:tc>
      </w:tr>
      <w:tr>
        <w:trPr>
          <w:tblHeader w:val="true"/>
          <w:cantSplit w:val="true"/>
        </w:trPr>
        <w:tc>
          <w:tcPr>
            <w:tcW w:w="566"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2129"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2124"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2433"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1898"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886" w:type="dxa"/>
            <w:gridSpan w:val="2"/>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А</w:t>
            </w:r>
          </w:p>
        </w:tc>
        <w:tc>
          <w:tcPr>
            <w:tcW w:w="886" w:type="dxa"/>
            <w:gridSpan w:val="2"/>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В</w:t>
            </w:r>
          </w:p>
        </w:tc>
        <w:tc>
          <w:tcPr>
            <w:tcW w:w="881" w:type="dxa"/>
            <w:gridSpan w:val="2"/>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С1</w:t>
            </w:r>
          </w:p>
        </w:tc>
        <w:tc>
          <w:tcPr>
            <w:tcW w:w="761"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С2</w:t>
            </w:r>
          </w:p>
        </w:tc>
        <w:tc>
          <w:tcPr>
            <w:tcW w:w="1014" w:type="dxa"/>
            <w:gridSpan w:val="2"/>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Всего</w:t>
            </w:r>
          </w:p>
        </w:tc>
        <w:tc>
          <w:tcPr>
            <w:tcW w:w="2296" w:type="dxa"/>
            <w:gridSpan w:val="3"/>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6"/>
              <w:widowControl w:val="false"/>
              <w:snapToGrid w:val="false"/>
              <w:jc w:val="center"/>
              <w:rPr>
                <w:color w:themeColor="text1" w:val="000000"/>
              </w:rPr>
            </w:pPr>
            <w:r>
              <w:rPr>
                <w:color w:themeColor="text1" w:val="000000"/>
              </w:rPr>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Северный</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Калуга</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Упинский водоносный горизонт</w:t>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34</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34</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31,9811</w:t>
            </w:r>
          </w:p>
          <w:p>
            <w:pPr>
              <w:pStyle w:val="1116"/>
              <w:widowControl w:val="false"/>
              <w:jc w:val="center"/>
              <w:rPr>
                <w:color w:themeColor="text1" w:val="000000"/>
              </w:rPr>
            </w:pPr>
            <w:r>
              <w:rPr>
                <w:rFonts w:cs="Symbol"/>
                <w:color w:themeColor="text1" w:val="000000"/>
              </w:rPr>
              <w:t>1965</w:t>
            </w:r>
          </w:p>
          <w:p>
            <w:pPr>
              <w:pStyle w:val="1116"/>
              <w:widowControl w:val="false"/>
              <w:jc w:val="center"/>
              <w:rPr>
                <w:color w:themeColor="text1" w:val="000000"/>
              </w:rPr>
            </w:pPr>
            <w:r>
              <w:rPr>
                <w:color w:themeColor="text1" w:val="000000"/>
              </w:rPr>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2</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Южный</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Калуга</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Упинский водоносный горизонт</w:t>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24,2</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7,4</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31,6</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21,1805</w:t>
            </w:r>
          </w:p>
          <w:p>
            <w:pPr>
              <w:pStyle w:val="1116"/>
              <w:widowControl w:val="false"/>
              <w:jc w:val="center"/>
              <w:rPr>
                <w:color w:themeColor="text1" w:val="000000"/>
              </w:rPr>
            </w:pPr>
            <w:r>
              <w:rPr>
                <w:rFonts w:cs="Symbol"/>
                <w:color w:themeColor="text1" w:val="000000"/>
              </w:rPr>
              <w:t>1954</w:t>
            </w:r>
          </w:p>
        </w:tc>
      </w:tr>
      <w:tr>
        <w:trPr>
          <w:cantSplit w:val="true"/>
        </w:trPr>
        <w:tc>
          <w:tcPr>
            <w:tcW w:w="566"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3</w:t>
            </w:r>
          </w:p>
        </w:tc>
        <w:tc>
          <w:tcPr>
            <w:tcW w:w="2129"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Зеленый Крупец</w:t>
            </w:r>
          </w:p>
        </w:tc>
        <w:tc>
          <w:tcPr>
            <w:tcW w:w="2124"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Калуга</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Алексинско-тарусский карбонатный водоносный комплекс</w:t>
            </w:r>
          </w:p>
        </w:tc>
        <w:tc>
          <w:tcPr>
            <w:tcW w:w="1898"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15</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15</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7,3956</w:t>
            </w:r>
          </w:p>
          <w:p>
            <w:pPr>
              <w:pStyle w:val="1116"/>
              <w:widowControl w:val="false"/>
              <w:jc w:val="center"/>
              <w:rPr>
                <w:color w:themeColor="text1" w:val="000000"/>
              </w:rPr>
            </w:pPr>
            <w:r>
              <w:rPr>
                <w:rFonts w:cs="Symbol"/>
                <w:color w:themeColor="text1" w:val="000000"/>
              </w:rPr>
              <w:t>1963</w:t>
            </w:r>
          </w:p>
        </w:tc>
      </w:tr>
      <w:tr>
        <w:trPr>
          <w:cantSplit w:val="true"/>
        </w:trPr>
        <w:tc>
          <w:tcPr>
            <w:tcW w:w="566"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jc w:val="center"/>
              <w:rPr>
                <w:color w:themeColor="text1" w:val="000000"/>
              </w:rPr>
            </w:pPr>
            <w:r>
              <w:rPr>
                <w:color w:themeColor="text1" w:val="000000"/>
              </w:rPr>
            </w:r>
          </w:p>
        </w:tc>
        <w:tc>
          <w:tcPr>
            <w:tcW w:w="2129"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rPr>
                <w:color w:themeColor="text1" w:val="000000"/>
              </w:rPr>
            </w:pPr>
            <w:r>
              <w:rPr>
                <w:color w:themeColor="text1" w:val="000000"/>
              </w:rPr>
            </w:r>
          </w:p>
        </w:tc>
        <w:tc>
          <w:tcPr>
            <w:tcW w:w="2124"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jc w:val="center"/>
              <w:rPr>
                <w:color w:themeColor="text1" w:val="000000"/>
              </w:rPr>
            </w:pPr>
            <w:r>
              <w:rPr>
                <w:color w:themeColor="text1" w:val="000000"/>
              </w:rPr>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Упинский водоносный горизонт</w:t>
            </w:r>
          </w:p>
        </w:tc>
        <w:tc>
          <w:tcPr>
            <w:tcW w:w="1898"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rPr>
                <w:color w:themeColor="text1" w:val="000000"/>
              </w:rPr>
            </w:pPr>
            <w:r>
              <w:rPr>
                <w:color w:themeColor="text1" w:val="000000"/>
              </w:rPr>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12,9</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12,9</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7,4888</w:t>
            </w:r>
          </w:p>
          <w:p>
            <w:pPr>
              <w:pStyle w:val="1116"/>
              <w:widowControl w:val="false"/>
              <w:jc w:val="center"/>
              <w:rPr>
                <w:color w:themeColor="text1" w:val="000000"/>
              </w:rPr>
            </w:pPr>
            <w:r>
              <w:rPr>
                <w:rFonts w:cs="Symbol"/>
                <w:color w:themeColor="text1" w:val="000000"/>
              </w:rPr>
              <w:t>1963</w:t>
            </w:r>
          </w:p>
        </w:tc>
      </w:tr>
      <w:tr>
        <w:trPr>
          <w:cantSplit w:val="true"/>
        </w:trPr>
        <w:tc>
          <w:tcPr>
            <w:tcW w:w="566"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4</w:t>
            </w:r>
          </w:p>
        </w:tc>
        <w:tc>
          <w:tcPr>
            <w:tcW w:w="2129"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Покровские Ключи</w:t>
            </w:r>
          </w:p>
        </w:tc>
        <w:tc>
          <w:tcPr>
            <w:tcW w:w="2124"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Калуга</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Алексинско-тарусский карбонатный водоносный комплекс</w:t>
            </w:r>
          </w:p>
        </w:tc>
        <w:tc>
          <w:tcPr>
            <w:tcW w:w="1898"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6,1</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6,1</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5,4258</w:t>
            </w:r>
          </w:p>
          <w:p>
            <w:pPr>
              <w:pStyle w:val="1116"/>
              <w:widowControl w:val="false"/>
              <w:jc w:val="center"/>
              <w:rPr>
                <w:color w:themeColor="text1" w:val="000000"/>
              </w:rPr>
            </w:pPr>
            <w:r>
              <w:rPr>
                <w:rFonts w:cs="Symbol"/>
                <w:color w:themeColor="text1" w:val="000000"/>
              </w:rPr>
              <w:t>1937</w:t>
            </w:r>
          </w:p>
        </w:tc>
      </w:tr>
      <w:tr>
        <w:trPr>
          <w:cantSplit w:val="true"/>
        </w:trPr>
        <w:tc>
          <w:tcPr>
            <w:tcW w:w="566"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jc w:val="center"/>
              <w:rPr>
                <w:color w:themeColor="text1" w:val="000000"/>
              </w:rPr>
            </w:pPr>
            <w:r>
              <w:rPr>
                <w:color w:themeColor="text1" w:val="000000"/>
              </w:rPr>
            </w:r>
          </w:p>
        </w:tc>
        <w:tc>
          <w:tcPr>
            <w:tcW w:w="2129"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rPr>
                <w:color w:themeColor="text1" w:val="000000"/>
              </w:rPr>
            </w:pPr>
            <w:r>
              <w:rPr>
                <w:color w:themeColor="text1" w:val="000000"/>
              </w:rPr>
            </w:r>
          </w:p>
        </w:tc>
        <w:tc>
          <w:tcPr>
            <w:tcW w:w="2124"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jc w:val="center"/>
              <w:rPr>
                <w:color w:themeColor="text1" w:val="000000"/>
              </w:rPr>
            </w:pPr>
            <w:r>
              <w:rPr>
                <w:color w:themeColor="text1" w:val="000000"/>
              </w:rPr>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Бобриковско-тульский водоносный комплекс</w:t>
            </w:r>
          </w:p>
        </w:tc>
        <w:tc>
          <w:tcPr>
            <w:tcW w:w="1898"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rPr>
                <w:color w:themeColor="text1" w:val="000000"/>
              </w:rPr>
            </w:pPr>
            <w:r>
              <w:rPr>
                <w:color w:themeColor="text1" w:val="000000"/>
              </w:rPr>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0,4</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0,4</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3,0329</w:t>
            </w:r>
          </w:p>
        </w:tc>
      </w:tr>
      <w:tr>
        <w:trPr>
          <w:cantSplit w:val="true"/>
        </w:trPr>
        <w:tc>
          <w:tcPr>
            <w:tcW w:w="566"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jc w:val="center"/>
              <w:rPr>
                <w:color w:themeColor="text1" w:val="000000"/>
              </w:rPr>
            </w:pPr>
            <w:r>
              <w:rPr>
                <w:color w:themeColor="text1" w:val="000000"/>
              </w:rPr>
            </w:r>
          </w:p>
        </w:tc>
        <w:tc>
          <w:tcPr>
            <w:tcW w:w="2129"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rPr>
                <w:color w:themeColor="text1" w:val="000000"/>
              </w:rPr>
            </w:pPr>
            <w:r>
              <w:rPr>
                <w:color w:themeColor="text1" w:val="000000"/>
              </w:rPr>
            </w:r>
          </w:p>
        </w:tc>
        <w:tc>
          <w:tcPr>
            <w:tcW w:w="2124"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jc w:val="center"/>
              <w:rPr>
                <w:color w:themeColor="text1" w:val="000000"/>
              </w:rPr>
            </w:pPr>
            <w:r>
              <w:rPr>
                <w:color w:themeColor="text1" w:val="000000"/>
              </w:rPr>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Упинский водоносный горизонт</w:t>
            </w:r>
          </w:p>
        </w:tc>
        <w:tc>
          <w:tcPr>
            <w:tcW w:w="1898" w:type="dxa"/>
            <w:vMerge w:val="continue"/>
            <w:tcBorders>
              <w:top w:val="single" w:sz="4" w:space="0" w:color="000000"/>
              <w:left w:val="single" w:sz="4" w:space="0" w:color="000000"/>
              <w:bottom w:val="single" w:sz="4" w:space="0" w:color="000000"/>
            </w:tcBorders>
            <w:shd w:color="auto" w:fill="auto" w:val="clear"/>
            <w:vAlign w:val="center"/>
          </w:tcPr>
          <w:p>
            <w:pPr>
              <w:pStyle w:val="1116"/>
              <w:widowControl w:val="false"/>
              <w:snapToGrid w:val="false"/>
              <w:rPr>
                <w:color w:themeColor="text1" w:val="000000"/>
              </w:rPr>
            </w:pPr>
            <w:r>
              <w:rPr>
                <w:color w:themeColor="text1" w:val="000000"/>
              </w:rPr>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5,5</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5,5</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6,9134</w:t>
            </w:r>
          </w:p>
          <w:p>
            <w:pPr>
              <w:pStyle w:val="1116"/>
              <w:widowControl w:val="false"/>
              <w:jc w:val="center"/>
              <w:rPr>
                <w:color w:themeColor="text1" w:val="000000"/>
              </w:rPr>
            </w:pPr>
            <w:r>
              <w:rPr>
                <w:rFonts w:cs="Symbol"/>
                <w:color w:themeColor="text1" w:val="000000"/>
              </w:rPr>
              <w:t>1964</w:t>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5</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Киевские Ключи</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не эксплуатируется</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Бобриковско-тульский водоносный комплекс</w:t>
            </w:r>
          </w:p>
          <w:p>
            <w:pPr>
              <w:pStyle w:val="1116"/>
              <w:widowControl w:val="false"/>
              <w:rPr>
                <w:color w:themeColor="text1" w:val="000000"/>
              </w:rPr>
            </w:pPr>
            <w:r>
              <w:rPr>
                <w:color w:themeColor="text1" w:val="000000"/>
              </w:rPr>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0,0</w:t>
            </w:r>
          </w:p>
          <w:p>
            <w:pPr>
              <w:pStyle w:val="1116"/>
              <w:widowControl w:val="false"/>
              <w:jc w:val="center"/>
              <w:rPr>
                <w:color w:themeColor="text1" w:val="000000"/>
              </w:rPr>
            </w:pPr>
            <w:r>
              <w:rPr>
                <w:rFonts w:cs="Symbol"/>
                <w:color w:themeColor="text1" w:val="000000"/>
              </w:rPr>
              <w:t>1966</w:t>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6</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АО «Аромасинтез» (СДВ)</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Калуга</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Упинский водоносный горизонт</w:t>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1,1</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1,1</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0,3288</w:t>
            </w:r>
          </w:p>
          <w:p>
            <w:pPr>
              <w:pStyle w:val="1116"/>
              <w:widowControl w:val="false"/>
              <w:jc w:val="center"/>
              <w:rPr>
                <w:color w:themeColor="text1" w:val="000000"/>
              </w:rPr>
            </w:pPr>
            <w:r>
              <w:rPr>
                <w:rFonts w:cs="Symbol"/>
                <w:color w:themeColor="text1" w:val="000000"/>
              </w:rPr>
              <w:t>1948</w:t>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7</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Турбинный Завод</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Калуга</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Упинский водоносный горизонт</w:t>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0,5</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0,5</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0,7479</w:t>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8</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Калуга – Правобережный</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не эксплуатируется</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Бобриковско-тульский водоносный комплекс</w:t>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48-В, НТС ПГО, 25.09.85</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5</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5</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0,0</w:t>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9</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Андреевское</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не эксплуатируется</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Бобриковско-тульский водоносный комплекс</w:t>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2, ТКЗ ЦРГЦ, 03.02.94</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51,4</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20,2</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36,4</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108</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0,0</w:t>
            </w:r>
          </w:p>
        </w:tc>
      </w:tr>
      <w:tr>
        <w:trPr>
          <w:cantSplit w:val="true"/>
        </w:trPr>
        <w:tc>
          <w:tcPr>
            <w:tcW w:w="56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10</w:t>
            </w:r>
          </w:p>
        </w:tc>
        <w:tc>
          <w:tcPr>
            <w:tcW w:w="2129"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Турынинское</w:t>
            </w:r>
          </w:p>
        </w:tc>
        <w:tc>
          <w:tcPr>
            <w:tcW w:w="212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не эксплуатируется</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Бобриковско-тульский водоносный комплекс</w:t>
            </w:r>
          </w:p>
        </w:tc>
        <w:tc>
          <w:tcPr>
            <w:tcW w:w="1898"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130, НТС ПГО, 12.12.78</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2,5</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2,5</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0,0</w:t>
            </w:r>
          </w:p>
        </w:tc>
      </w:tr>
      <w:tr>
        <w:trPr>
          <w:cantSplit w:val="true"/>
        </w:trPr>
        <w:tc>
          <w:tcPr>
            <w:tcW w:w="566"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11</w:t>
            </w:r>
          </w:p>
        </w:tc>
        <w:tc>
          <w:tcPr>
            <w:tcW w:w="2129"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Калужское (25 участков)</w:t>
            </w:r>
          </w:p>
        </w:tc>
        <w:tc>
          <w:tcPr>
            <w:tcW w:w="2124"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Эксплуатируется 14 участков</w:t>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Упинский водоносный горизонт</w:t>
            </w:r>
          </w:p>
        </w:tc>
        <w:tc>
          <w:tcPr>
            <w:tcW w:w="1898" w:type="dxa"/>
            <w:vMerge w:val="restart"/>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818, ГКЗ</w:t>
            </w:r>
          </w:p>
          <w:p>
            <w:pPr>
              <w:pStyle w:val="1116"/>
              <w:widowControl w:val="false"/>
              <w:rPr>
                <w:color w:themeColor="text1" w:val="000000"/>
              </w:rPr>
            </w:pPr>
            <w:r>
              <w:rPr>
                <w:rFonts w:cs="Symbol"/>
                <w:color w:themeColor="text1" w:val="000000"/>
              </w:rPr>
              <w:t>МПР РФ 26.03.03</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0,015</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26,72</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6</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32,735</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1,8781</w:t>
            </w:r>
          </w:p>
        </w:tc>
      </w:tr>
      <w:tr>
        <w:trPr>
          <w:cantSplit w:val="true"/>
        </w:trPr>
        <w:tc>
          <w:tcPr>
            <w:tcW w:w="566"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2129"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2124"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Бобриковско-тульский водоносный комплекс</w:t>
            </w:r>
          </w:p>
        </w:tc>
        <w:tc>
          <w:tcPr>
            <w:tcW w:w="1898"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2,5</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16,5</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19,0</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0,5409</w:t>
            </w:r>
          </w:p>
        </w:tc>
      </w:tr>
      <w:tr>
        <w:trPr>
          <w:cantSplit w:val="true"/>
        </w:trPr>
        <w:tc>
          <w:tcPr>
            <w:tcW w:w="566"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2129"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2124"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2433"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Алексинско-тарусский карбонатный водоносный комплекс</w:t>
            </w:r>
          </w:p>
        </w:tc>
        <w:tc>
          <w:tcPr>
            <w:tcW w:w="1898" w:type="dxa"/>
            <w:vMerge w:val="continue"/>
            <w:tcBorders>
              <w:top w:val="single" w:sz="4" w:space="0" w:color="000000"/>
              <w:left w:val="single" w:sz="4" w:space="0" w:color="000000"/>
              <w:bottom w:val="single" w:sz="4" w:space="0" w:color="000000"/>
            </w:tcBorders>
            <w:shd w:color="auto" w:fill="auto" w:val="clear"/>
          </w:tcPr>
          <w:p>
            <w:pPr>
              <w:pStyle w:val="1116"/>
              <w:widowControl w:val="false"/>
              <w:snapToGrid w:val="false"/>
              <w:rPr>
                <w:color w:themeColor="text1" w:val="000000"/>
              </w:rPr>
            </w:pPr>
            <w:r>
              <w:rPr>
                <w:color w:themeColor="text1" w:val="000000"/>
              </w:rPr>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81"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1,27</w:t>
            </w:r>
          </w:p>
        </w:tc>
        <w:tc>
          <w:tcPr>
            <w:tcW w:w="76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1014"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1,27</w:t>
            </w:r>
          </w:p>
        </w:tc>
        <w:tc>
          <w:tcPr>
            <w:tcW w:w="229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0,5456</w:t>
            </w:r>
          </w:p>
        </w:tc>
      </w:tr>
      <w:tr>
        <w:trPr>
          <w:cantSplit w:val="true"/>
        </w:trPr>
        <w:tc>
          <w:tcPr>
            <w:tcW w:w="9152" w:type="dxa"/>
            <w:gridSpan w:val="6"/>
            <w:tcBorders>
              <w:top w:val="single" w:sz="4" w:space="0" w:color="000000"/>
              <w:left w:val="single" w:sz="4" w:space="0" w:color="000000"/>
              <w:bottom w:val="single" w:sz="4" w:space="0" w:color="000000"/>
            </w:tcBorders>
            <w:shd w:color="auto" w:fill="auto" w:val="clear"/>
          </w:tcPr>
          <w:p>
            <w:pPr>
              <w:pStyle w:val="1116"/>
              <w:widowControl w:val="false"/>
              <w:jc w:val="right"/>
              <w:rPr>
                <w:b/>
                <w:color w:themeColor="text1" w:val="000000"/>
              </w:rPr>
            </w:pPr>
            <w:r>
              <w:rPr>
                <w:rFonts w:cs="Symbol"/>
                <w:b/>
                <w:color w:themeColor="text1" w:val="000000"/>
              </w:rPr>
              <w:t>Итого</w:t>
            </w:r>
          </w:p>
        </w:tc>
        <w:tc>
          <w:tcPr>
            <w:tcW w:w="887"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b/>
                <w:color w:themeColor="text1" w:val="000000"/>
              </w:rPr>
            </w:pPr>
            <w:r>
              <w:rPr>
                <w:rFonts w:cs="Symbol"/>
                <w:b/>
                <w:color w:themeColor="text1" w:val="000000"/>
              </w:rPr>
              <w:t>154,6</w:t>
            </w:r>
          </w:p>
        </w:tc>
        <w:tc>
          <w:tcPr>
            <w:tcW w:w="886"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b/>
                <w:color w:themeColor="text1" w:val="000000"/>
              </w:rPr>
            </w:pPr>
            <w:r>
              <w:rPr>
                <w:rFonts w:cs="Symbol"/>
                <w:b/>
                <w:color w:themeColor="text1" w:val="000000"/>
              </w:rPr>
              <w:t>20,22</w:t>
            </w:r>
          </w:p>
        </w:tc>
        <w:tc>
          <w:tcPr>
            <w:tcW w:w="878"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b/>
                <w:color w:themeColor="text1" w:val="000000"/>
              </w:rPr>
            </w:pPr>
            <w:r>
              <w:rPr>
                <w:rFonts w:cs="Symbol"/>
                <w:b/>
                <w:color w:themeColor="text1" w:val="000000"/>
              </w:rPr>
              <w:t>79,29</w:t>
            </w:r>
          </w:p>
        </w:tc>
        <w:tc>
          <w:tcPr>
            <w:tcW w:w="762"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b/>
                <w:color w:themeColor="text1" w:val="000000"/>
              </w:rPr>
            </w:pPr>
            <w:r>
              <w:rPr>
                <w:rFonts w:cs="Symbol"/>
                <w:b/>
                <w:color w:themeColor="text1" w:val="000000"/>
              </w:rPr>
              <w:t>22,5</w:t>
            </w:r>
          </w:p>
        </w:tc>
        <w:tc>
          <w:tcPr>
            <w:tcW w:w="1015" w:type="dxa"/>
            <w:gridSpan w:val="2"/>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b/>
                <w:color w:themeColor="text1" w:val="000000"/>
              </w:rPr>
            </w:pPr>
            <w:r>
              <w:rPr>
                <w:rFonts w:cs="Symbol"/>
                <w:b/>
                <w:color w:themeColor="text1" w:val="000000"/>
              </w:rPr>
              <w:t>276,6</w:t>
            </w:r>
          </w:p>
        </w:tc>
        <w:tc>
          <w:tcPr>
            <w:tcW w:w="2294"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b/>
                <w:color w:themeColor="text1" w:val="000000"/>
              </w:rPr>
            </w:pPr>
            <w:r>
              <w:rPr>
                <w:rFonts w:cs="Symbol"/>
                <w:b/>
                <w:color w:themeColor="text1" w:val="000000"/>
              </w:rPr>
              <w:t>87,4594</w:t>
            </w:r>
          </w:p>
        </w:tc>
      </w:tr>
    </w:tbl>
    <w:p>
      <w:pPr>
        <w:pStyle w:val="Style70"/>
        <w:rPr>
          <w:rFonts w:cs="Symbol"/>
          <w:color w:themeColor="text1" w:val="000000"/>
        </w:rPr>
      </w:pPr>
      <w:r>
        <w:rPr>
          <w:rFonts w:cs="Symbol"/>
          <w:color w:themeColor="text1" w:val="000000"/>
        </w:rPr>
      </w:r>
      <w:r>
        <w:br w:type="page"/>
      </w:r>
    </w:p>
    <w:p>
      <w:pPr>
        <w:pStyle w:val="Style78"/>
        <w:spacing w:before="0" w:after="0"/>
        <w:rPr>
          <w:rFonts w:cs="Symbol"/>
          <w:color w:themeColor="text1" w:val="000000"/>
        </w:rPr>
      </w:pPr>
      <w:r>
        <w:rPr>
          <w:rFonts w:cs="Symbol"/>
          <w:color w:themeColor="text1" w:val="000000"/>
        </w:rPr>
        <w:t>Таблица 2.3.2.</w:t>
      </w:r>
    </w:p>
    <w:p>
      <w:pPr>
        <w:pStyle w:val="Style83"/>
        <w:spacing w:before="0" w:after="0"/>
        <w:rPr>
          <w:rFonts w:cs="Symbol"/>
          <w:color w:themeColor="text1" w:val="000000"/>
        </w:rPr>
      </w:pPr>
      <w:r>
        <w:rPr>
          <w:rFonts w:cs="Symbol"/>
          <w:color w:themeColor="text1" w:val="000000"/>
        </w:rPr>
        <w:t>Характеристика месторождений минеральных вод</w:t>
      </w:r>
    </w:p>
    <w:tbl>
      <w:tblPr>
        <w:tblW w:w="15735" w:type="dxa"/>
        <w:jc w:val="left"/>
        <w:tblInd w:w="-572" w:type="dxa"/>
        <w:tblLayout w:type="fixed"/>
        <w:tblCellMar>
          <w:top w:w="0" w:type="dxa"/>
          <w:left w:w="108" w:type="dxa"/>
          <w:bottom w:w="0" w:type="dxa"/>
          <w:right w:w="108" w:type="dxa"/>
        </w:tblCellMar>
        <w:tblLook w:firstRow="0" w:noVBand="0" w:lastRow="0" w:firstColumn="0" w:lastColumn="0" w:noHBand="0" w:val="0000"/>
      </w:tblPr>
      <w:tblGrid>
        <w:gridCol w:w="2374"/>
        <w:gridCol w:w="1879"/>
        <w:gridCol w:w="1984"/>
        <w:gridCol w:w="2267"/>
        <w:gridCol w:w="1701"/>
        <w:gridCol w:w="1276"/>
        <w:gridCol w:w="853"/>
        <w:gridCol w:w="850"/>
        <w:gridCol w:w="850"/>
        <w:gridCol w:w="851"/>
        <w:gridCol w:w="848"/>
      </w:tblGrid>
      <w:tr>
        <w:trPr>
          <w:cantSplit w:val="true"/>
        </w:trPr>
        <w:tc>
          <w:tcPr>
            <w:tcW w:w="2374"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rFonts w:cs="Symbol"/>
                <w:b/>
                <w:color w:themeColor="text1" w:val="000000"/>
              </w:rPr>
            </w:pPr>
            <w:r>
              <w:rPr>
                <w:rFonts w:cs="Symbol"/>
                <w:b/>
                <w:color w:themeColor="text1" w:val="000000"/>
              </w:rPr>
              <w:t>Наименование и местоположение месторождения.</w:t>
            </w:r>
          </w:p>
          <w:p>
            <w:pPr>
              <w:pStyle w:val="1116"/>
              <w:widowControl w:val="false"/>
              <w:jc w:val="center"/>
              <w:rPr>
                <w:b/>
                <w:color w:themeColor="text1" w:val="000000"/>
              </w:rPr>
            </w:pPr>
            <w:r>
              <w:rPr>
                <w:rFonts w:cs="Symbol"/>
                <w:b/>
                <w:color w:themeColor="text1" w:val="000000"/>
              </w:rPr>
              <w:t>Водопотребитель</w:t>
            </w:r>
          </w:p>
        </w:tc>
        <w:tc>
          <w:tcPr>
            <w:tcW w:w="1879"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Наименование водоносного горизонта</w:t>
            </w:r>
          </w:p>
        </w:tc>
        <w:tc>
          <w:tcPr>
            <w:tcW w:w="1984"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Водовмещающие породы</w:t>
            </w:r>
          </w:p>
        </w:tc>
        <w:tc>
          <w:tcPr>
            <w:tcW w:w="2267"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Минерализация, г/дм</w:t>
            </w:r>
            <w:r>
              <w:rPr>
                <w:rFonts w:cs="Symbol"/>
                <w:b/>
                <w:color w:themeColor="text1" w:val="000000"/>
                <w:vertAlign w:val="superscript"/>
              </w:rPr>
              <w:t>3</w:t>
            </w:r>
            <w:r>
              <w:rPr>
                <w:rFonts w:cs="Symbol"/>
                <w:b/>
                <w:color w:themeColor="text1" w:val="000000"/>
              </w:rPr>
              <w:t>. Химический состав вод.</w:t>
            </w:r>
          </w:p>
        </w:tc>
        <w:tc>
          <w:tcPr>
            <w:tcW w:w="1701"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Год начала эксплуатации. Водоотбор, куб.м/сут</w:t>
            </w:r>
          </w:p>
        </w:tc>
        <w:tc>
          <w:tcPr>
            <w:tcW w:w="1276"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Номер протокола ГКЗ, ТКЗ, НТС</w:t>
            </w:r>
          </w:p>
        </w:tc>
        <w:tc>
          <w:tcPr>
            <w:tcW w:w="4252" w:type="dxa"/>
            <w:gridSpan w:val="5"/>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6"/>
              <w:widowControl w:val="false"/>
              <w:jc w:val="center"/>
              <w:rPr>
                <w:rFonts w:cs="Symbol"/>
                <w:b/>
                <w:color w:themeColor="text1" w:val="000000"/>
              </w:rPr>
            </w:pPr>
            <w:r>
              <w:rPr>
                <w:rFonts w:cs="Symbol"/>
                <w:b/>
                <w:color w:themeColor="text1" w:val="000000"/>
              </w:rPr>
              <w:t>Эксплуатируемые запасы</w:t>
            </w:r>
          </w:p>
          <w:p>
            <w:pPr>
              <w:pStyle w:val="1116"/>
              <w:widowControl w:val="false"/>
              <w:jc w:val="center"/>
              <w:rPr>
                <w:b/>
                <w:color w:themeColor="text1" w:val="000000"/>
              </w:rPr>
            </w:pPr>
            <w:r>
              <w:rPr>
                <w:rFonts w:cs="Symbol"/>
                <w:b/>
                <w:color w:themeColor="text1" w:val="000000"/>
              </w:rPr>
              <w:t>по категориям, тыс. куб.м/сут</w:t>
            </w:r>
          </w:p>
        </w:tc>
      </w:tr>
      <w:tr>
        <w:trPr>
          <w:cantSplit w:val="true"/>
        </w:trPr>
        <w:tc>
          <w:tcPr>
            <w:tcW w:w="2374"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1879"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1984"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2267"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1701"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1276"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snapToGrid w:val="false"/>
              <w:jc w:val="center"/>
              <w:rPr>
                <w:b/>
                <w:color w:themeColor="text1" w:val="000000"/>
              </w:rPr>
            </w:pPr>
            <w:r>
              <w:rPr>
                <w:b/>
                <w:color w:themeColor="text1" w:val="000000"/>
              </w:rPr>
            </w:r>
          </w:p>
        </w:tc>
        <w:tc>
          <w:tcPr>
            <w:tcW w:w="853"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А</w:t>
            </w:r>
          </w:p>
        </w:tc>
        <w:tc>
          <w:tcPr>
            <w:tcW w:w="850"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В</w:t>
            </w:r>
          </w:p>
        </w:tc>
        <w:tc>
          <w:tcPr>
            <w:tcW w:w="850"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С1</w:t>
            </w:r>
          </w:p>
        </w:tc>
        <w:tc>
          <w:tcPr>
            <w:tcW w:w="851"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С2</w:t>
            </w:r>
          </w:p>
        </w:tc>
        <w:tc>
          <w:tcPr>
            <w:tcW w:w="84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6"/>
              <w:widowControl w:val="false"/>
              <w:jc w:val="center"/>
              <w:rPr>
                <w:b/>
                <w:color w:themeColor="text1" w:val="000000"/>
              </w:rPr>
            </w:pPr>
            <w:r>
              <w:rPr>
                <w:rFonts w:cs="Symbol"/>
                <w:b/>
                <w:color w:themeColor="text1" w:val="000000"/>
              </w:rPr>
              <w:t>Всего</w:t>
            </w:r>
          </w:p>
        </w:tc>
      </w:tr>
      <w:tr>
        <w:trPr>
          <w:cantSplit w:val="true"/>
        </w:trPr>
        <w:tc>
          <w:tcPr>
            <w:tcW w:w="2374"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Калужское.</w:t>
            </w:r>
          </w:p>
          <w:p>
            <w:pPr>
              <w:pStyle w:val="1116"/>
              <w:widowControl w:val="false"/>
              <w:rPr>
                <w:color w:themeColor="text1" w:val="000000"/>
              </w:rPr>
            </w:pPr>
            <w:r>
              <w:rPr>
                <w:rFonts w:cs="Symbol"/>
                <w:color w:themeColor="text1" w:val="000000"/>
              </w:rPr>
              <w:t>д. Кукареки, база ОАО «Калугагеология»</w:t>
            </w:r>
          </w:p>
        </w:tc>
        <w:tc>
          <w:tcPr>
            <w:tcW w:w="1879"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водоносная зона трещиноватых архейско-протерозойских кристаллличес-ких пород</w:t>
            </w:r>
          </w:p>
        </w:tc>
        <w:tc>
          <w:tcPr>
            <w:tcW w:w="198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песчаники</w:t>
            </w:r>
          </w:p>
        </w:tc>
        <w:tc>
          <w:tcPr>
            <w:tcW w:w="2267"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102</w:t>
            </w:r>
          </w:p>
          <w:p>
            <w:pPr>
              <w:pStyle w:val="1116"/>
              <w:widowControl w:val="false"/>
              <w:jc w:val="center"/>
              <w:rPr>
                <w:color w:themeColor="text1" w:val="000000"/>
              </w:rPr>
            </w:pPr>
            <w:r>
              <w:rPr>
                <w:rFonts w:cs="Symbol"/>
                <w:color w:themeColor="text1" w:val="000000"/>
              </w:rPr>
              <w:t>рассолы, хлоридный</w:t>
            </w:r>
          </w:p>
        </w:tc>
        <w:tc>
          <w:tcPr>
            <w:tcW w:w="170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4/99 НТС КПР 03.03.</w:t>
            </w:r>
          </w:p>
          <w:p>
            <w:pPr>
              <w:pStyle w:val="1116"/>
              <w:widowControl w:val="false"/>
              <w:jc w:val="center"/>
              <w:rPr>
                <w:color w:themeColor="text1" w:val="000000"/>
              </w:rPr>
            </w:pPr>
            <w:r>
              <w:rPr>
                <w:rFonts w:cs="Symbol"/>
                <w:color w:themeColor="text1" w:val="000000"/>
              </w:rPr>
              <w:t>1999 г.</w:t>
            </w:r>
          </w:p>
        </w:tc>
        <w:tc>
          <w:tcPr>
            <w:tcW w:w="127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3"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0,12</w:t>
            </w:r>
          </w:p>
        </w:tc>
        <w:tc>
          <w:tcPr>
            <w:tcW w:w="85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0,12</w:t>
            </w:r>
          </w:p>
        </w:tc>
        <w:tc>
          <w:tcPr>
            <w:tcW w:w="8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r>
      <w:tr>
        <w:trPr>
          <w:cantSplit w:val="true"/>
        </w:trPr>
        <w:tc>
          <w:tcPr>
            <w:tcW w:w="2374"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Калужское.</w:t>
            </w:r>
          </w:p>
          <w:p>
            <w:pPr>
              <w:pStyle w:val="1116"/>
              <w:widowControl w:val="false"/>
              <w:rPr>
                <w:rFonts w:cs="Symbol"/>
                <w:color w:themeColor="text1" w:val="000000"/>
              </w:rPr>
            </w:pPr>
            <w:r>
              <w:rPr>
                <w:rFonts w:cs="Symbol"/>
                <w:color w:themeColor="text1" w:val="000000"/>
              </w:rPr>
              <w:t>Участок «Малинники»</w:t>
            </w:r>
          </w:p>
          <w:p>
            <w:pPr>
              <w:pStyle w:val="1116"/>
              <w:widowControl w:val="false"/>
              <w:rPr>
                <w:rFonts w:cs="Symbol"/>
                <w:color w:themeColor="text1" w:val="000000"/>
              </w:rPr>
            </w:pPr>
            <w:r>
              <w:rPr>
                <w:rFonts w:cs="Symbol"/>
                <w:color w:themeColor="text1" w:val="000000"/>
              </w:rPr>
              <w:t>северная часть г. Калуги</w:t>
            </w:r>
          </w:p>
          <w:p>
            <w:pPr>
              <w:pStyle w:val="1116"/>
              <w:widowControl w:val="false"/>
              <w:rPr>
                <w:rFonts w:cs="Symbol"/>
                <w:color w:themeColor="text1" w:val="000000"/>
              </w:rPr>
            </w:pPr>
            <w:r>
              <w:rPr>
                <w:rFonts w:cs="Symbol"/>
                <w:color w:themeColor="text1" w:val="000000"/>
              </w:rPr>
              <w:t>ЗАО «Озон»</w:t>
            </w:r>
          </w:p>
          <w:p>
            <w:pPr>
              <w:pStyle w:val="1116"/>
              <w:widowControl w:val="false"/>
              <w:rPr>
                <w:color w:themeColor="text1" w:val="000000"/>
              </w:rPr>
            </w:pPr>
            <w:r>
              <w:rPr>
                <w:rFonts w:cs="Symbol"/>
                <w:color w:themeColor="text1" w:val="000000"/>
              </w:rPr>
              <w:t>г. Калуга</w:t>
            </w:r>
          </w:p>
        </w:tc>
        <w:tc>
          <w:tcPr>
            <w:tcW w:w="1879"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задонско-елецкий</w:t>
            </w:r>
          </w:p>
        </w:tc>
        <w:tc>
          <w:tcPr>
            <w:tcW w:w="198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известняки</w:t>
            </w:r>
          </w:p>
        </w:tc>
        <w:tc>
          <w:tcPr>
            <w:tcW w:w="2267"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3,5-4</w:t>
            </w:r>
          </w:p>
          <w:p>
            <w:pPr>
              <w:pStyle w:val="1116"/>
              <w:widowControl w:val="false"/>
              <w:jc w:val="center"/>
              <w:rPr>
                <w:color w:themeColor="text1" w:val="000000"/>
              </w:rPr>
            </w:pPr>
            <w:r>
              <w:rPr>
                <w:rFonts w:cs="Symbol"/>
                <w:color w:themeColor="text1" w:val="000000"/>
              </w:rPr>
              <w:t>сульфатный</w:t>
            </w:r>
          </w:p>
        </w:tc>
        <w:tc>
          <w:tcPr>
            <w:tcW w:w="170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13 ТКЗ ЦРГЦ 10.01.</w:t>
            </w:r>
          </w:p>
          <w:p>
            <w:pPr>
              <w:pStyle w:val="1116"/>
              <w:widowControl w:val="false"/>
              <w:jc w:val="center"/>
              <w:rPr>
                <w:color w:themeColor="text1" w:val="000000"/>
              </w:rPr>
            </w:pPr>
            <w:r>
              <w:rPr>
                <w:rFonts w:cs="Symbol"/>
                <w:color w:themeColor="text1" w:val="000000"/>
              </w:rPr>
              <w:t>1999 г.</w:t>
            </w:r>
          </w:p>
        </w:tc>
        <w:tc>
          <w:tcPr>
            <w:tcW w:w="127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3"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0,276</w:t>
            </w:r>
          </w:p>
        </w:tc>
        <w:tc>
          <w:tcPr>
            <w:tcW w:w="85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0,276</w:t>
            </w:r>
          </w:p>
        </w:tc>
        <w:tc>
          <w:tcPr>
            <w:tcW w:w="8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r>
      <w:tr>
        <w:trPr>
          <w:cantSplit w:val="true"/>
        </w:trPr>
        <w:tc>
          <w:tcPr>
            <w:tcW w:w="2374"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Калужское.</w:t>
            </w:r>
          </w:p>
          <w:p>
            <w:pPr>
              <w:pStyle w:val="1116"/>
              <w:widowControl w:val="false"/>
              <w:rPr>
                <w:rFonts w:cs="Symbol"/>
                <w:color w:themeColor="text1" w:val="000000"/>
              </w:rPr>
            </w:pPr>
            <w:r>
              <w:rPr>
                <w:rFonts w:cs="Symbol"/>
                <w:color w:themeColor="text1" w:val="000000"/>
              </w:rPr>
              <w:t>Участок «Малинниковский»</w:t>
            </w:r>
          </w:p>
          <w:p>
            <w:pPr>
              <w:pStyle w:val="1116"/>
              <w:widowControl w:val="false"/>
              <w:rPr>
                <w:rFonts w:cs="Symbol"/>
                <w:color w:themeColor="text1" w:val="000000"/>
              </w:rPr>
            </w:pPr>
            <w:r>
              <w:rPr>
                <w:rFonts w:cs="Symbol"/>
                <w:color w:themeColor="text1" w:val="000000"/>
              </w:rPr>
              <w:t>северо-восточная часть г. Калуги,</w:t>
            </w:r>
          </w:p>
          <w:p>
            <w:pPr>
              <w:pStyle w:val="1116"/>
              <w:widowControl w:val="false"/>
              <w:rPr>
                <w:rFonts w:cs="Symbol"/>
                <w:color w:themeColor="text1" w:val="000000"/>
              </w:rPr>
            </w:pPr>
            <w:r>
              <w:rPr>
                <w:rFonts w:cs="Symbol"/>
                <w:color w:themeColor="text1" w:val="000000"/>
              </w:rPr>
              <w:t>мкр. Малинники</w:t>
            </w:r>
          </w:p>
          <w:p>
            <w:pPr>
              <w:pStyle w:val="1116"/>
              <w:widowControl w:val="false"/>
              <w:rPr>
                <w:rFonts w:cs="Symbol"/>
                <w:color w:themeColor="text1" w:val="000000"/>
              </w:rPr>
            </w:pPr>
            <w:r>
              <w:rPr>
                <w:rFonts w:cs="Symbol"/>
                <w:color w:themeColor="text1" w:val="000000"/>
              </w:rPr>
              <w:t>ОАО «Кристалл»</w:t>
            </w:r>
          </w:p>
          <w:p>
            <w:pPr>
              <w:pStyle w:val="1116"/>
              <w:widowControl w:val="false"/>
              <w:rPr>
                <w:color w:themeColor="text1" w:val="000000"/>
              </w:rPr>
            </w:pPr>
            <w:r>
              <w:rPr>
                <w:rFonts w:cs="Symbol"/>
                <w:color w:themeColor="text1" w:val="000000"/>
              </w:rPr>
              <w:t>г. Калуга</w:t>
            </w:r>
          </w:p>
        </w:tc>
        <w:tc>
          <w:tcPr>
            <w:tcW w:w="1879"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rFonts w:cs="Symbol"/>
                <w:color w:themeColor="text1" w:val="000000"/>
              </w:rPr>
              <w:t>Средне-верхнефа-менский терригенно-карбонатный комплекс</w:t>
            </w:r>
          </w:p>
        </w:tc>
        <w:tc>
          <w:tcPr>
            <w:tcW w:w="1984"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известняки</w:t>
            </w:r>
          </w:p>
        </w:tc>
        <w:tc>
          <w:tcPr>
            <w:tcW w:w="2267"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3-4,5</w:t>
            </w:r>
          </w:p>
          <w:p>
            <w:pPr>
              <w:pStyle w:val="1116"/>
              <w:widowControl w:val="false"/>
              <w:jc w:val="center"/>
              <w:rPr>
                <w:color w:themeColor="text1" w:val="000000"/>
              </w:rPr>
            </w:pPr>
            <w:r>
              <w:rPr>
                <w:rFonts w:cs="Symbol"/>
                <w:color w:themeColor="text1" w:val="000000"/>
              </w:rPr>
              <w:t>сульфатный</w:t>
            </w:r>
          </w:p>
        </w:tc>
        <w:tc>
          <w:tcPr>
            <w:tcW w:w="170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rFonts w:cs="Symbol"/>
                <w:color w:themeColor="text1" w:val="000000"/>
              </w:rPr>
            </w:pPr>
            <w:r>
              <w:rPr>
                <w:rFonts w:cs="Symbol"/>
                <w:color w:themeColor="text1" w:val="000000"/>
              </w:rPr>
              <w:t>6 ЦКЗ МПР РФ</w:t>
            </w:r>
          </w:p>
          <w:p>
            <w:pPr>
              <w:pStyle w:val="1116"/>
              <w:widowControl w:val="false"/>
              <w:jc w:val="center"/>
              <w:rPr>
                <w:rFonts w:cs="Symbol"/>
                <w:color w:themeColor="text1" w:val="000000"/>
              </w:rPr>
            </w:pPr>
            <w:r>
              <w:rPr>
                <w:rFonts w:cs="Symbol"/>
                <w:color w:themeColor="text1" w:val="000000"/>
              </w:rPr>
              <w:t>10.12.</w:t>
            </w:r>
          </w:p>
          <w:p>
            <w:pPr>
              <w:pStyle w:val="1116"/>
              <w:widowControl w:val="false"/>
              <w:jc w:val="center"/>
              <w:rPr>
                <w:color w:themeColor="text1" w:val="000000"/>
              </w:rPr>
            </w:pPr>
            <w:r>
              <w:rPr>
                <w:rFonts w:cs="Symbol"/>
                <w:color w:themeColor="text1" w:val="000000"/>
              </w:rPr>
              <w:t>2002 г.</w:t>
            </w:r>
          </w:p>
        </w:tc>
        <w:tc>
          <w:tcPr>
            <w:tcW w:w="1276"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3"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0,05</w:t>
            </w:r>
          </w:p>
        </w:tc>
        <w:tc>
          <w:tcPr>
            <w:tcW w:w="85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0"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c>
          <w:tcPr>
            <w:tcW w:w="851" w:type="dxa"/>
            <w:tcBorders>
              <w:top w:val="single" w:sz="4" w:space="0" w:color="000000"/>
              <w:left w:val="single" w:sz="4" w:space="0" w:color="000000"/>
              <w:bottom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0,05</w:t>
            </w:r>
          </w:p>
        </w:tc>
        <w:tc>
          <w:tcPr>
            <w:tcW w:w="8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color w:themeColor="text1" w:val="000000"/>
              </w:rPr>
            </w:pPr>
            <w:r>
              <w:rPr>
                <w:rFonts w:cs="Symbol"/>
                <w:color w:themeColor="text1" w:val="000000"/>
              </w:rPr>
              <w:t>0</w:t>
            </w:r>
          </w:p>
        </w:tc>
      </w:tr>
    </w:tbl>
    <w:p>
      <w:pPr>
        <w:pStyle w:val="Normal"/>
        <w:rPr>
          <w:color w:themeColor="text1" w:val="000000"/>
        </w:rPr>
      </w:pPr>
      <w:r>
        <w:rPr>
          <w:color w:themeColor="text1" w:val="000000"/>
        </w:rPr>
      </w:r>
    </w:p>
    <w:p>
      <w:pPr>
        <w:pStyle w:val="Normal"/>
        <w:rPr>
          <w:color w:themeColor="text1" w:val="000000"/>
        </w:rPr>
      </w:pPr>
      <w:r>
        <w:rPr>
          <w:color w:themeColor="text1" w:val="000000"/>
        </w:rPr>
      </w:r>
    </w:p>
    <w:p>
      <w:pPr>
        <w:pStyle w:val="Normal"/>
        <w:rPr>
          <w:color w:themeColor="text1" w:val="000000"/>
        </w:rPr>
      </w:pPr>
      <w:r>
        <w:rPr>
          <w:color w:themeColor="text1" w:val="000000"/>
        </w:rPr>
      </w:r>
    </w:p>
    <w:p>
      <w:pPr>
        <w:pStyle w:val="Normal"/>
        <w:tabs>
          <w:tab w:val="clear" w:pos="397"/>
          <w:tab w:val="left" w:pos="6488" w:leader="none"/>
        </w:tabs>
        <w:rPr>
          <w:color w:themeColor="text1" w:val="000000"/>
        </w:rPr>
      </w:pPr>
      <w:r>
        <w:rPr>
          <w:color w:themeColor="text1" w:val="000000"/>
        </w:rPr>
        <w:tab/>
      </w:r>
    </w:p>
    <w:p>
      <w:pPr>
        <w:pStyle w:val="Normal"/>
        <w:rPr>
          <w:color w:themeColor="text1" w:val="000000"/>
        </w:rPr>
      </w:pPr>
      <w:r>
        <w:rPr>
          <w:color w:themeColor="text1" w:val="000000"/>
        </w:rPr>
      </w:r>
    </w:p>
    <w:p>
      <w:pPr>
        <w:pStyle w:val="Normal"/>
        <w:rPr>
          <w:color w:themeColor="text1" w:val="000000"/>
        </w:rPr>
      </w:pPr>
      <w:r>
        <w:rPr>
          <w:color w:themeColor="text1" w:val="000000"/>
        </w:rPr>
      </w:r>
    </w:p>
    <w:p>
      <w:pPr>
        <w:pStyle w:val="Normal"/>
        <w:rPr>
          <w:color w:themeColor="text1" w:val="000000"/>
        </w:rPr>
      </w:pPr>
      <w:r>
        <w:rPr>
          <w:color w:themeColor="text1" w:val="000000"/>
        </w:rPr>
      </w:r>
    </w:p>
    <w:p>
      <w:pPr>
        <w:sectPr>
          <w:headerReference w:type="default" r:id="rId9"/>
          <w:headerReference w:type="first" r:id="rId10"/>
          <w:footerReference w:type="default" r:id="rId11"/>
          <w:footerReference w:type="first" r:id="rId12"/>
          <w:type w:val="nextPage"/>
          <w:pgSz w:orient="landscape" w:w="16838" w:h="11906"/>
          <w:pgMar w:left="1418" w:right="1134" w:gutter="0" w:header="1134" w:top="1695" w:footer="0" w:bottom="726"/>
          <w:pgNumType w:fmt="decimal"/>
          <w:formProt w:val="false"/>
          <w:titlePg/>
          <w:textDirection w:val="lrTb"/>
          <w:docGrid w:type="default" w:linePitch="360" w:charSpace="0"/>
        </w:sectPr>
        <w:pStyle w:val="Normal"/>
        <w:tabs>
          <w:tab w:val="clear" w:pos="397"/>
          <w:tab w:val="left" w:pos="2136" w:leader="none"/>
        </w:tabs>
        <w:rPr>
          <w:color w:themeColor="text1" w:val="000000"/>
        </w:rPr>
      </w:pPr>
      <w:r>
        <w:rPr>
          <w:color w:themeColor="text1" w:val="000000"/>
        </w:rPr>
        <w:tab/>
        <w:tab/>
      </w:r>
    </w:p>
    <w:p>
      <w:pPr>
        <w:pStyle w:val="Style70"/>
        <w:spacing w:before="60" w:after="60"/>
        <w:ind w:firstLine="709"/>
        <w:rPr>
          <w:rFonts w:cs="Symbol"/>
          <w:color w:themeColor="text1" w:val="000000"/>
        </w:rPr>
      </w:pPr>
      <w:r>
        <w:rPr>
          <w:rStyle w:val="Style15"/>
          <w:rFonts w:cs="Symbol"/>
          <w:b/>
          <w:color w:themeColor="text1" w:val="000000"/>
          <w:u w:val="none"/>
        </w:rPr>
        <w:t>Минеральные подземные воды</w:t>
      </w:r>
      <w:r>
        <w:rPr>
          <w:rStyle w:val="FootnoteReference"/>
          <w:rFonts w:cs="Symbol"/>
          <w:color w:themeColor="text1" w:val="000000"/>
        </w:rPr>
        <w:footnoteReference w:id="2"/>
      </w:r>
    </w:p>
    <w:p>
      <w:pPr>
        <w:pStyle w:val="Style70"/>
        <w:spacing w:before="0" w:after="0"/>
        <w:ind w:firstLine="709"/>
        <w:rPr>
          <w:rFonts w:cs="Symbol"/>
          <w:color w:themeColor="text1" w:val="000000"/>
        </w:rPr>
      </w:pPr>
      <w:r>
        <w:rPr>
          <w:rFonts w:cs="Symbol"/>
          <w:color w:themeColor="text1" w:val="000000"/>
        </w:rPr>
        <w:t>Воды повышенной и высокой минерализации приурочены к отложениям девона. Девонский водоносный горизонт залегает в основании пород каменноугольного возраста и перекрывается известняками упинского горизонта. На отдельных участках в долине реки Оки комплекс непосредственно выходит под аллювий. Глубина залегания кровли комплекса от 20-</w:t>
        <w:br/>
        <w:t>30 м в речных долинах, до 100-130 м на водоразделах. Водовмещающие породы – известняки, доломиты, мергели, реже пески. Все водоносные горизонты комплекса высоконапорные с самоизливом в долинах рек около 102 л/сек.</w:t>
      </w:r>
    </w:p>
    <w:p>
      <w:pPr>
        <w:pStyle w:val="Style70"/>
        <w:spacing w:before="0" w:after="0"/>
        <w:ind w:firstLine="709"/>
        <w:rPr>
          <w:rFonts w:cs="Symbol"/>
          <w:color w:themeColor="text1" w:val="000000"/>
        </w:rPr>
      </w:pPr>
      <w:r>
        <w:rPr>
          <w:rFonts w:cs="Symbol"/>
          <w:color w:themeColor="text1" w:val="000000"/>
        </w:rPr>
        <w:t>На территории г. Калуги и пригорода разведано два участка минеральных подземных вод с запасами 0,326 тыс. куб.м/сут. и один участок хлоридных натриевых рассолов с запасами 0,12 тыс. м³/сут. Краткая характеристика участков минеральных подземных вод приведена в таблице 2.3.2.</w:t>
      </w:r>
    </w:p>
    <w:p>
      <w:pPr>
        <w:pStyle w:val="Style70"/>
        <w:spacing w:before="0" w:after="0"/>
        <w:ind w:firstLine="709"/>
        <w:rPr>
          <w:rFonts w:cs="Symbol"/>
          <w:color w:themeColor="text1" w:val="000000"/>
        </w:rPr>
      </w:pPr>
      <w:r>
        <w:rPr>
          <w:rFonts w:cs="Symbol"/>
          <w:color w:themeColor="text1" w:val="000000"/>
        </w:rPr>
        <w:t>В распределенном фонде числится два участка с запасами категории В - 0,326 тыс. куб.м/сут.</w:t>
      </w:r>
    </w:p>
    <w:p>
      <w:pPr>
        <w:pStyle w:val="Heading3"/>
        <w:numPr>
          <w:ilvl w:val="2"/>
          <w:numId w:val="2"/>
        </w:numPr>
        <w:spacing w:before="100" w:after="100"/>
        <w:ind w:firstLine="709" w:left="0"/>
        <w:rPr>
          <w:rFonts w:eastAsia="Symbol" w:cs="Symbol"/>
          <w:color w:themeColor="text1" w:val="000000"/>
        </w:rPr>
      </w:pPr>
      <w:bookmarkStart w:id="9" w:name="_Toc217312435"/>
      <w:r>
        <w:rPr>
          <w:rFonts w:eastAsia="Symbol" w:cs="Symbol"/>
          <w:color w:themeColor="text1" w:val="000000"/>
        </w:rPr>
        <w:t>2.4. Геолого-геоморфологическая характеристика</w:t>
      </w:r>
      <w:bookmarkEnd w:id="9"/>
    </w:p>
    <w:p>
      <w:pPr>
        <w:pStyle w:val="Style70"/>
        <w:spacing w:before="0" w:after="0"/>
        <w:ind w:firstLine="709"/>
        <w:rPr>
          <w:rFonts w:cs="Symbol"/>
          <w:color w:themeColor="text1" w:val="000000"/>
        </w:rPr>
      </w:pPr>
      <w:r>
        <w:rPr>
          <w:rFonts w:cs="Symbol"/>
          <w:color w:themeColor="text1" w:val="000000"/>
        </w:rPr>
        <w:t xml:space="preserve">Городской округ расположен на северо-западном склоне Среднерусской возвышенности и представляет собой пологоволнистую равнину с разветвленной гидрографической сетью. Структурная особенность территории определяется региональными и местными тектоническими условиями. </w:t>
      </w:r>
    </w:p>
    <w:p>
      <w:pPr>
        <w:pStyle w:val="Style70"/>
        <w:spacing w:before="0" w:after="0"/>
        <w:ind w:firstLine="709"/>
        <w:rPr>
          <w:rFonts w:cs="Symbol"/>
          <w:color w:themeColor="text1" w:val="000000"/>
        </w:rPr>
      </w:pPr>
      <w:r>
        <w:rPr>
          <w:rFonts w:cs="Symbol"/>
          <w:color w:themeColor="text1" w:val="000000"/>
        </w:rPr>
        <w:t>Местные тектонические условия обусловлены наличием северо-западнее города Калужской кольцевой вулканотектонической структуры. Своеобразие морфологии Калужской структуры обусловлено разломами в кристаллическом фундаменте и нижней части осадочного чехла, образующими в плане округлую замкнутую систему. Эти разломы ограничивают гребнеобразную мульфу (кальдеру), диаметр которой соответствует 13-15 км. Кальдера окружена кольцевым валом, который прослеживается как на поверхности фундамента, так и по всем горизонтам осадочного чехла, а также в орографии, погребенной и современной речной сети. Кольцевой вал состоит из ряда блоков, ограниченных системой разломов. Ширина его 2-3 км, «высота» - 150-350 м. Современная речная сеть четко отражает морфологические особенности Калужской структуры, долины основных рек приурочены к кольцевому валу.</w:t>
      </w:r>
    </w:p>
    <w:p>
      <w:pPr>
        <w:pStyle w:val="Style70"/>
        <w:spacing w:before="0" w:after="0"/>
        <w:ind w:firstLine="709"/>
        <w:rPr>
          <w:rFonts w:cs="Symbol"/>
          <w:color w:themeColor="text1" w:val="000000"/>
        </w:rPr>
      </w:pPr>
      <w:r>
        <w:rPr>
          <w:rFonts w:cs="Symbol"/>
          <w:color w:themeColor="text1" w:val="000000"/>
        </w:rPr>
        <w:t>Литолого-стратиграфические особенности территории определяются сложно построенной толщей четвертичных отложений, находящихся в сфере хозяйственной деятельности человека. Среди них обособляются следующие геолого-генетические комплексы четвертичных отложений и грунтов формаций:</w:t>
      </w:r>
    </w:p>
    <w:p>
      <w:pPr>
        <w:pStyle w:val="224"/>
        <w:spacing w:before="0" w:after="0"/>
        <w:ind w:firstLine="709" w:left="0"/>
        <w:rPr>
          <w:rFonts w:cs="Symbol"/>
          <w:color w:themeColor="text1" w:val="000000"/>
        </w:rPr>
      </w:pPr>
      <w:r>
        <w:rPr>
          <w:rFonts w:cs="Symbol"/>
          <w:color w:themeColor="text1" w:val="000000"/>
        </w:rPr>
        <w:t xml:space="preserve">- аллювиальные, часто перекрытые с поверхности техногенными образованиями; </w:t>
      </w:r>
    </w:p>
    <w:p>
      <w:pPr>
        <w:pStyle w:val="224"/>
        <w:spacing w:before="0" w:after="0"/>
        <w:ind w:firstLine="709" w:left="0"/>
        <w:rPr>
          <w:rFonts w:cs="Symbol"/>
          <w:color w:themeColor="text1" w:val="000000"/>
        </w:rPr>
      </w:pPr>
      <w:r>
        <w:rPr>
          <w:rFonts w:cs="Symbol"/>
          <w:color w:themeColor="text1" w:val="000000"/>
        </w:rPr>
        <w:t xml:space="preserve">- водно-ледниковые и моренные, среднечетвертичные; </w:t>
      </w:r>
    </w:p>
    <w:p>
      <w:pPr>
        <w:pStyle w:val="224"/>
        <w:spacing w:before="0" w:after="0"/>
        <w:ind w:firstLine="709" w:left="0"/>
        <w:rPr>
          <w:rFonts w:cs="Symbol"/>
          <w:color w:themeColor="text1" w:val="000000"/>
        </w:rPr>
      </w:pPr>
      <w:r>
        <w:rPr>
          <w:rFonts w:cs="Symbol"/>
          <w:color w:themeColor="text1" w:val="000000"/>
        </w:rPr>
        <w:t xml:space="preserve">- среднечетвертичные озерно-ледниковые; </w:t>
      </w:r>
    </w:p>
    <w:p>
      <w:pPr>
        <w:pStyle w:val="224"/>
        <w:spacing w:before="0" w:after="0"/>
        <w:ind w:firstLine="709" w:left="0"/>
        <w:rPr>
          <w:rFonts w:cs="Symbol"/>
          <w:color w:themeColor="text1" w:val="000000"/>
        </w:rPr>
      </w:pPr>
      <w:r>
        <w:rPr>
          <w:rFonts w:cs="Symbol"/>
          <w:color w:themeColor="text1" w:val="000000"/>
        </w:rPr>
        <w:t>- нижнекаменноугольные формации.</w:t>
      </w:r>
    </w:p>
    <w:p>
      <w:pPr>
        <w:pStyle w:val="Style70"/>
        <w:spacing w:before="0" w:after="0"/>
        <w:ind w:firstLine="709"/>
        <w:rPr>
          <w:rFonts w:cs="Symbol"/>
          <w:color w:themeColor="text1" w:val="000000"/>
        </w:rPr>
      </w:pPr>
      <w:r>
        <w:rPr>
          <w:rFonts w:cs="Symbol"/>
          <w:color w:themeColor="text1" w:val="000000"/>
        </w:rPr>
        <w:t>В пределах города выделяются следующие морфологические элементы:</w:t>
      </w:r>
    </w:p>
    <w:p>
      <w:pPr>
        <w:pStyle w:val="138"/>
        <w:spacing w:before="0" w:after="0"/>
        <w:ind w:firstLine="709" w:left="0"/>
        <w:rPr>
          <w:rFonts w:cs="Symbol"/>
          <w:color w:themeColor="text1" w:val="000000"/>
        </w:rPr>
      </w:pPr>
      <w:r>
        <w:rPr>
          <w:rFonts w:cs="Symbol"/>
          <w:color w:themeColor="text1" w:val="000000"/>
        </w:rPr>
        <w:t>- выразительная, хорошо разработанная долина р. Оки, заложенная в песчано-глинистых отложениях;</w:t>
      </w:r>
    </w:p>
    <w:p>
      <w:pPr>
        <w:pStyle w:val="138"/>
        <w:spacing w:before="0" w:after="0"/>
        <w:ind w:firstLine="709" w:left="0"/>
        <w:rPr>
          <w:rFonts w:cs="Symbol"/>
          <w:color w:themeColor="text1" w:val="000000"/>
        </w:rPr>
      </w:pPr>
      <w:r>
        <w:rPr>
          <w:rFonts w:cs="Symbol"/>
          <w:color w:themeColor="text1" w:val="000000"/>
        </w:rPr>
        <w:t>- выровненная, мелкобугристая, пологонаклонная пойма реки с озеровидными расширениями, болотами, сложенная аллювиальными суглинками, илами, подстилаемая песками с пойменными дерновыми почвами с разнотравно-злаковыми лугами;</w:t>
      </w:r>
    </w:p>
    <w:p>
      <w:pPr>
        <w:sectPr>
          <w:headerReference w:type="default" r:id="rId13"/>
          <w:headerReference w:type="first" r:id="rId14"/>
          <w:footerReference w:type="default" r:id="rId15"/>
          <w:footerReference w:type="first" r:id="rId16"/>
          <w:footnotePr>
            <w:numFmt w:val="decimal"/>
          </w:footnotePr>
          <w:type w:val="nextPage"/>
          <w:pgSz w:w="11906" w:h="16838"/>
          <w:pgMar w:left="1418" w:right="709" w:gutter="0" w:header="1134" w:top="1695" w:footer="0" w:bottom="584"/>
          <w:pgNumType w:fmt="decimal"/>
          <w:formProt w:val="false"/>
          <w:textDirection w:val="lrTb"/>
          <w:docGrid w:type="default" w:linePitch="360" w:charSpace="0"/>
        </w:sectPr>
        <w:pStyle w:val="138"/>
        <w:spacing w:before="0" w:after="0"/>
        <w:ind w:firstLine="709" w:left="0"/>
        <w:rPr>
          <w:rFonts w:cs="Symbol"/>
          <w:color w:themeColor="text1" w:val="000000"/>
        </w:rPr>
      </w:pPr>
      <w:r>
        <w:rPr>
          <w:rFonts w:cs="Symbol"/>
          <w:color w:themeColor="text1" w:val="000000"/>
        </w:rPr>
        <w:t>- пологонаклонные выровненные надпойменные террасы, сложенные древнеаллювиальными супесями с дерновослабо- и среднеподзолистыми почвами, расчлененные оврагами, ложбинами, частично залесенные;</w:t>
      </w:r>
    </w:p>
    <w:p>
      <w:pPr>
        <w:pStyle w:val="138"/>
        <w:spacing w:before="0" w:after="0"/>
        <w:ind w:firstLine="709" w:left="0"/>
        <w:rPr>
          <w:rFonts w:cs="Symbol"/>
          <w:color w:themeColor="text1" w:val="000000"/>
        </w:rPr>
      </w:pPr>
      <w:r>
        <w:rPr>
          <w:rFonts w:cs="Symbol"/>
          <w:color w:themeColor="text1" w:val="000000"/>
        </w:rPr>
        <w:t>- выровненные пологонаклонные водноледниковые равнины, сложенные древнеаллювиальными супесями и пылеватыми песками с дерново-среднеподзолистыми почвами под сосняками с дубом, частично освоенные селитьбой;</w:t>
      </w:r>
    </w:p>
    <w:p>
      <w:pPr>
        <w:pStyle w:val="138"/>
        <w:spacing w:before="0" w:after="0"/>
        <w:ind w:firstLine="709" w:left="0"/>
        <w:rPr>
          <w:rFonts w:cs="Symbol"/>
          <w:color w:themeColor="text1" w:val="000000"/>
        </w:rPr>
      </w:pPr>
      <w:r>
        <w:rPr>
          <w:rFonts w:cs="Symbol"/>
          <w:color w:themeColor="text1" w:val="000000"/>
        </w:rPr>
        <w:t>- возвышенная террасированная моренная равнина, сильно расчлененная долинами рек, оврагами, балками, сложенная моренными суглинками;</w:t>
      </w:r>
    </w:p>
    <w:p>
      <w:pPr>
        <w:pStyle w:val="138"/>
        <w:spacing w:before="0" w:after="0"/>
        <w:ind w:firstLine="709" w:left="0"/>
        <w:rPr>
          <w:rFonts w:cs="Symbol"/>
          <w:color w:themeColor="text1" w:val="000000"/>
        </w:rPr>
      </w:pPr>
      <w:r>
        <w:rPr>
          <w:rFonts w:cs="Symbol"/>
          <w:color w:themeColor="text1" w:val="000000"/>
        </w:rPr>
        <w:t>- глубокая узкая с притоками долина р. Яченки, зарегулированная Яченским водохранилищем;</w:t>
      </w:r>
    </w:p>
    <w:p>
      <w:pPr>
        <w:pStyle w:val="138"/>
        <w:spacing w:before="0" w:after="0"/>
        <w:ind w:firstLine="709" w:left="0"/>
        <w:rPr>
          <w:rFonts w:cs="Symbol"/>
          <w:color w:themeColor="text1" w:val="000000"/>
        </w:rPr>
      </w:pPr>
      <w:r>
        <w:rPr>
          <w:rFonts w:cs="Symbol"/>
          <w:color w:themeColor="text1" w:val="000000"/>
        </w:rPr>
        <w:t>- глубокие узкие долины малых рек, ручьев;</w:t>
      </w:r>
    </w:p>
    <w:p>
      <w:pPr>
        <w:pStyle w:val="138"/>
        <w:spacing w:before="0" w:after="0"/>
        <w:ind w:firstLine="709" w:left="0"/>
        <w:rPr>
          <w:rFonts w:cs="Symbol"/>
          <w:color w:themeColor="text1" w:val="000000"/>
        </w:rPr>
      </w:pPr>
      <w:r>
        <w:rPr>
          <w:rFonts w:cs="Symbol"/>
          <w:color w:themeColor="text1" w:val="000000"/>
        </w:rPr>
        <w:t>- овраги, глубоковрезанные с крутыми обрывистыми склонами, залесенные и закустаренные.</w:t>
      </w:r>
    </w:p>
    <w:p>
      <w:pPr>
        <w:pStyle w:val="Style70"/>
        <w:spacing w:before="0" w:after="0"/>
        <w:ind w:firstLine="709"/>
        <w:rPr>
          <w:rFonts w:cs="Symbol"/>
          <w:color w:themeColor="text1" w:val="000000"/>
        </w:rPr>
      </w:pPr>
      <w:r>
        <w:rPr>
          <w:rFonts w:cs="Symbol"/>
          <w:color w:themeColor="text1" w:val="000000"/>
        </w:rPr>
        <w:t>Наличие значительной расчлененности территории определяет планировочную структуру города, направленность его пространств, микроклимат, условия речного стока, эрозионно-аккумулятивные процессы. Лесная растительность сохранилась в западной части города (Калужский городской бор, площадью 1044 га, располагающийся на надпойменных террасах Оки и Яченки). Участки лесов расположены также на северной и восточной периферии города.</w:t>
      </w:r>
    </w:p>
    <w:p>
      <w:pPr>
        <w:pStyle w:val="Style70"/>
        <w:spacing w:before="0" w:after="0"/>
        <w:ind w:firstLine="709"/>
        <w:rPr>
          <w:rFonts w:cs="Symbol"/>
          <w:color w:themeColor="text1" w:val="000000"/>
        </w:rPr>
      </w:pPr>
      <w:r>
        <w:rPr>
          <w:rFonts w:cs="Symbol"/>
          <w:color w:themeColor="text1" w:val="000000"/>
        </w:rPr>
        <w:t>Территория городского округа расположена на обоих берегах р. Оки с абсолютными отметками от 120-135 м (на пойме) до 200-220 м (на участках водоразделов). Рельеф поверхности волнистый, осложненный речной и овражно-балочной сетью с преобладающими уклонами 0,5-5%.</w:t>
      </w:r>
    </w:p>
    <w:p>
      <w:pPr>
        <w:pStyle w:val="Style70"/>
        <w:spacing w:before="0" w:after="0"/>
        <w:ind w:firstLine="709"/>
        <w:rPr>
          <w:rFonts w:cs="Symbol"/>
          <w:color w:themeColor="text1" w:val="000000"/>
        </w:rPr>
      </w:pPr>
      <w:r>
        <w:rPr>
          <w:rFonts w:cs="Symbol"/>
          <w:color w:themeColor="text1" w:val="000000"/>
        </w:rPr>
        <w:t>Долина р. Оки узкая, шириной до 300 м, с высокими крутыми симметричными склонами, высотой 70-90 м над меженным уровнем реки. Левый берег более крутой с участками крутизной до 10-20%, а иногда и более, со следами древних и современных оползней на уступе склона.</w:t>
      </w:r>
    </w:p>
    <w:p>
      <w:pPr>
        <w:pStyle w:val="Style70"/>
        <w:spacing w:before="0" w:after="0"/>
        <w:ind w:firstLine="709"/>
        <w:rPr>
          <w:rFonts w:cs="Symbol"/>
          <w:color w:themeColor="text1" w:val="000000"/>
        </w:rPr>
      </w:pPr>
      <w:r>
        <w:rPr>
          <w:rFonts w:cs="Symbol"/>
          <w:color w:themeColor="text1" w:val="000000"/>
        </w:rPr>
        <w:t>Склоны обоих берегов осложнены оврагами, протяженность которых колеблется от 200-300 и до 850 м (Березуевский овраг) и до 1,5-2 км (овраги на правом берегу в районе</w:t>
        <w:br/>
        <w:t xml:space="preserve">д. Ромодановские Дворики, Квань, Пучково и др.). Наиболее густая овражная сеть развита на правом берегу р. Оки. Здесь имеется около 15 оврагов, прорезающих прибрежную зону, расстояние между ними не превышает 600-700 м. Эти овраги, как правило, узкие и глубокие (до 30-35 м) с крутыми заросшими кустарниковой и древесной растительностью склонами, на которых местами встречаются оползни и осыпи. Большинство оврагов с многочисленными ответвлениями и отвершками. </w:t>
      </w:r>
    </w:p>
    <w:p>
      <w:pPr>
        <w:pStyle w:val="Style70"/>
        <w:spacing w:before="0" w:after="0"/>
        <w:ind w:firstLine="709"/>
        <w:rPr>
          <w:rFonts w:cs="Symbol"/>
          <w:color w:themeColor="text1" w:val="000000"/>
        </w:rPr>
      </w:pPr>
      <w:r>
        <w:rPr>
          <w:rFonts w:cs="Symbol"/>
          <w:color w:themeColor="text1" w:val="000000"/>
        </w:rPr>
        <w:t>Березуевский овраг представляет глубокую задернованную балку, в нижней части приобретающую вид ущелья с крутыми отвесными склонами и каменистым ступенчатым дном. Протяженность оврага около 850 м, ширина поверху 120-150 м. Склоны, имеющие крутизну 20% и более, задернованы, обсажены деревьями и кустарниками. На склонах наблюдаются многочисленные старые оползни типа сплывов со следами свежих оползней и обрушений (особенно по трассам трубопроводов, пересекающих овраг). На отдельных участках верховье оврага засыпано (район городского рынка). Здесь сохранился старинный мост, сооруженный по типу римского виадука, по бровкам расположен ряд зданий – памятников архитектуры.</w:t>
      </w:r>
    </w:p>
    <w:p>
      <w:pPr>
        <w:pStyle w:val="Style70"/>
        <w:spacing w:before="0" w:after="0"/>
        <w:ind w:firstLine="709"/>
        <w:rPr>
          <w:rFonts w:cs="Symbol"/>
          <w:color w:themeColor="text1" w:val="000000"/>
        </w:rPr>
      </w:pPr>
      <w:r>
        <w:rPr>
          <w:rFonts w:cs="Symbol"/>
          <w:color w:themeColor="text1" w:val="000000"/>
        </w:rPr>
        <w:t>Жировский овраг протяженностью около 1,5 км имеет корытообразную форму с глубиной около 10 м, шириной по верху 40-120 м. Овраг, по которому протекает речка Киевка, имеет глубину от 10 м (близ устья) до 2-3 м (в верховьях близ д. Ольговки) по ширине, соответственно, от 400 до 100 м. Низовье оврага ассиметричное: левый берег крутой, правый – более пологий. Овраг имеет несколько отвершков глубиной от 2-5 м и протяженностью от 200-300 м до 1700 м.</w:t>
      </w:r>
    </w:p>
    <w:p>
      <w:pPr>
        <w:pStyle w:val="Style70"/>
        <w:spacing w:before="0" w:after="0"/>
        <w:ind w:firstLine="709"/>
        <w:rPr>
          <w:rFonts w:cs="Symbol"/>
          <w:color w:themeColor="text1" w:val="000000"/>
        </w:rPr>
      </w:pPr>
      <w:r>
        <w:rPr>
          <w:rFonts w:cs="Symbol"/>
          <w:color w:themeColor="text1" w:val="000000"/>
        </w:rPr>
        <w:t>Овраги береговых склонов р. Оки довольно живописны, они в значительной степени определяют высокое эстетическое качество ландшафта речной долины. Особенно это относится к Березуевскому оврагу, который расположен в центральной части города и органически сливается с системой городского «зеленого» благоустройства.</w:t>
      </w:r>
    </w:p>
    <w:p>
      <w:pPr>
        <w:pStyle w:val="Style70"/>
        <w:spacing w:before="0" w:after="0"/>
        <w:ind w:firstLine="709"/>
        <w:rPr>
          <w:rFonts w:cs="Symbol"/>
          <w:color w:themeColor="text1" w:val="000000"/>
        </w:rPr>
      </w:pPr>
      <w:r>
        <w:rPr>
          <w:rFonts w:cs="Symbol"/>
          <w:color w:themeColor="text1" w:val="000000"/>
        </w:rPr>
        <w:t xml:space="preserve">Левобережную часть долины прорезают притоки р. Оки – река Яченка и лесной ручей Грязнинка (с западной границы города), а также реки Киевка и Калужка с притоком – ручьем Городенка (в восточной части города). </w:t>
      </w:r>
    </w:p>
    <w:p>
      <w:pPr>
        <w:pStyle w:val="Style70"/>
        <w:spacing w:before="0" w:after="0"/>
        <w:ind w:firstLine="709"/>
        <w:rPr>
          <w:rFonts w:cs="Symbol"/>
          <w:color w:themeColor="text1" w:val="000000"/>
        </w:rPr>
      </w:pPr>
      <w:r>
        <w:rPr>
          <w:rFonts w:cs="Symbol"/>
          <w:color w:themeColor="text1" w:val="000000"/>
        </w:rPr>
        <w:t>Долина р. Яченки широкая, хорошо разработанная. Ширина ее колеблется от 900 м (близ устья) до 700 м (в нижнем течении), расширяясь до 1600 м в районе Азаровского поселка (район деревень Михалево, Черносвитино), и резко суживается до 250 м в районе д. Белая и д. Бабенки. В нижнем течении река имеет ассиметричное строение, правый берег (район Калужского бора) пологий, а левый – высокий (высотой 8-15 м), крутой, задернованный. Левобережный склон почти на всем протяжении осложнен оползнями, придающими ему бугристую террасированную поверхность. Близ северной границы городской застройки р. Яченка принимает приток – ручей Терепец.</w:t>
      </w:r>
    </w:p>
    <w:p>
      <w:pPr>
        <w:pStyle w:val="Style70"/>
        <w:spacing w:before="0" w:after="0"/>
        <w:ind w:firstLine="709"/>
        <w:rPr>
          <w:rFonts w:cs="Symbol"/>
          <w:color w:themeColor="text1" w:val="000000"/>
        </w:rPr>
      </w:pPr>
      <w:r>
        <w:rPr>
          <w:rFonts w:cs="Symbol"/>
          <w:color w:themeColor="text1" w:val="000000"/>
        </w:rPr>
        <w:t>Речка Киевка течет в узком глубоком овраге, в который справа впадает несколько отвершков и притоков.</w:t>
      </w:r>
    </w:p>
    <w:p>
      <w:pPr>
        <w:pStyle w:val="Style70"/>
        <w:spacing w:before="0" w:after="0"/>
        <w:ind w:firstLine="709"/>
        <w:rPr/>
      </w:pPr>
      <w:r>
        <w:rPr>
          <w:rFonts w:cs="Symbol"/>
          <w:color w:themeColor="text1" w:val="000000"/>
        </w:rPr>
        <w:t>В геоморфологическом строении долина р. Оки характеризуется слабым развитием речных террас. Ширина поймы в центральной части города изменяется на левом берегу от 15-</w:t>
        <w:br/>
        <w:t>25 м до 50-100 м, а на правом – от 50 до 250 м. На западной и восточной окраинах города ширина ее достигает 500 м. Надпойменные террасы не имеют повсеместного распространения. Первая терраса развита преимущественно на левом берегу (у устьев речек Яченки и Киевки) высотой до 13-18 м над урезом воды в межень. Вторая терраса наибольшее развитие имеет в районе городского бора, высота ее над рекой 28-40 м. Третья терраса наблюдается в виде останцев на правом берегу высотой 50-60 м.</w:t>
      </w:r>
    </w:p>
    <w:p>
      <w:pPr>
        <w:pStyle w:val="Heading3"/>
        <w:numPr>
          <w:ilvl w:val="2"/>
          <w:numId w:val="2"/>
        </w:numPr>
        <w:spacing w:before="100" w:after="100"/>
        <w:ind w:firstLine="709" w:left="0"/>
        <w:rPr>
          <w:rFonts w:eastAsia="Symbol" w:cs="Symbol"/>
          <w:color w:themeColor="text1" w:val="000000"/>
        </w:rPr>
      </w:pPr>
      <w:bookmarkStart w:id="10" w:name="_Toc217312436"/>
      <w:r>
        <w:rPr>
          <w:rFonts w:eastAsia="Symbol" w:cs="Symbol"/>
          <w:color w:themeColor="text1" w:val="000000"/>
        </w:rPr>
        <w:t>2.5. Инженерно-геологические условия</w:t>
      </w:r>
      <w:bookmarkEnd w:id="10"/>
    </w:p>
    <w:p>
      <w:pPr>
        <w:pStyle w:val="Style70"/>
        <w:spacing w:before="0" w:after="0"/>
        <w:ind w:firstLine="709"/>
        <w:rPr>
          <w:rFonts w:cs="Symbol"/>
          <w:color w:themeColor="text1" w:val="000000"/>
        </w:rPr>
      </w:pPr>
      <w:r>
        <w:rPr>
          <w:rFonts w:cs="Symbol"/>
          <w:color w:themeColor="text1" w:val="000000"/>
        </w:rPr>
        <w:t>На территории распространены и оказывают определенное влияние на проектирование, строительство и эксплуатацию зданий, сооружений и территорий следующие геологические и техногенные процессы:</w:t>
      </w:r>
    </w:p>
    <w:p>
      <w:pPr>
        <w:pStyle w:val="138"/>
        <w:spacing w:before="0" w:after="0"/>
        <w:ind w:firstLine="709" w:left="0"/>
        <w:rPr>
          <w:rFonts w:cs="Symbol"/>
          <w:color w:themeColor="text1" w:val="000000"/>
        </w:rPr>
      </w:pPr>
      <w:r>
        <w:rPr>
          <w:rFonts w:cs="Symbol"/>
          <w:color w:themeColor="text1" w:val="000000"/>
        </w:rPr>
        <w:t>- подтопление грунтовыми водами;</w:t>
      </w:r>
    </w:p>
    <w:p>
      <w:pPr>
        <w:pStyle w:val="138"/>
        <w:spacing w:before="0" w:after="0"/>
        <w:ind w:firstLine="709" w:left="0"/>
        <w:rPr>
          <w:rFonts w:cs="Symbol"/>
          <w:color w:themeColor="text1" w:val="000000"/>
        </w:rPr>
      </w:pPr>
      <w:r>
        <w:rPr>
          <w:rFonts w:cs="Symbol"/>
          <w:color w:themeColor="text1" w:val="000000"/>
        </w:rPr>
        <w:t>- линейная эрозия (в т.ч. оврагообразование);</w:t>
      </w:r>
    </w:p>
    <w:p>
      <w:pPr>
        <w:pStyle w:val="138"/>
        <w:spacing w:before="0" w:after="0"/>
        <w:ind w:firstLine="709" w:left="0"/>
        <w:rPr>
          <w:rFonts w:cs="Symbol"/>
          <w:color w:themeColor="text1" w:val="000000"/>
        </w:rPr>
      </w:pPr>
      <w:r>
        <w:rPr>
          <w:rFonts w:cs="Symbol"/>
          <w:color w:themeColor="text1" w:val="000000"/>
        </w:rPr>
        <w:t>- карстово-суффозионные процессы;</w:t>
      </w:r>
    </w:p>
    <w:p>
      <w:pPr>
        <w:pStyle w:val="138"/>
        <w:spacing w:before="0" w:after="0"/>
        <w:ind w:firstLine="709" w:left="0"/>
        <w:rPr>
          <w:rFonts w:cs="Symbol"/>
          <w:color w:themeColor="text1" w:val="000000"/>
        </w:rPr>
      </w:pPr>
      <w:r>
        <w:rPr>
          <w:rFonts w:cs="Symbol"/>
          <w:color w:themeColor="text1" w:val="000000"/>
        </w:rPr>
        <w:t>- оползни.</w:t>
      </w:r>
    </w:p>
    <w:p>
      <w:pPr>
        <w:pStyle w:val="Style70"/>
        <w:spacing w:before="0" w:after="0"/>
        <w:ind w:firstLine="709"/>
        <w:rPr>
          <w:rFonts w:cs="Symbol"/>
          <w:color w:themeColor="text1" w:val="000000"/>
        </w:rPr>
      </w:pPr>
      <w:r>
        <w:rPr>
          <w:rFonts w:cs="Symbol"/>
          <w:color w:themeColor="text1" w:val="000000"/>
        </w:rPr>
        <w:t>Специфические инженерно-геологические условия, прогноз взаимодействия зданий, сооружений с геологической средой должны учитываться при выборе проектных решений, организации строительства и эксплуатации зданий и сооружений. Поэтому мероприятия инженерной защиты территорий, направленные на устранение опасных природных процессов, являются основным условием жилищного и промышленного строительства.</w:t>
      </w:r>
    </w:p>
    <w:p>
      <w:pPr>
        <w:pStyle w:val="Style70"/>
        <w:spacing w:before="0" w:after="0"/>
        <w:ind w:firstLine="709"/>
        <w:rPr>
          <w:rFonts w:cs="Symbol"/>
          <w:color w:themeColor="text1" w:val="000000"/>
        </w:rPr>
      </w:pPr>
      <w:r>
        <w:rPr>
          <w:rFonts w:cs="Symbol"/>
          <w:color w:themeColor="text1" w:val="000000"/>
        </w:rPr>
        <w:t>Развитие отрицательных физико-геологических явлений на территории городского округа обусловлено следующими природными особенностями:</w:t>
      </w:r>
    </w:p>
    <w:p>
      <w:pPr>
        <w:pStyle w:val="Style70"/>
        <w:spacing w:before="0" w:after="0"/>
        <w:ind w:firstLine="709"/>
        <w:rPr>
          <w:rFonts w:cs="Symbol"/>
          <w:color w:themeColor="text1" w:val="000000"/>
        </w:rPr>
      </w:pPr>
      <w:r>
        <w:rPr>
          <w:rFonts w:cs="Symbol"/>
          <w:color w:themeColor="text1" w:val="000000"/>
        </w:rPr>
        <w:t>1. Сложно построенная толща грунтов аллювиальных, средне-нижнечетвертичных водноледниковых, среднечетвертичных озерно-ледниковых и моренных отложений.</w:t>
      </w:r>
    </w:p>
    <w:p>
      <w:pPr>
        <w:pStyle w:val="Style70"/>
        <w:spacing w:before="0" w:after="0"/>
        <w:ind w:firstLine="709"/>
        <w:rPr>
          <w:rFonts w:cs="Symbol"/>
          <w:color w:themeColor="text1" w:val="000000"/>
        </w:rPr>
      </w:pPr>
      <w:r>
        <w:rPr>
          <w:rFonts w:cs="Symbol"/>
          <w:color w:themeColor="text1" w:val="000000"/>
        </w:rPr>
        <w:t>2. Рельеф нижнечетвертичных моренных и озерно-ледниковых равнин осложнен оврагами (шириной порядка 12-30 м при глубине 1,5-8,0 м), ассиметричными древними ложбинами-балками (шириной около 120 м при глубине до 10 м), суффозионными блюдцеобразными понижениями диаметром до 150 м при глубине около 5 м. Освоение бортов оврагов требует соответствующих проработок по поддержанию их устойчивости и недопущению условий подтопления. Указанные равнины с поверхности сложены суффозионно-неустойчивыми и легкоразмываемыми грунтами.</w:t>
      </w:r>
    </w:p>
    <w:p>
      <w:pPr>
        <w:pStyle w:val="Style70"/>
        <w:spacing w:before="0" w:after="0"/>
        <w:ind w:firstLine="709"/>
        <w:rPr>
          <w:rFonts w:eastAsia="Symbol" w:cs="Symbol"/>
          <w:color w:themeColor="text1" w:val="000000"/>
        </w:rPr>
      </w:pPr>
      <w:r>
        <w:rPr>
          <w:rFonts w:cs="Symbol"/>
          <w:color w:themeColor="text1" w:val="000000"/>
        </w:rPr>
        <w:t>3. С отметки 170 м долины рек Оки, Киевки, Яченки, Терепец характеризуются высокими и крутыми эрозионными склонами. На некоторых участках эрозионных склонов нижнечетвертичного вреза речной сети отмечаются древние оползневые смещения грунтов. За счет этого бровка эрозионных склонов «поднялась» до отметок 190 м. Крутизна речных склонов на отдельных участках достигает 75</w:t>
      </w:r>
      <w:r>
        <w:rPr>
          <w:rFonts w:eastAsia="Symbol" w:cs="Symbol"/>
          <w:color w:themeColor="text1" w:val="000000"/>
        </w:rPr>
        <w:t xml:space="preserve"> градусов при высоте порядка 3-5 м, 30 градусов - при высоте около 16 м. Большая часть склонов являются оползнеопасными. </w:t>
      </w:r>
    </w:p>
    <w:p>
      <w:pPr>
        <w:pStyle w:val="Style70"/>
        <w:spacing w:before="0" w:after="0"/>
        <w:ind w:firstLine="709"/>
        <w:rPr>
          <w:rFonts w:eastAsia="Symbol" w:cs="Symbol"/>
          <w:color w:themeColor="text1" w:val="000000"/>
        </w:rPr>
      </w:pPr>
      <w:r>
        <w:rPr>
          <w:rFonts w:eastAsia="Symbol" w:cs="Symbol"/>
          <w:color w:themeColor="text1" w:val="000000"/>
        </w:rPr>
        <w:t xml:space="preserve">4. Значительная овражная расчлененность эрозионных склонов рек Оки и Киевки. Для территории города эрозионный врез этих рек формировался во второй половине нижнечетвертичного периода. </w:t>
      </w:r>
    </w:p>
    <w:p>
      <w:pPr>
        <w:pStyle w:val="Style70"/>
        <w:spacing w:before="0" w:after="0"/>
        <w:ind w:firstLine="709"/>
        <w:rPr>
          <w:rFonts w:eastAsia="Symbol" w:cs="Symbol"/>
          <w:color w:themeColor="text1" w:val="000000"/>
        </w:rPr>
      </w:pPr>
      <w:r>
        <w:rPr>
          <w:rFonts w:eastAsia="Symbol" w:cs="Symbol"/>
          <w:color w:themeColor="text1" w:val="000000"/>
        </w:rPr>
        <w:t>5. Многочисленные водопроявления на речных склонах и бортах оврагов в виде нисходящих и восходящих родников, мочажин, а также сбросы на поверхность склонов и откосов техногенных бытовых и локальных концентрированных потоков атмосферных вод. В результате хозяйственной деятельности на речных склонах и бортах оврагов появляется быстрое создание зон подпора подземных вод, формирование грунтовых вод типа «верховодки» или локальное заболачивание территории.</w:t>
      </w:r>
    </w:p>
    <w:p>
      <w:pPr>
        <w:pStyle w:val="Style70"/>
        <w:spacing w:before="0" w:after="0"/>
        <w:ind w:firstLine="709"/>
        <w:rPr>
          <w:rFonts w:eastAsia="Symbol" w:cs="Symbol"/>
          <w:color w:themeColor="text1" w:val="000000"/>
        </w:rPr>
      </w:pPr>
      <w:r>
        <w:rPr>
          <w:rFonts w:eastAsia="Symbol" w:cs="Symbol"/>
          <w:color w:themeColor="text1" w:val="000000"/>
        </w:rPr>
        <w:t>6. Наличие в активной зоне строительного освоения (до глубины 10 м) двух горизонтов подземных вод. Грунтовые воды в песчаных, супесчаных, глинистых образованиях четвертичных комплексов вскрыты на глубинах от 0,0 м до 8,0 м. Грунтовые воды характеризуются преобладающим инфильтрационным питанием поверхностными водами и частично питанием за счет перелива вод из других горизонтов. Подземные воды в нижнекаменноугольных отложениях, перекрытых с поверхности четвертичными образованиями, залегают на глубинах 6,5-13,5 м.</w:t>
      </w:r>
    </w:p>
    <w:p>
      <w:pPr>
        <w:pStyle w:val="Style70"/>
        <w:spacing w:before="0" w:after="0"/>
        <w:ind w:firstLine="709"/>
        <w:rPr>
          <w:rFonts w:eastAsia="Symbol" w:cs="Symbol"/>
          <w:color w:themeColor="text1" w:val="000000"/>
        </w:rPr>
      </w:pPr>
      <w:r>
        <w:rPr>
          <w:rFonts w:eastAsia="Symbol" w:cs="Symbol"/>
          <w:color w:themeColor="text1" w:val="000000"/>
        </w:rPr>
        <w:t>При сложившейся практике строительного освоения городской территории отмечается техногенная активизация негативных природных процессов.</w:t>
      </w:r>
    </w:p>
    <w:p>
      <w:pPr>
        <w:pStyle w:val="Style70"/>
        <w:spacing w:before="0" w:after="0"/>
        <w:ind w:firstLine="709"/>
        <w:rPr>
          <w:rFonts w:eastAsia="Symbol" w:cs="Symbol"/>
          <w:color w:themeColor="text1" w:val="000000"/>
          <w:u w:val="single"/>
        </w:rPr>
      </w:pPr>
      <w:r>
        <w:rPr>
          <w:rFonts w:eastAsia="Symbol" w:cs="Symbol"/>
          <w:color w:themeColor="text1" w:val="000000"/>
        </w:rPr>
        <w:t xml:space="preserve">Анализ природных условий показывает, что основными факторами, осложняющими градостроительное развитие территории, являются инженерно-геологические условия. </w:t>
      </w:r>
    </w:p>
    <w:p>
      <w:pPr>
        <w:pStyle w:val="Style70"/>
        <w:spacing w:before="60" w:after="60"/>
        <w:ind w:firstLine="709"/>
        <w:rPr>
          <w:rFonts w:eastAsia="Symbol" w:cs="Symbol"/>
          <w:b/>
          <w:color w:themeColor="text1" w:val="000000"/>
        </w:rPr>
      </w:pPr>
      <w:r>
        <w:rPr>
          <w:rFonts w:eastAsia="Symbol" w:cs="Symbol"/>
          <w:b/>
          <w:color w:themeColor="text1" w:val="000000"/>
        </w:rPr>
        <w:t>Опасные геологические процессы</w:t>
      </w:r>
    </w:p>
    <w:p>
      <w:pPr>
        <w:pStyle w:val="Style70"/>
        <w:spacing w:before="0" w:after="0"/>
        <w:ind w:firstLine="709"/>
        <w:rPr>
          <w:rFonts w:eastAsia="Symbol" w:cs="Symbol"/>
          <w:color w:themeColor="text1" w:val="000000"/>
        </w:rPr>
      </w:pPr>
      <w:r>
        <w:rPr>
          <w:rFonts w:eastAsia="Symbol" w:cs="Symbol"/>
          <w:color w:themeColor="text1" w:val="000000"/>
        </w:rPr>
        <w:t>1. Процессы линейной эрозии имеют довольно широкое распространение. Их интенсивность значительно возрастает на участках прорывов приповерхностных водонесущих коммуникаций и залпового сброса аварийных вод на склоны и борта оврагов. При этом скорость развития новых промоин в песчано-супесчаных грунтах, в равной мере, как и скорость отступания бровки оврагов, на вновь застраиваемых участках может достигать 8,0 м/год.</w:t>
      </w:r>
    </w:p>
    <w:p>
      <w:pPr>
        <w:pStyle w:val="Style70"/>
        <w:spacing w:before="0" w:after="0"/>
        <w:ind w:firstLine="709"/>
        <w:rPr>
          <w:rFonts w:eastAsia="Symbol" w:cs="Symbol"/>
          <w:color w:themeColor="text1" w:val="000000"/>
        </w:rPr>
      </w:pPr>
      <w:r>
        <w:rPr>
          <w:rFonts w:eastAsia="Symbol" w:cs="Symbol"/>
          <w:color w:themeColor="text1" w:val="000000"/>
        </w:rPr>
        <w:t>Характерным для овражной сети, сформированной к руслу левобережных притоков</w:t>
        <w:br/>
        <w:t>р. Оки, является преобладание левосторонней асимметрии с более крутыми левобережными склонами с выпуклым в плане профилем. Некоторые из них полностью прорезают эрозионные склоны реки. Верховья оврагов часто заболочены, расширены. Практически повсеместно здесь отмечается развитие оползней, хотя они имеют место и на правобережных бортах оврагов.</w:t>
      </w:r>
    </w:p>
    <w:p>
      <w:pPr>
        <w:pStyle w:val="Style70"/>
        <w:spacing w:before="0" w:after="0"/>
        <w:ind w:firstLine="709"/>
        <w:rPr>
          <w:rFonts w:eastAsia="Symbol" w:cs="Symbol"/>
          <w:color w:themeColor="text1" w:val="000000"/>
        </w:rPr>
      </w:pPr>
      <w:r>
        <w:rPr>
          <w:rFonts w:eastAsia="Symbol" w:cs="Symbol"/>
          <w:color w:themeColor="text1" w:val="000000"/>
        </w:rPr>
        <w:t>2. Суффозионные и карстово-суффозионные процессы вызывают суффозионное разуплотнение песчаных и супесчаных разностей грунтов водно-ледникового, терригенно-карбонатного, аллювиального и пролювиального комплексов.</w:t>
      </w:r>
    </w:p>
    <w:p>
      <w:pPr>
        <w:pStyle w:val="Style70"/>
        <w:spacing w:before="0" w:after="0"/>
        <w:ind w:firstLine="709"/>
        <w:rPr>
          <w:rFonts w:eastAsia="Symbol" w:cs="Symbol"/>
          <w:color w:themeColor="text1" w:val="000000"/>
        </w:rPr>
      </w:pPr>
      <w:r>
        <w:rPr>
          <w:rFonts w:eastAsia="Symbol" w:cs="Symbol"/>
          <w:color w:themeColor="text1" w:val="000000"/>
        </w:rPr>
        <w:t xml:space="preserve">3. Оползневые смещения грунтов отмечены и прогнозируются с эрозионных склонов долины р. Оки и ее левобережных притоков (реки Яченки, Терепец, Калужки, Киевки) и бортов крупных оврагов. Они формируются в нижне-, среднечетвертичных водно-ледниковых, озерно-ледниковых песчано-супесчано-глинистых, нижнекаменноугольных песчано-глинистых и элювиальных отложениях. Деформации незатухающей ползучести развиваются на участках техногенного изменения установившегося природного плотностного влажностного режима нижнекаменноугольных глин терригенно-карбонатной формации, реже глин озерно-ледникового комплекса. </w:t>
      </w:r>
    </w:p>
    <w:p>
      <w:pPr>
        <w:pStyle w:val="Style70"/>
        <w:spacing w:before="0" w:after="0"/>
        <w:ind w:firstLine="709"/>
        <w:rPr>
          <w:rFonts w:eastAsia="Symbol" w:cs="Symbol"/>
          <w:color w:themeColor="text1" w:val="000000"/>
        </w:rPr>
      </w:pPr>
      <w:r>
        <w:rPr>
          <w:rFonts w:eastAsia="Symbol" w:cs="Symbol"/>
          <w:color w:themeColor="text1" w:val="000000"/>
        </w:rPr>
        <w:t xml:space="preserve">По механизму смещения среди смещенных и оползнеопасных массивов преобладают оползни вязкопластического течения и блокового типа; незначительная их часть - это оползни, сплывы или течения с глубиной захвата грунтов в пределах зоны сезонного промерзания - протаивания грунтов. </w:t>
      </w:r>
    </w:p>
    <w:p>
      <w:pPr>
        <w:pStyle w:val="Style70"/>
        <w:spacing w:before="0" w:after="0"/>
        <w:ind w:firstLine="709"/>
        <w:rPr>
          <w:rStyle w:val="Style14"/>
          <w:rFonts w:eastAsia="Symbol" w:cs="Symbol"/>
          <w:color w:themeColor="text1" w:val="000000"/>
        </w:rPr>
      </w:pPr>
      <w:r>
        <w:rPr>
          <w:rFonts w:eastAsia="Symbol" w:cs="Symbol"/>
          <w:color w:themeColor="text1" w:val="000000"/>
        </w:rPr>
        <w:t>Следует отметить, что эрозионные склоны левобережных притоков р. Оки практически повсеместно являются оползнеопасными, имея коэффициент оползневой пораженности около 70%.</w:t>
      </w:r>
    </w:p>
    <w:p>
      <w:pPr>
        <w:pStyle w:val="Style70"/>
        <w:spacing w:before="0" w:after="0"/>
        <w:ind w:firstLine="709"/>
        <w:rPr>
          <w:rStyle w:val="Style15"/>
          <w:rFonts w:eastAsia="Symbol" w:cs="Symbol"/>
          <w:color w:themeColor="text1" w:val="000000"/>
        </w:rPr>
      </w:pPr>
      <w:r>
        <w:rPr>
          <w:rStyle w:val="Style14"/>
          <w:rFonts w:eastAsia="Symbol" w:cs="Symbol"/>
          <w:color w:themeColor="text1" w:val="000000"/>
        </w:rPr>
        <w:t>Оценка инженерно-строительных условий</w:t>
      </w:r>
      <w:r>
        <w:rPr>
          <w:rStyle w:val="Style18"/>
          <w:rFonts w:eastAsia="Symbol" w:cs="Symbol"/>
          <w:color w:themeColor="text1" w:val="000000"/>
        </w:rPr>
        <w:t xml:space="preserve"> выполнена на основе анализа особенностей природных условий (геолого-геоморфологическое строение, гидрогеологические параметры водоносных горизонтов и комплексов, наличие и степень развития физико-геологических процессов и явлений), а также техногенных изменений геологической оболочки (иллюстрация «Инженерно-строительные условия»). </w:t>
      </w:r>
      <w:r>
        <w:rPr>
          <w:rFonts w:eastAsia="Symbol" w:cs="Symbol"/>
          <w:color w:themeColor="text1" w:val="000000"/>
        </w:rPr>
        <w:t>Также использованы материалы ГФУП-ПНИИИС «Схемы защиты жилых территорий г. Калуги от опасных геологических процессов», материалы Аствацатуровой К.А. «Типизация инженерно-геологических условий городских территорий для их строительного освоения и обоснования схем инженерной защиты на примере г. Калуга», материалы разработанной ранее градостроительной документации.</w:t>
      </w:r>
    </w:p>
    <w:p>
      <w:pPr>
        <w:pStyle w:val="Style70"/>
        <w:spacing w:before="0" w:after="0"/>
        <w:ind w:firstLine="709"/>
        <w:rPr>
          <w:rStyle w:val="Style18"/>
          <w:rFonts w:eastAsia="Symbol" w:cs="Symbol"/>
          <w:color w:themeColor="text1" w:val="000000"/>
          <w:u w:val="single"/>
        </w:rPr>
      </w:pPr>
      <w:r>
        <w:rPr>
          <w:rStyle w:val="Style15"/>
          <w:rFonts w:eastAsia="Symbol" w:cs="Symbol"/>
          <w:color w:themeColor="text1" w:val="000000"/>
        </w:rPr>
        <w:t>Территории, благоприятные для градостроительного освоения:</w:t>
      </w:r>
    </w:p>
    <w:p>
      <w:pPr>
        <w:pStyle w:val="138"/>
        <w:spacing w:before="0" w:after="0"/>
        <w:ind w:firstLine="709" w:left="0"/>
        <w:rPr>
          <w:rStyle w:val="Style18"/>
          <w:rFonts w:eastAsia="Symbol" w:cs="Symbol"/>
          <w:color w:themeColor="text1" w:val="000000"/>
        </w:rPr>
      </w:pPr>
      <w:r>
        <w:rPr>
          <w:rStyle w:val="Style18"/>
          <w:rFonts w:eastAsia="Symbol" w:cs="Symbol"/>
          <w:color w:themeColor="text1" w:val="000000"/>
        </w:rPr>
        <w:t>- водораздельные равнины с абсолютными отметками высот 210 м и более, характеризующиеся незначительной степенью развития опасных геологических процессов.</w:t>
      </w:r>
    </w:p>
    <w:p>
      <w:pPr>
        <w:pStyle w:val="Style70"/>
        <w:spacing w:before="0" w:after="0"/>
        <w:ind w:firstLine="709"/>
        <w:rPr>
          <w:rFonts w:eastAsia="Symbol" w:cs="Symbol"/>
          <w:color w:themeColor="text1" w:val="000000"/>
          <w:u w:val="single"/>
        </w:rPr>
      </w:pPr>
      <w:r>
        <w:rPr>
          <w:rStyle w:val="Style15"/>
          <w:rFonts w:eastAsia="Symbol" w:cs="Symbol"/>
          <w:color w:themeColor="text1" w:val="000000"/>
        </w:rPr>
        <w:t>Территории, ограниченно благоприятные для градостроительного освоения:</w:t>
      </w:r>
    </w:p>
    <w:p>
      <w:pPr>
        <w:pStyle w:val="138"/>
        <w:spacing w:before="0" w:after="0"/>
        <w:ind w:firstLine="709" w:left="0"/>
        <w:rPr>
          <w:rStyle w:val="Style15"/>
          <w:rFonts w:eastAsia="Symbol" w:cs="Symbol"/>
          <w:color w:themeColor="text1" w:val="000000"/>
        </w:rPr>
      </w:pPr>
      <w:r>
        <w:rPr>
          <w:rFonts w:eastAsia="Symbol" w:cs="Symbol"/>
          <w:color w:themeColor="text1" w:val="000000"/>
        </w:rPr>
        <w:t xml:space="preserve">- нижне-, среднечетвертичные моренные, водно-ледниковые и озерно-ледниковые равнины, склоновые участки речных террас, подверженные овражно-балочной эрозии, возможно образование оползней и плывунов, развитие слабых грунтов. </w:t>
      </w:r>
    </w:p>
    <w:p>
      <w:pPr>
        <w:pStyle w:val="Style70"/>
        <w:spacing w:before="0" w:after="0"/>
        <w:ind w:firstLine="709"/>
        <w:rPr>
          <w:rFonts w:eastAsia="Symbol" w:cs="Symbol"/>
          <w:color w:themeColor="text1" w:val="000000"/>
          <w:u w:val="single"/>
        </w:rPr>
      </w:pPr>
      <w:r>
        <w:rPr>
          <w:rStyle w:val="Style15"/>
          <w:rFonts w:eastAsia="Symbol" w:cs="Symbol"/>
          <w:color w:themeColor="text1" w:val="000000"/>
        </w:rPr>
        <w:t>Территории, неблагоприятные для градостроительного освоения:</w:t>
      </w:r>
    </w:p>
    <w:p>
      <w:pPr>
        <w:pStyle w:val="138"/>
        <w:spacing w:before="0" w:after="0"/>
        <w:ind w:firstLine="709" w:left="0"/>
        <w:rPr>
          <w:rFonts w:eastAsia="Symbol" w:cs="Symbol"/>
          <w:color w:themeColor="text1" w:val="000000"/>
        </w:rPr>
      </w:pPr>
      <w:r>
        <w:rPr>
          <w:rFonts w:eastAsia="Symbol" w:cs="Symbol"/>
          <w:color w:themeColor="text1" w:val="000000"/>
        </w:rPr>
        <w:t>- участки в пределах долины рек Оки, Угры (от современного уреза до отметки ~ 140 м), Яченки и Киевки (до отметки ~ 160м), территории близкого залегания грунтовых вод, а также возможного подтопления, склоны поймы и первой надпойменной террасы, характеризующиеся развитием оползневых, суффозионных и карстово-суффозионных процессов, линейной эрозии, деформаций незатухающей ползучести высокодисперсных глин, неравномерных просадок грунтов;</w:t>
      </w:r>
    </w:p>
    <w:p>
      <w:pPr>
        <w:pStyle w:val="138"/>
        <w:spacing w:before="0" w:after="0"/>
        <w:ind w:firstLine="709" w:left="0"/>
        <w:rPr>
          <w:rFonts w:eastAsia="Symbol" w:cs="Symbol"/>
          <w:color w:themeColor="text1" w:val="000000"/>
        </w:rPr>
      </w:pPr>
      <w:r>
        <w:rPr>
          <w:rFonts w:eastAsia="Symbol" w:cs="Symbol"/>
          <w:color w:themeColor="text1" w:val="000000"/>
        </w:rPr>
        <w:t>- растущие овраги;</w:t>
      </w:r>
    </w:p>
    <w:p>
      <w:pPr>
        <w:pStyle w:val="138"/>
        <w:spacing w:before="0" w:after="0"/>
        <w:ind w:firstLine="709" w:left="0"/>
        <w:rPr>
          <w:rFonts w:eastAsia="Symbol" w:cs="Symbol"/>
          <w:color w:themeColor="text1" w:val="000000"/>
        </w:rPr>
      </w:pPr>
      <w:r>
        <w:rPr>
          <w:rFonts w:eastAsia="Symbol" w:cs="Symbol"/>
          <w:color w:themeColor="text1" w:val="000000"/>
        </w:rPr>
        <w:t>- зона затопления паводковыми водами 1 % обеспеченности.</w:t>
      </w:r>
    </w:p>
    <w:p>
      <w:pPr>
        <w:pStyle w:val="Heading3"/>
        <w:numPr>
          <w:ilvl w:val="2"/>
          <w:numId w:val="2"/>
        </w:numPr>
        <w:spacing w:before="100" w:after="100"/>
        <w:ind w:firstLine="709" w:left="0"/>
        <w:rPr>
          <w:rFonts w:eastAsia="Symbol" w:cs="Symbol"/>
          <w:color w:themeColor="text1" w:val="000000"/>
        </w:rPr>
      </w:pPr>
      <w:bookmarkStart w:id="11" w:name="_Toc217312437"/>
      <w:r>
        <w:rPr>
          <w:rFonts w:eastAsia="Symbol" w:cs="Symbol"/>
          <w:color w:themeColor="text1" w:val="000000"/>
        </w:rPr>
        <w:t>2.6. Лесные ресурсы</w:t>
      </w:r>
      <w:bookmarkEnd w:id="11"/>
    </w:p>
    <w:p>
      <w:pPr>
        <w:pStyle w:val="Style70"/>
        <w:spacing w:before="0" w:after="0"/>
        <w:ind w:firstLine="709"/>
        <w:rPr>
          <w:rFonts w:eastAsia="Symbol" w:cs="Symbol"/>
          <w:color w:themeColor="text1" w:val="000000"/>
        </w:rPr>
      </w:pPr>
      <w:r>
        <w:rPr>
          <w:rFonts w:eastAsia="Symbol" w:cs="Symbol"/>
          <w:color w:themeColor="text1" w:val="000000"/>
        </w:rPr>
        <w:t>На территории городского округа частично расположены: Пригородное, Рожковское и Приокское участковые лесничества Калужского лесничества.</w:t>
      </w:r>
    </w:p>
    <w:p>
      <w:pPr>
        <w:pStyle w:val="Style70"/>
        <w:spacing w:before="0" w:after="0"/>
        <w:ind w:firstLine="709"/>
        <w:rPr>
          <w:rFonts w:eastAsia="Symbol" w:cs="Symbol"/>
          <w:color w:themeColor="text1" w:val="000000"/>
        </w:rPr>
      </w:pPr>
      <w:r>
        <w:rPr>
          <w:rFonts w:eastAsia="Symbol" w:cs="Symbol"/>
          <w:color w:themeColor="text1" w:val="000000"/>
        </w:rPr>
        <w:t>В соответствии с «Перечнем лесорастительных зон Российской Федерации и лесных районов Российской Федерации», утвержденным приказом Федерального агентства лесного хозяйства от 09.03.2011 № 621, вся территория Калужского лесничества относится к зоне хвойно-широколиственных лесов, к лесному району хвойно-широколиственных (смешанных) лесов европейской части Российской Федерации.</w:t>
      </w:r>
    </w:p>
    <w:p>
      <w:pPr>
        <w:pStyle w:val="Style70"/>
        <w:spacing w:before="0" w:after="0"/>
        <w:ind w:firstLine="709"/>
        <w:rPr>
          <w:rFonts w:eastAsia="Symbol" w:cs="Symbol"/>
          <w:color w:themeColor="text1" w:val="000000"/>
        </w:rPr>
      </w:pPr>
      <w:r>
        <w:rPr>
          <w:rFonts w:eastAsia="Symbol" w:cs="Symbol"/>
          <w:color w:themeColor="text1" w:val="000000"/>
        </w:rPr>
        <w:t xml:space="preserve">Категории защитных лесов установлены в соответствии со ст. 110 Лесного кодекса Российской Федерации, ст. 8 Федерального закона от 04.12.2006 № 201-ФЗ «О введении в действие Лесного кодекса Российской Федерации» (в редакции от 13.06.2023) и приказом Федерального агентства лесного хозяйства от 15.09.2009 № 324 «Об отнесении лесов на территории Калужской области к ценным лесам, эксплуатационным лесам и установлении их границ» - без изменения границ ранее существовавших категорий защитности. </w:t>
      </w:r>
    </w:p>
    <w:p>
      <w:pPr>
        <w:pStyle w:val="Style70"/>
        <w:spacing w:before="0" w:after="0"/>
        <w:ind w:firstLine="709"/>
        <w:rPr>
          <w:color w:themeColor="text1" w:val="000000"/>
          <w:lang w:eastAsia="ru-RU"/>
        </w:rPr>
      </w:pPr>
      <w:r>
        <w:rPr>
          <w:rFonts w:eastAsia="Symbol" w:cs="Symbol"/>
          <w:color w:themeColor="text1" w:val="000000"/>
        </w:rPr>
        <w:t>В пределах городского округа выделены следующие категории защитных лесов:</w:t>
      </w:r>
    </w:p>
    <w:p>
      <w:pPr>
        <w:pStyle w:val="Normal"/>
        <w:suppressAutoHyphens w:val="false"/>
        <w:ind w:firstLine="709"/>
        <w:jc w:val="both"/>
        <w:rPr>
          <w:color w:themeColor="text1" w:val="000000"/>
          <w:lang w:eastAsia="ru-RU"/>
        </w:rPr>
      </w:pPr>
      <w:r>
        <w:rPr>
          <w:color w:themeColor="text1" w:val="000000"/>
          <w:lang w:eastAsia="ru-RU"/>
        </w:rPr>
        <w:t>- леса, расположенные в первом и втором поясах зон санитарной охраны источников питьевого и хозяйственно-бытового водоснабжения;</w:t>
      </w:r>
    </w:p>
    <w:p>
      <w:pPr>
        <w:pStyle w:val="Normal"/>
        <w:suppressAutoHyphens w:val="false"/>
        <w:ind w:firstLine="709"/>
        <w:jc w:val="both"/>
        <w:rPr>
          <w:color w:themeColor="text1" w:val="000000"/>
          <w:lang w:eastAsia="ru-RU"/>
        </w:rPr>
      </w:pPr>
      <w:r>
        <w:rPr>
          <w:color w:themeColor="text1" w:val="000000"/>
          <w:lang w:eastAsia="ru-RU"/>
        </w:rPr>
        <w:t>-</w:t>
      </w:r>
      <w:r>
        <w:rPr>
          <w:color w:themeColor="text1" w:val="000000"/>
          <w:lang w:val="en-US" w:eastAsia="ru-RU"/>
        </w:rPr>
        <w:t> </w:t>
      </w:r>
      <w:r>
        <w:rPr>
          <w:color w:themeColor="text1" w:val="000000"/>
          <w:lang w:eastAsia="ru-RU"/>
        </w:rPr>
        <w:t>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p>
      <w:pPr>
        <w:pStyle w:val="Normal"/>
        <w:suppressAutoHyphens w:val="false"/>
        <w:ind w:firstLine="709"/>
        <w:jc w:val="both"/>
        <w:rPr>
          <w:color w:themeColor="text1" w:val="000000"/>
          <w:lang w:eastAsia="ru-RU"/>
        </w:rPr>
      </w:pPr>
      <w:r>
        <w:rPr>
          <w:color w:themeColor="text1" w:val="000000"/>
          <w:lang w:eastAsia="ru-RU"/>
        </w:rPr>
        <w:t>-</w:t>
      </w:r>
      <w:r>
        <w:rPr>
          <w:color w:themeColor="text1" w:val="000000"/>
          <w:lang w:val="en-US" w:eastAsia="ru-RU"/>
        </w:rPr>
        <w:t> </w:t>
      </w:r>
      <w:r>
        <w:rPr>
          <w:color w:themeColor="text1" w:val="000000"/>
          <w:lang w:eastAsia="ru-RU"/>
        </w:rPr>
        <w:t>зеленые зоны;</w:t>
      </w:r>
    </w:p>
    <w:p>
      <w:pPr>
        <w:pStyle w:val="Normal"/>
        <w:suppressAutoHyphens w:val="false"/>
        <w:ind w:firstLine="709"/>
        <w:jc w:val="both"/>
        <w:rPr>
          <w:color w:themeColor="text1" w:val="000000"/>
          <w:lang w:eastAsia="ru-RU"/>
        </w:rPr>
      </w:pPr>
      <w:r>
        <w:rPr>
          <w:color w:themeColor="text1" w:val="000000"/>
          <w:lang w:eastAsia="ru-RU"/>
        </w:rPr>
        <w:t>-</w:t>
      </w:r>
      <w:r>
        <w:rPr>
          <w:color w:themeColor="text1" w:val="000000"/>
          <w:lang w:val="en-US" w:eastAsia="ru-RU"/>
        </w:rPr>
        <w:t> </w:t>
      </w:r>
      <w:r>
        <w:rPr>
          <w:color w:themeColor="text1" w:val="000000"/>
          <w:lang w:eastAsia="ru-RU"/>
        </w:rPr>
        <w:t>лесопарковые зоны;</w:t>
      </w:r>
    </w:p>
    <w:p>
      <w:pPr>
        <w:pStyle w:val="Normal"/>
        <w:suppressAutoHyphens w:val="false"/>
        <w:ind w:firstLine="709"/>
        <w:jc w:val="both"/>
        <w:rPr>
          <w:color w:themeColor="text1" w:val="000000"/>
          <w:lang w:eastAsia="ru-RU"/>
        </w:rPr>
      </w:pPr>
      <w:r>
        <w:rPr>
          <w:color w:themeColor="text1" w:val="000000"/>
          <w:lang w:eastAsia="ru-RU"/>
        </w:rPr>
        <w:t>-</w:t>
      </w:r>
      <w:r>
        <w:rPr>
          <w:color w:themeColor="text1" w:val="000000"/>
          <w:lang w:val="en-US" w:eastAsia="ru-RU"/>
        </w:rPr>
        <w:t> </w:t>
      </w:r>
      <w:r>
        <w:rPr>
          <w:color w:themeColor="text1" w:val="000000"/>
          <w:lang w:eastAsia="ru-RU"/>
        </w:rPr>
        <w:t>запретные полосы лесов, расположенные вдоль водных объектов.</w:t>
      </w:r>
    </w:p>
    <w:p>
      <w:pPr>
        <w:pStyle w:val="Heading3"/>
        <w:numPr>
          <w:ilvl w:val="2"/>
          <w:numId w:val="2"/>
        </w:numPr>
        <w:spacing w:before="100" w:after="100"/>
        <w:ind w:firstLine="709" w:left="0"/>
        <w:rPr>
          <w:rFonts w:eastAsia="Symbol" w:cs="Symbol"/>
          <w:color w:themeColor="text1" w:val="000000"/>
        </w:rPr>
      </w:pPr>
      <w:bookmarkStart w:id="12" w:name="_Toc217312438"/>
      <w:r>
        <w:rPr>
          <w:rFonts w:eastAsia="Symbol" w:cs="Symbol"/>
          <w:color w:themeColor="text1" w:val="000000"/>
        </w:rPr>
        <w:t>2.7. Особо охраняемые природные территории</w:t>
      </w:r>
      <w:bookmarkEnd w:id="12"/>
    </w:p>
    <w:p>
      <w:pPr>
        <w:pStyle w:val="Style70"/>
        <w:spacing w:before="0" w:after="0"/>
        <w:ind w:firstLine="709"/>
        <w:rPr>
          <w:rFonts w:eastAsia="Symbol" w:cs="Symbol"/>
          <w:color w:themeColor="text1" w:val="000000"/>
        </w:rPr>
      </w:pPr>
      <w:r>
        <w:rPr>
          <w:rFonts w:eastAsia="Symbol" w:cs="Symbol"/>
          <w:color w:themeColor="text1" w:val="000000"/>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объекты растительного и животного мира, естественные экологические системы,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pPr>
        <w:pStyle w:val="Style70"/>
        <w:spacing w:before="0" w:after="0"/>
        <w:ind w:firstLine="709"/>
        <w:rPr>
          <w:rFonts w:eastAsia="Symbol" w:cs="Symbol"/>
          <w:color w:themeColor="text1" w:val="000000"/>
        </w:rPr>
      </w:pPr>
      <w:r>
        <w:rPr>
          <w:rFonts w:eastAsia="Symbol" w:cs="Symbol"/>
          <w:color w:themeColor="text1" w:val="000000"/>
        </w:rPr>
        <w:t>На территории городского округа расположены 14 особо охраняемых природных территорий, представленных памятниками природы федерального и регионального значения, также парками и памятниками живой природы местного значения.</w:t>
      </w:r>
    </w:p>
    <w:p>
      <w:pPr>
        <w:sectPr>
          <w:headerReference w:type="default" r:id="rId17"/>
          <w:headerReference w:type="first" r:id="rId18"/>
          <w:footerReference w:type="default" r:id="rId19"/>
          <w:footerReference w:type="first" r:id="rId20"/>
          <w:footnotePr>
            <w:numFmt w:val="decimal"/>
          </w:footnotePr>
          <w:type w:val="nextPage"/>
          <w:pgSz w:w="11906" w:h="16838"/>
          <w:pgMar w:left="1418" w:right="709" w:gutter="0" w:header="567" w:top="1128" w:footer="0" w:bottom="584"/>
          <w:pgNumType w:fmt="decimal"/>
          <w:formProt w:val="false"/>
          <w:textDirection w:val="lrTb"/>
          <w:docGrid w:type="default" w:linePitch="360" w:charSpace="0"/>
        </w:sectPr>
        <w:pStyle w:val="Style70"/>
        <w:spacing w:before="0" w:after="0"/>
        <w:ind w:firstLine="709"/>
        <w:rPr>
          <w:rFonts w:eastAsia="Symbol" w:cs="Symbol"/>
          <w:color w:themeColor="text1" w:val="000000"/>
        </w:rPr>
      </w:pPr>
      <w:r>
        <w:rPr>
          <w:rFonts w:eastAsia="Symbol" w:cs="Symbol"/>
          <w:color w:themeColor="text1" w:val="000000"/>
        </w:rPr>
        <w:t xml:space="preserve">Перечень особо охраняемых природных территорий, расположенных на территории городского округа, представлен в таблице 2.7.1. </w:t>
      </w:r>
    </w:p>
    <w:p>
      <w:pPr>
        <w:pStyle w:val="Style78"/>
        <w:rPr>
          <w:rFonts w:eastAsia="Symbol" w:cs="Symbol"/>
          <w:color w:themeColor="text1" w:val="000000"/>
        </w:rPr>
      </w:pPr>
      <w:r>
        <w:rPr>
          <w:rFonts w:eastAsia="Symbol" w:cs="Symbol"/>
          <w:color w:themeColor="text1" w:val="000000"/>
        </w:rPr>
        <w:t>Таблица 2.7.1.</w:t>
      </w:r>
    </w:p>
    <w:p>
      <w:pPr>
        <w:pStyle w:val="Normal"/>
        <w:jc w:val="center"/>
        <w:rPr>
          <w:color w:themeColor="text1" w:val="000000"/>
        </w:rPr>
      </w:pPr>
      <w:r>
        <w:rPr>
          <w:color w:themeColor="text1" w:val="000000"/>
        </w:rPr>
        <w:t xml:space="preserve">Особо охраняемые природные территории, </w:t>
      </w:r>
    </w:p>
    <w:p>
      <w:pPr>
        <w:pStyle w:val="Normal"/>
        <w:jc w:val="center"/>
        <w:rPr>
          <w:color w:themeColor="text1" w:val="000000"/>
        </w:rPr>
      </w:pPr>
      <w:r>
        <w:rPr>
          <w:color w:themeColor="text1" w:val="000000"/>
        </w:rPr>
        <w:t>расположенные на территории городского округа</w:t>
      </w:r>
    </w:p>
    <w:tbl>
      <w:tblPr>
        <w:tblW w:w="16019" w:type="dxa"/>
        <w:jc w:val="left"/>
        <w:tblInd w:w="-713" w:type="dxa"/>
        <w:tblLayout w:type="fixed"/>
        <w:tblCellMar>
          <w:top w:w="0" w:type="dxa"/>
          <w:left w:w="108" w:type="dxa"/>
          <w:bottom w:w="0" w:type="dxa"/>
          <w:right w:w="108" w:type="dxa"/>
        </w:tblCellMar>
        <w:tblLook w:firstRow="0" w:noVBand="0" w:lastRow="0" w:firstColumn="0" w:lastColumn="0" w:noHBand="0" w:val="0000"/>
      </w:tblPr>
      <w:tblGrid>
        <w:gridCol w:w="568"/>
        <w:gridCol w:w="2081"/>
        <w:gridCol w:w="1205"/>
        <w:gridCol w:w="1843"/>
        <w:gridCol w:w="1245"/>
        <w:gridCol w:w="1589"/>
        <w:gridCol w:w="1528"/>
        <w:gridCol w:w="5958"/>
      </w:tblGrid>
      <w:tr>
        <w:trPr>
          <w:tblHeader w:val="true"/>
          <w:trHeight w:val="723" w:hRule="atLeast"/>
          <w:cantSplit w:val="true"/>
        </w:trPr>
        <w:tc>
          <w:tcPr>
            <w:tcW w:w="56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pPr>
            <w:r>
              <w:rPr>
                <w:b/>
                <w:color w:themeColor="text1" w:val="000000"/>
              </w:rPr>
              <w:t>№</w:t>
            </w:r>
          </w:p>
        </w:tc>
        <w:tc>
          <w:tcPr>
            <w:tcW w:w="2081"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pPr>
            <w:r>
              <w:rPr>
                <w:rFonts w:cs="Symbol"/>
                <w:b/>
                <w:color w:themeColor="text1" w:val="000000"/>
              </w:rPr>
              <w:t>Наименование</w:t>
            </w:r>
          </w:p>
        </w:tc>
        <w:tc>
          <w:tcPr>
            <w:tcW w:w="120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pPr>
            <w:r>
              <w:rPr>
                <w:rFonts w:cs="Symbol"/>
                <w:b/>
                <w:color w:themeColor="text1" w:val="000000"/>
              </w:rPr>
              <w:t>Катего-рия</w:t>
            </w:r>
          </w:p>
        </w:tc>
        <w:tc>
          <w:tcPr>
            <w:tcW w:w="1843"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pPr>
            <w:r>
              <w:rPr>
                <w:rFonts w:cs="Symbol"/>
                <w:b/>
                <w:color w:themeColor="text1" w:val="000000"/>
              </w:rPr>
              <w:t>Площадь</w:t>
            </w:r>
          </w:p>
          <w:p>
            <w:pPr>
              <w:pStyle w:val="1112"/>
              <w:widowControl w:val="false"/>
              <w:rPr/>
            </w:pPr>
            <w:r>
              <w:rPr>
                <w:rFonts w:cs="Symbol"/>
                <w:b/>
                <w:color w:themeColor="text1" w:val="000000"/>
              </w:rPr>
              <w:t>(га)</w:t>
            </w:r>
          </w:p>
        </w:tc>
        <w:tc>
          <w:tcPr>
            <w:tcW w:w="124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pPr>
            <w:r>
              <w:rPr>
                <w:rFonts w:cs="Symbol"/>
                <w:b/>
                <w:color w:themeColor="text1" w:val="000000"/>
              </w:rPr>
              <w:t>Охранная зона</w:t>
            </w:r>
          </w:p>
        </w:tc>
        <w:tc>
          <w:tcPr>
            <w:tcW w:w="158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pPr>
            <w:r>
              <w:rPr>
                <w:rFonts w:cs="Symbol"/>
                <w:b/>
                <w:color w:themeColor="text1" w:val="000000"/>
              </w:rPr>
              <w:t>Профиль</w:t>
            </w:r>
          </w:p>
        </w:tc>
        <w:tc>
          <w:tcPr>
            <w:tcW w:w="152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pPr>
            <w:r>
              <w:rPr>
                <w:rFonts w:cs="Symbol"/>
                <w:b/>
                <w:color w:themeColor="text1" w:val="000000"/>
              </w:rPr>
              <w:t>Количество участков</w:t>
            </w:r>
          </w:p>
        </w:tc>
        <w:tc>
          <w:tcPr>
            <w:tcW w:w="595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sz w:val="22"/>
                <w:szCs w:val="22"/>
              </w:rPr>
            </w:pPr>
            <w:r>
              <w:rPr>
                <w:rFonts w:cs="Symbol"/>
                <w:b/>
                <w:color w:themeColor="text1" w:val="000000"/>
                <w:sz w:val="22"/>
                <w:szCs w:val="22"/>
              </w:rPr>
              <w:t>Правоустанавливающий документ об организации ООПТ (вид документа, наименование органа власти, принявшего документ, дата, номер, название документа)</w:t>
            </w:r>
          </w:p>
        </w:tc>
      </w:tr>
      <w:tr>
        <w:trPr>
          <w:trHeight w:val="345" w:hRule="atLeast"/>
          <w:cantSplit w:val="true"/>
        </w:trPr>
        <w:tc>
          <w:tcPr>
            <w:tcW w:w="16017"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rStyle w:val="Style14"/>
                <w:rFonts w:cs="Symbol"/>
                <w:color w:themeColor="text1" w:val="000000"/>
              </w:rPr>
              <w:t>Федерального значения</w:t>
            </w:r>
          </w:p>
        </w:tc>
      </w:tr>
      <w:tr>
        <w:trPr>
          <w:trHeight w:val="1211"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1</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«Городской бор»</w:t>
            </w:r>
          </w:p>
          <w:p>
            <w:pPr>
              <w:pStyle w:val="1112"/>
              <w:widowControl w:val="false"/>
              <w:rPr/>
            </w:pPr>
            <w:r>
              <w:rPr>
                <w:rFonts w:cs="Symbol"/>
                <w:color w:themeColor="text1" w:val="000000"/>
              </w:rPr>
              <w:t>(Калужский Бор)</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1044,0</w:t>
            </w:r>
          </w:p>
          <w:p>
            <w:pPr>
              <w:pStyle w:val="1112"/>
              <w:widowControl w:val="false"/>
              <w:rPr/>
            </w:pPr>
            <w:r>
              <w:rPr>
                <w:color w:themeColor="text1" w:val="000000"/>
              </w:rPr>
              <w:t>(участок № 1 - 50,8 га, участок № 2 - 993,2 га)</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Комплексный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Два участка</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both"/>
              <w:rPr/>
            </w:pPr>
            <w:r>
              <w:rPr>
                <w:color w:themeColor="text1" w:val="000000"/>
              </w:rPr>
              <w:t>Постановление Госкомэкономики РСФСР от 12.05.1991</w:t>
              <w:br/>
              <w:t>№ 16 (приложение 3Д); приказ Минприроды Российской Федерации от 27.11.2015 № 513 «Об утверждении Положения о памятнике природы федерального значения «Городской бор»</w:t>
            </w:r>
          </w:p>
        </w:tc>
      </w:tr>
      <w:tr>
        <w:trPr>
          <w:trHeight w:val="439" w:hRule="atLeast"/>
          <w:cantSplit w:val="true"/>
        </w:trPr>
        <w:tc>
          <w:tcPr>
            <w:tcW w:w="16017"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rStyle w:val="Style14"/>
                <w:rFonts w:cs="Symbol"/>
                <w:color w:themeColor="text1" w:val="000000"/>
              </w:rPr>
              <w:t>Регионального значения</w:t>
            </w:r>
          </w:p>
        </w:tc>
      </w:tr>
      <w:tr>
        <w:trPr>
          <w:trHeight w:val="2280"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2</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«Парк усадьбы Яновских»</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34,4</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61 га</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Природно-исторический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both"/>
              <w:rPr>
                <w:sz w:val="22"/>
                <w:szCs w:val="22"/>
              </w:rPr>
            </w:pPr>
            <w:r>
              <w:rPr>
                <w:color w:themeColor="text1" w:val="000000"/>
                <w:sz w:val="22"/>
                <w:szCs w:val="22"/>
              </w:rPr>
              <w:t>Решение малого Совета Калужского областного Совета народных депутатов от 19.11.1992 № 188 «Об объявлении парка усадьбы Яновских в п. Учхоз г. Калуги памятником природы регионального значения» (в ред. постановления Законодательного Собрания Калужской области от 20.09.2012 № 624), постановление Правительства Калужской области от 09.10.1997 № 127 «Об утверждении паспортов памятников природы» (в ред. постановления Правительства Калужской области от 27.12.2016 № 697)</w:t>
            </w:r>
          </w:p>
        </w:tc>
      </w:tr>
      <w:tr>
        <w:trPr>
          <w:trHeight w:val="1980"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3</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«Овраг Можайка»</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97</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82 га</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Ландшафтный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both"/>
              <w:rPr>
                <w:sz w:val="22"/>
                <w:szCs w:val="22"/>
              </w:rPr>
            </w:pPr>
            <w:r>
              <w:rPr>
                <w:color w:themeColor="text1" w:val="000000"/>
                <w:sz w:val="22"/>
                <w:szCs w:val="22"/>
              </w:rPr>
              <w:t>Решение исполнительного комитета Калужского областного Совета народных депутатов от 16.09.1991 № 352 «Об объявлении объектов памятниками природы регионального значения» (в ред. постановления Правительства Калужской области от 16.04.2012 № 185), постановление Правительства Калужской области от 09.10.1997 № 127 «Об утверждении паспортов памятников природы» (в ред. постановления Правительства Калужской области от 27.12.2016 № 697)</w:t>
            </w:r>
          </w:p>
        </w:tc>
      </w:tr>
      <w:tr>
        <w:trPr>
          <w:trHeight w:val="2781"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4</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«Пруд Вырка»</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32,3</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121,8 га</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Ландшафтный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jc w:val="both"/>
              <w:rPr>
                <w:sz w:val="22"/>
                <w:szCs w:val="22"/>
              </w:rPr>
            </w:pPr>
            <w:r>
              <w:rPr>
                <w:rFonts w:eastAsia="Microsoft YaHei"/>
                <w:sz w:val="22"/>
                <w:szCs w:val="22"/>
                <w:lang w:eastAsia="ru-RU"/>
              </w:rPr>
              <w:t>Решение исполнительного комитета Калужского областного Совета народных депутатов от 16.09.1991</w:t>
              <w:br/>
              <w:t>№ 352 «Об объявлении объектов памятниками природы регионального значения» (в ред. постановления Правительства Калужской области от 16.04.2012</w:t>
              <w:br/>
              <w:t>№ 185), приказ министерства природных ресурсов и экологии Калужской области от 22.12.2022 № 1034-22 «Об особо охраняемой природной территории регионального значения - памятнике природы «Пруд Вырка» (в ред. приказа министерства природных ресурсов и экологии Калужской области от 12.10.2023 № 678-23)</w:t>
            </w:r>
          </w:p>
        </w:tc>
      </w:tr>
      <w:tr>
        <w:trPr>
          <w:trHeight w:val="2198"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5</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«Роща «Комсомольская»</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30,4</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4,9 га</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rPr/>
            </w:pPr>
            <w:r>
              <w:rPr>
                <w:color w:themeColor="text1" w:val="000000"/>
              </w:rPr>
              <w:t>Комплексный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both"/>
              <w:rPr>
                <w:sz w:val="22"/>
                <w:szCs w:val="22"/>
              </w:rPr>
            </w:pPr>
            <w:r>
              <w:rPr>
                <w:color w:themeColor="text1" w:val="000000"/>
                <w:sz w:val="22"/>
                <w:szCs w:val="22"/>
              </w:rPr>
              <w:t>Решение исполнительного комитета Калужского областного Совета народных депутатов от 16.09.1991 № 352 «Об объявлении объектов памятниками природы регионального значения» (в ред. постановления Правительства Калужской области от 16.04.2012 № 185), постановление Правительства Калужской области от 09.10.1997 № 127 «Об утверждении паспортов памятников природы» (в ред. постановления Правительства Калужской области от 27.12.2016 № 697)</w:t>
            </w:r>
          </w:p>
        </w:tc>
      </w:tr>
      <w:tr>
        <w:trPr>
          <w:trHeight w:val="2273"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6</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«Минеральный источник «Резванский»</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175,4</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50 м</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Комплексный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pPr>
            <w:r>
              <w:rPr>
                <w:rFonts w:eastAsia="Microsoft YaHei"/>
                <w:sz w:val="22"/>
                <w:szCs w:val="22"/>
                <w:lang w:eastAsia="ru-RU"/>
              </w:rPr>
              <w:t>Решение Калужского областного Совета народных депутатов от 16.09.1991 № 352 «Об объявлении объектов  памятниками природы регионального значения» (в ред. постановления Правительства Калужской области от 16.04.2012</w:t>
              <w:br/>
              <w:t>№ 185); приказ министерства природных ресурсов и экологии Калужской области от 20.12.2021 № 1233-21 «Об особо охраняемой природной территории регионального    значения – памятнике природы «Минеральный источник «Резванский»</w:t>
            </w:r>
          </w:p>
          <w:p>
            <w:pPr>
              <w:pStyle w:val="1116"/>
              <w:widowControl w:val="false"/>
              <w:jc w:val="both"/>
              <w:rPr>
                <w:color w:themeColor="text1" w:val="000000"/>
              </w:rPr>
            </w:pPr>
            <w:r>
              <w:rPr>
                <w:color w:themeColor="text1" w:val="000000"/>
              </w:rPr>
            </w:r>
          </w:p>
        </w:tc>
      </w:tr>
      <w:tr>
        <w:trPr>
          <w:trHeight w:val="330"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7</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«Лесное урочище «Рождественский лес»</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328,0021</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 xml:space="preserve"> </w:t>
            </w:r>
            <w:r>
              <w:rPr>
                <w:rFonts w:cs="Symbol"/>
                <w:color w:themeColor="text1" w:val="000000"/>
              </w:rPr>
              <w:t>50 м</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Ботанический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jc w:val="both"/>
              <w:rPr>
                <w:sz w:val="22"/>
                <w:szCs w:val="22"/>
              </w:rPr>
            </w:pPr>
            <w:r>
              <w:rPr>
                <w:rFonts w:eastAsia="Microsoft YaHei"/>
                <w:sz w:val="22"/>
                <w:szCs w:val="22"/>
                <w:lang w:eastAsia="ru-RU"/>
              </w:rPr>
              <w:t>Решение исполнительного комитета Калужского областного Совета народных депутатов от 26.04.1990 № 164 «Об объявлении пригородных лесов гг. Калуги и г. Мещовска памятниками природы регионального значения» (в ред. постановления Правительства Калужской области от 16.04.2012</w:t>
              <w:br/>
              <w:t>№ 185); постановление Правительства Калужской области от 07.11.2019 № 701 «Об особо охраняемой природной территории регионального значения - памятнике природы «Лесное урочище «Рождественский лес» (в ред. постановления Правительства Калужской области от 04.06.2020 № 440)</w:t>
            </w:r>
          </w:p>
        </w:tc>
      </w:tr>
      <w:tr>
        <w:trPr>
          <w:trHeight w:val="1173"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8</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«Калужско-Алексинский каньон»</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3 719,2559</w:t>
            </w:r>
          </w:p>
          <w:p>
            <w:pPr>
              <w:pStyle w:val="1112"/>
              <w:widowControl w:val="false"/>
              <w:rPr/>
            </w:pPr>
            <w:r>
              <w:rPr>
                <w:color w:themeColor="text1" w:val="000000"/>
              </w:rPr>
              <w:t>(535 в пределах округа)</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Комплексный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Двенадцать участков</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both"/>
              <w:rPr/>
            </w:pPr>
            <w:r>
              <w:rPr>
                <w:color w:themeColor="text1" w:val="000000"/>
              </w:rPr>
              <w:t>Приказ министерства природных ресурсов и экологии Калужской области от 06.12.2021 № 1176-21 «Об объявлении Калужско-Алексинского каньона особо охраняемой природной территорией регионального значения – памятником природы»</w:t>
            </w:r>
          </w:p>
        </w:tc>
      </w:tr>
      <w:tr>
        <w:trPr>
          <w:trHeight w:val="330" w:hRule="atLeast"/>
          <w:cantSplit w:val="true"/>
        </w:trPr>
        <w:tc>
          <w:tcPr>
            <w:tcW w:w="16017"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rStyle w:val="Style14"/>
                <w:rFonts w:cs="Symbol"/>
                <w:color w:themeColor="text1" w:val="000000"/>
              </w:rPr>
              <w:t>Местного значения</w:t>
            </w:r>
          </w:p>
        </w:tc>
      </w:tr>
      <w:tr>
        <w:trPr>
          <w:trHeight w:val="2006"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9</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«Парк имени</w:t>
            </w:r>
          </w:p>
          <w:p>
            <w:pPr>
              <w:pStyle w:val="1112"/>
              <w:widowControl w:val="false"/>
              <w:rPr/>
            </w:pPr>
            <w:r>
              <w:rPr>
                <w:rFonts w:cs="Symbol"/>
                <w:color w:themeColor="text1" w:val="000000"/>
              </w:rPr>
              <w:t>К.Э.Циолковского»</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Городс-кой парк</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3,5517</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rPr/>
            </w:pPr>
            <w:r>
              <w:rPr>
                <w:color w:themeColor="text1" w:val="000000"/>
              </w:rPr>
              <w:t>Комплексный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both"/>
              <w:rPr/>
            </w:pPr>
            <w:r>
              <w:rPr>
                <w:color w:themeColor="text1" w:val="000000"/>
              </w:rPr>
              <w:t>Решение исполнительного комитета Калужского городского Совета депутатов трудящихся от 10.10.1973 № 512 «Об объявлении памятниками природы парков, скверов и отдельных уникальных деревьев» (в ред. постановления Городской Управы города Калуги от 30.12.2014 № 454-п), постановление Городской Управы города Калуги от 19.03.2018 № 2498-пи</w:t>
            </w:r>
          </w:p>
        </w:tc>
      </w:tr>
      <w:tr>
        <w:trPr>
          <w:trHeight w:val="2006"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10</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«Городской парк культуры и отдыха»</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Городс-кой парк</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4,9711</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rPr/>
            </w:pPr>
            <w:r>
              <w:rPr>
                <w:color w:themeColor="text1" w:val="000000"/>
              </w:rPr>
              <w:t>Комплексный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both"/>
              <w:rPr/>
            </w:pPr>
            <w:r>
              <w:rPr>
                <w:color w:themeColor="text1" w:val="000000"/>
              </w:rPr>
              <w:t>Решение исполнительного комитета Калужского городского Совета депутатов трудящихся от 10.10.1973 № 512 «Об объявлении памятниками природы парков, скверов и отдельных уникальных деревьев» (в ред. постановления Городской Управы города Калуги от 30.12.2014 № 454-п), постановление Городской Управы города Калуги от 19.03.2018 № 2498-пи</w:t>
            </w:r>
          </w:p>
        </w:tc>
      </w:tr>
      <w:tr>
        <w:trPr>
          <w:trHeight w:val="330"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11</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«Дуб 500-летний»</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живой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0,002834</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Ботанический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tcPr>
          <w:p>
            <w:pPr>
              <w:pStyle w:val="1116"/>
              <w:widowControl w:val="false"/>
              <w:jc w:val="both"/>
              <w:rPr/>
            </w:pPr>
            <w:r>
              <w:rPr>
                <w:color w:themeColor="text1" w:val="000000"/>
              </w:rPr>
              <w:t>Решение исполнительного комитета Калужского городского Совета депутатов трудящихся от 10.10.1973 № 512 «Об объявлении памятниками природы парков, скверов и отдельных уникальных деревьев» (в ред. постановления Городской Управы города Калуги от 30.12.2014 № 454-п), постановление Городской Управы города Калуги от 19.03.2018 № 2498-пи</w:t>
            </w:r>
          </w:p>
        </w:tc>
      </w:tr>
      <w:tr>
        <w:trPr>
          <w:trHeight w:val="330"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12</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«Липа мелколиственная»</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живой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0,000975</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Ботанический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tcPr>
          <w:p>
            <w:pPr>
              <w:pStyle w:val="1116"/>
              <w:widowControl w:val="false"/>
              <w:jc w:val="both"/>
              <w:rPr/>
            </w:pPr>
            <w:r>
              <w:rPr>
                <w:color w:themeColor="text1" w:val="000000"/>
              </w:rPr>
              <w:t>Решение исполнительного комитета Калужского городского Совета депутатов трудящихся от 10.10.1973 № 512 «Об объявлении памятниками природы парков, скверов и отдельных уникальных деревьев» (в ред. постановления Городской Управы города Калуги от 30.12.2014 № 454-п), постановление Городской Управы города Калуги от 19.03.2018 № 2498-пи</w:t>
            </w:r>
          </w:p>
        </w:tc>
      </w:tr>
      <w:tr>
        <w:trPr>
          <w:trHeight w:val="330"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13</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«Сосна Веймутова»</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живой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0,000449</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Ботанический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tcPr>
          <w:p>
            <w:pPr>
              <w:pStyle w:val="1116"/>
              <w:widowControl w:val="false"/>
              <w:jc w:val="both"/>
              <w:rPr/>
            </w:pPr>
            <w:r>
              <w:rPr>
                <w:color w:themeColor="text1" w:val="000000"/>
              </w:rPr>
              <w:t>Решение исполнительного комитета Калужского городского Совета депутатов трудящихся от 10.10.1973 № 512 «Об объявлении памятниками природы парков, скверов и отдельных уникальных деревьев» (в ред. постановления Городской Управы города Калуги от 30.12.2014 № 454-п)</w:t>
            </w:r>
          </w:p>
        </w:tc>
      </w:tr>
      <w:tr>
        <w:trPr>
          <w:trHeight w:val="330" w:hRule="atLeast"/>
          <w:cantSplit w:val="true"/>
        </w:trPr>
        <w:tc>
          <w:tcPr>
            <w:tcW w:w="56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14</w:t>
            </w:r>
          </w:p>
        </w:tc>
        <w:tc>
          <w:tcPr>
            <w:tcW w:w="2081"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«Сосна Веймутова»</w:t>
            </w:r>
          </w:p>
        </w:tc>
        <w:tc>
          <w:tcPr>
            <w:tcW w:w="120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Памятник живой природы</w:t>
            </w:r>
          </w:p>
        </w:tc>
        <w:tc>
          <w:tcPr>
            <w:tcW w:w="1843"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0,008503</w:t>
            </w:r>
          </w:p>
        </w:tc>
        <w:tc>
          <w:tcPr>
            <w:tcW w:w="12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rFonts w:cs="Symbol"/>
                <w:color w:themeColor="text1" w:val="000000"/>
              </w:rPr>
              <w:t>-</w:t>
            </w:r>
          </w:p>
        </w:tc>
        <w:tc>
          <w:tcPr>
            <w:tcW w:w="15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Ботанический</w:t>
            </w:r>
          </w:p>
        </w:tc>
        <w:tc>
          <w:tcPr>
            <w:tcW w:w="15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6"/>
              <w:widowControl w:val="false"/>
              <w:jc w:val="center"/>
              <w:rPr/>
            </w:pPr>
            <w:r>
              <w:rPr>
                <w:color w:themeColor="text1" w:val="000000"/>
              </w:rPr>
              <w:t>Один участок</w:t>
            </w:r>
          </w:p>
        </w:tc>
        <w:tc>
          <w:tcPr>
            <w:tcW w:w="5958" w:type="dxa"/>
            <w:tcBorders>
              <w:top w:val="single" w:sz="4" w:space="0" w:color="000000"/>
              <w:left w:val="single" w:sz="4" w:space="0" w:color="000000"/>
              <w:bottom w:val="single" w:sz="4" w:space="0" w:color="000000"/>
              <w:right w:val="single" w:sz="4" w:space="0" w:color="000000"/>
            </w:tcBorders>
            <w:shd w:color="auto" w:fill="auto" w:val="clear"/>
          </w:tcPr>
          <w:p>
            <w:pPr>
              <w:pStyle w:val="1116"/>
              <w:widowControl w:val="false"/>
              <w:jc w:val="both"/>
              <w:rPr/>
            </w:pPr>
            <w:r>
              <w:rPr>
                <w:color w:themeColor="text1" w:val="000000"/>
              </w:rPr>
              <w:t>Решение исполнительного комитета Калужского городского Совета депутатов трудящихся от 10.10.1973 № 512 «Об объявлении памятниками природы парков, скверов и отдельных уникальных деревьев» (в ред. постановления Городской Управы города Калуги от 30.12.2014 № 454-п)</w:t>
            </w:r>
          </w:p>
        </w:tc>
      </w:tr>
    </w:tbl>
    <w:p>
      <w:pPr>
        <w:pStyle w:val="Normal"/>
        <w:ind w:firstLine="567" w:right="-598"/>
        <w:jc w:val="both"/>
        <w:rPr>
          <w:color w:themeColor="text1" w:val="000000"/>
        </w:rPr>
      </w:pPr>
      <w:r>
        <w:rPr>
          <w:color w:themeColor="text1" w:val="000000"/>
        </w:rPr>
        <w:t>Также в границы городского округа частично входит охранная зона ООПТ регионального значения – памятника природы «Сосновые леса на дюнах».</w:t>
      </w:r>
    </w:p>
    <w:p>
      <w:pPr>
        <w:pStyle w:val="Normal"/>
        <w:ind w:firstLine="567" w:right="-598"/>
        <w:jc w:val="both"/>
        <w:rPr>
          <w:color w:themeColor="text1" w:val="000000"/>
        </w:rPr>
      </w:pPr>
      <w:r>
        <w:rPr>
          <w:color w:themeColor="text1" w:val="000000"/>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pPr>
        <w:sectPr>
          <w:headerReference w:type="default" r:id="rId21"/>
          <w:headerReference w:type="first" r:id="rId22"/>
          <w:footerReference w:type="default" r:id="rId23"/>
          <w:footerReference w:type="first" r:id="rId24"/>
          <w:footnotePr>
            <w:numFmt w:val="decimal"/>
          </w:footnotePr>
          <w:type w:val="nextPage"/>
          <w:pgSz w:orient="landscape" w:w="16838" w:h="11906"/>
          <w:pgMar w:left="1418" w:right="1134" w:gutter="0" w:header="1134" w:top="1695" w:footer="0" w:bottom="618"/>
          <w:pgNumType w:fmt="decimal"/>
          <w:formProt w:val="false"/>
          <w:titlePg/>
          <w:textDirection w:val="lrTb"/>
          <w:docGrid w:type="default" w:linePitch="360" w:charSpace="0"/>
        </w:sectPr>
        <w:pStyle w:val="Normal"/>
        <w:ind w:firstLine="567" w:right="-598"/>
        <w:jc w:val="both"/>
        <w:rPr>
          <w:color w:themeColor="text1" w:val="000000"/>
        </w:rPr>
      </w:pPr>
      <w:r>
        <w:rPr>
          <w:color w:themeColor="text1" w:val="000000"/>
        </w:rPr>
        <w:t>В перспективе необходимо предусмотреть формирование земельных участков в границах особо охраняемых природных территорий и отнесение их к землям особо охраняемых территорий и объектов в установленном законодательном порядке.</w:t>
      </w:r>
    </w:p>
    <w:p>
      <w:pPr>
        <w:pStyle w:val="Heading2"/>
        <w:numPr>
          <w:ilvl w:val="1"/>
          <w:numId w:val="2"/>
        </w:numPr>
        <w:spacing w:before="0" w:after="0"/>
        <w:ind w:hanging="0" w:left="0"/>
        <w:rPr>
          <w:rFonts w:cs="Symbol"/>
          <w:color w:themeColor="text1" w:val="000000"/>
        </w:rPr>
      </w:pPr>
      <w:bookmarkStart w:id="13" w:name="_Toc217312439"/>
      <w:r>
        <w:rPr>
          <w:rFonts w:cs="Symbol"/>
          <w:color w:themeColor="text1" w:val="000000"/>
        </w:rPr>
        <w:t>3. Современное использование территории. Земельный фонд</w:t>
      </w:r>
      <w:bookmarkEnd w:id="13"/>
    </w:p>
    <w:p>
      <w:pPr>
        <w:pStyle w:val="Heading3"/>
        <w:numPr>
          <w:ilvl w:val="2"/>
          <w:numId w:val="2"/>
        </w:numPr>
        <w:spacing w:before="100" w:after="100"/>
        <w:ind w:hanging="0" w:left="0"/>
        <w:rPr>
          <w:rFonts w:eastAsia="Symbol" w:cs="Symbol"/>
          <w:color w:themeColor="text1" w:val="000000"/>
        </w:rPr>
      </w:pPr>
      <w:bookmarkStart w:id="14" w:name="_Toc217312440"/>
      <w:r>
        <w:rPr>
          <w:rFonts w:eastAsia="Symbol" w:cs="Symbol"/>
          <w:color w:themeColor="text1" w:val="000000"/>
        </w:rPr>
        <w:t>3.1. Современное использование территории</w:t>
      </w:r>
      <w:bookmarkEnd w:id="14"/>
    </w:p>
    <w:p>
      <w:pPr>
        <w:pStyle w:val="Style70"/>
        <w:spacing w:before="0" w:after="0"/>
        <w:ind w:firstLine="709"/>
        <w:rPr>
          <w:rFonts w:cs="Symbol"/>
          <w:color w:themeColor="text1" w:val="000000"/>
          <w:lang w:eastAsia="en-US"/>
        </w:rPr>
      </w:pPr>
      <w:r>
        <w:rPr>
          <w:rFonts w:cs="Symbol"/>
          <w:color w:themeColor="text1" w:val="000000"/>
          <w:lang w:eastAsia="en-US"/>
        </w:rPr>
        <w:t xml:space="preserve">Формирование современной планировочной структуры и характер использования территории городского округа обусловлены экономико-географическим положением, историко-культурными особенностями, природно-климатическими условиями. </w:t>
      </w:r>
    </w:p>
    <w:p>
      <w:pPr>
        <w:pStyle w:val="Style70"/>
        <w:spacing w:before="0" w:after="0"/>
        <w:ind w:firstLine="709"/>
        <w:rPr/>
      </w:pPr>
      <w:r>
        <w:rPr>
          <w:rFonts w:cs="Symbol"/>
          <w:color w:themeColor="text1" w:val="000000"/>
          <w:lang w:eastAsia="en-US"/>
        </w:rPr>
        <w:t xml:space="preserve">Город Калуга – административный центр Калужской области со дня ее образования в 1944 году; административный центр </w:t>
      </w:r>
      <w:hyperlink r:id="rId25">
        <w:r>
          <w:rPr>
            <w:color w:themeColor="text1" w:val="000000"/>
          </w:rPr>
          <w:t>Калужской губернии</w:t>
        </w:r>
      </w:hyperlink>
      <w:r>
        <w:rPr>
          <w:rFonts w:cs="Symbol"/>
          <w:color w:themeColor="text1" w:val="000000"/>
          <w:lang w:eastAsia="en-US"/>
        </w:rPr>
        <w:t> до 1929 года. Городской округ включает собственно город Калугу и 72 сельских населенных пункта. Территория городского округа в настоящее время расположена на обоих берегах реки </w:t>
      </w:r>
      <w:hyperlink r:id="rId26">
        <w:r>
          <w:rPr>
            <w:color w:themeColor="text1" w:val="000000"/>
          </w:rPr>
          <w:t>Оки</w:t>
        </w:r>
      </w:hyperlink>
      <w:r>
        <w:rPr>
          <w:rFonts w:cs="Symbol"/>
          <w:color w:themeColor="text1" w:val="000000"/>
          <w:lang w:eastAsia="en-US"/>
        </w:rPr>
        <w:t>, которая во все исторические периоды была и осталась главной природной планировочной осью Калуги и до середины XIX в. выполняла роль важной водной торговой артерии.</w:t>
      </w:r>
    </w:p>
    <w:p>
      <w:pPr>
        <w:pStyle w:val="Style70"/>
        <w:spacing w:before="0" w:after="0"/>
        <w:ind w:firstLine="709"/>
        <w:rPr>
          <w:rFonts w:cs="Symbol"/>
          <w:color w:themeColor="text1" w:val="000000"/>
          <w:lang w:eastAsia="en-US"/>
        </w:rPr>
      </w:pPr>
      <w:r>
        <w:rPr>
          <w:rFonts w:cs="Symbol"/>
          <w:color w:themeColor="text1" w:val="000000"/>
          <w:lang w:eastAsia="en-US"/>
        </w:rPr>
        <w:t>В настоящее время город Калуга - главный научно-производственный, культурный и образовательный центр Калужской области, один из главных центров современного производства и инновационного развития Центрального федерального округа.</w:t>
      </w:r>
    </w:p>
    <w:p>
      <w:pPr>
        <w:pStyle w:val="Style70"/>
        <w:spacing w:before="0" w:after="0"/>
        <w:ind w:firstLine="709"/>
        <w:rPr>
          <w:rFonts w:cs="Symbol"/>
          <w:color w:themeColor="text1" w:val="000000"/>
        </w:rPr>
      </w:pPr>
      <w:r>
        <w:rPr>
          <w:rFonts w:cs="Symbol"/>
          <w:color w:themeColor="text1" w:val="000000"/>
          <w:lang w:eastAsia="en-US"/>
        </w:rPr>
        <w:t xml:space="preserve">Городской округ </w:t>
      </w:r>
      <w:r>
        <w:rPr>
          <w:rFonts w:cs="Symbol"/>
          <w:color w:themeColor="text1" w:val="000000"/>
        </w:rPr>
        <w:t>граничит со следующими муниципальными образованиями: на севере с Малоярославецким муниципальным округом, на северо-западе с Дзержинским муниципальным округом, на юго-западе с Перемышльским муниципальным округом, на востоке с Ферзиковским муниципальным округом.</w:t>
      </w:r>
    </w:p>
    <w:p>
      <w:pPr>
        <w:pStyle w:val="Style70"/>
        <w:spacing w:before="0" w:after="0"/>
        <w:ind w:firstLine="709"/>
        <w:rPr>
          <w:rFonts w:cs="Symbol"/>
          <w:color w:themeColor="text1" w:val="000000"/>
        </w:rPr>
      </w:pPr>
      <w:r>
        <w:rPr>
          <w:rFonts w:cs="Symbol"/>
          <w:color w:themeColor="text1" w:val="000000"/>
        </w:rPr>
        <w:t>В целом территория городского округа вытянута в меридиональном направлении и неоднородна по сложившемуся функциональному использованию. Территория четко делится на правобережную и левобережную части. Правобережная часть, в свою очередь, делится на урбанизированную территорию (город Калуга) и субурбанизированную (пригородную) территорию с сельскими населенными пунктами, сельскохозяйственными угодьями, массивами садоводств и лесов.</w:t>
      </w:r>
    </w:p>
    <w:p>
      <w:pPr>
        <w:pStyle w:val="Style70"/>
        <w:spacing w:before="0" w:after="0"/>
        <w:ind w:firstLine="709"/>
        <w:rPr>
          <w:rFonts w:cs="Symbol"/>
          <w:color w:themeColor="text1" w:val="000000"/>
          <w:lang w:eastAsia="en-US"/>
        </w:rPr>
      </w:pPr>
      <w:r>
        <w:rPr>
          <w:rFonts w:cs="Symbol"/>
          <w:color w:themeColor="text1" w:val="000000"/>
        </w:rPr>
        <w:t xml:space="preserve">Территория городского округа характеризуется развитым транспортным комплексом, который представлен системами железнодорожного, автомобильного, авиационного и водного видов транспорта. </w:t>
      </w:r>
    </w:p>
    <w:p>
      <w:pPr>
        <w:pStyle w:val="Style70"/>
        <w:spacing w:before="0" w:after="0"/>
        <w:ind w:firstLine="709"/>
        <w:rPr/>
      </w:pPr>
      <w:r>
        <w:rPr>
          <w:rFonts w:cs="Symbol"/>
          <w:color w:themeColor="text1" w:val="000000"/>
          <w:lang w:eastAsia="en-US"/>
        </w:rPr>
        <w:t xml:space="preserve">В целом </w:t>
      </w:r>
      <w:r>
        <w:rPr>
          <w:rFonts w:cs="Symbol"/>
          <w:color w:themeColor="text1" w:val="000000"/>
        </w:rPr>
        <w:t>территория городского округа имеет высокий транспортный потенциал, так как расположена на трассе Панъевропейского международного транспортного коридора № 9 (PE9). По территории городского округа проходят две основные железнодорожные магистрали: Москва – Калуга II – Брянск и Вязьма – Калуга I – Тула. В северо-западной стороне территории округа проходит автодорога М-3 «Украина» Москва – Калуга – Брянск – граница с Украиной, на востоке город огибает Р-132 «Золотое кольцо» Ярославль - Кострома - Иваново - Владимир - Гусь-Хрустальный - Рязань - Михайлов - Тула - Калуга - Вязьма - Ржев - Тверь - Углич - Ярославль. К южной части города (Правобережная часть) подходят две федеральные автодороги: с южного направления – Р-92 Калуга – Перемышль – Белев – Орел; с юго-восточного – Р-132 «Золотое кольцо».</w:t>
      </w:r>
    </w:p>
    <w:p>
      <w:pPr>
        <w:pStyle w:val="Style70"/>
        <w:spacing w:before="0" w:after="0"/>
        <w:ind w:firstLine="709"/>
        <w:rPr>
          <w:rFonts w:cs="Symbol"/>
          <w:color w:themeColor="text1" w:val="000000"/>
        </w:rPr>
      </w:pPr>
      <w:r>
        <w:rPr>
          <w:rFonts w:cs="Symbol"/>
          <w:color w:themeColor="text1" w:val="000000"/>
        </w:rPr>
        <w:t xml:space="preserve">В Калужской области и его административном центре городе Калуге активно и успешно развиваются современные производственные и инновационные виды деятельности. </w:t>
      </w:r>
    </w:p>
    <w:p>
      <w:pPr>
        <w:pStyle w:val="Style70"/>
        <w:spacing w:before="0" w:after="0"/>
        <w:ind w:firstLine="709"/>
        <w:rPr>
          <w:rFonts w:cs="Symbol"/>
          <w:color w:themeColor="text1" w:val="000000"/>
          <w:lang w:eastAsia="en-US"/>
        </w:rPr>
      </w:pPr>
      <w:r>
        <w:rPr>
          <w:rFonts w:cs="Symbol"/>
          <w:color w:themeColor="text1" w:val="000000"/>
        </w:rPr>
        <w:t xml:space="preserve">На территории городского округа организованы и функционируют три индустриальных парка: </w:t>
      </w:r>
      <w:r>
        <w:rPr>
          <w:rFonts w:cs="Symbol"/>
          <w:color w:themeColor="text1" w:val="000000"/>
          <w:lang w:eastAsia="en-US"/>
        </w:rPr>
        <w:t xml:space="preserve">«Грабцево», «Калуга-Юг», </w:t>
      </w:r>
      <w:r>
        <w:rPr>
          <w:rFonts w:cs="Symbol"/>
          <w:color w:themeColor="text1" w:val="000000"/>
        </w:rPr>
        <w:t>«Росва».</w:t>
      </w:r>
    </w:p>
    <w:p>
      <w:pPr>
        <w:pStyle w:val="Style70"/>
        <w:spacing w:before="0" w:after="0"/>
        <w:ind w:firstLine="709"/>
        <w:rPr>
          <w:rFonts w:cs="Symbol"/>
          <w:color w:themeColor="text1" w:val="000000"/>
        </w:rPr>
      </w:pPr>
      <w:r>
        <w:rPr>
          <w:rFonts w:cs="Symbol"/>
          <w:color w:themeColor="text1" w:val="000000"/>
          <w:lang w:eastAsia="en-US"/>
        </w:rPr>
        <w:t>Территория города Калуги представляет собой наиболее освоенную, урбанизированную часть территории городского округа с развитой инфраструктурой - местами приложения труда, транспортными связями, полноценной системой обслуживания, инженерными системами.</w:t>
      </w:r>
    </w:p>
    <w:p>
      <w:pPr>
        <w:pStyle w:val="Style70"/>
        <w:spacing w:before="0" w:after="0"/>
        <w:ind w:firstLine="709"/>
        <w:rPr>
          <w:rFonts w:cs="Symbol"/>
          <w:color w:themeColor="text1" w:val="000000"/>
        </w:rPr>
      </w:pPr>
      <w:r>
        <w:rPr>
          <w:rFonts w:cs="Symbol"/>
          <w:color w:themeColor="text1" w:val="000000"/>
        </w:rPr>
        <w:t>Большая историческая часть города Калуги сформировалась на левом берегу р. Оки. Здесь, на плато между двумя притоками р. Оки, долинами рек Яченки и Киевки, находится основная часть городской застройки. В самой южной части левого берега расположен общегородской исторический центр Калуги, концентрирующий крупные общественные здания, исторические парки и скверы, объекты культурного наследия. Ценным историческим элементом города является сохранившаяся историческая планировка центра, сформированная на основе «регулярного» плана, утвержденного 13 июня 1778 года. В историческом плане города Калуги Екатерининского периода удачно сочетались приемы веерной, лучевой и прямоугольной организации планировочной структуры.</w:t>
      </w:r>
    </w:p>
    <w:p>
      <w:pPr>
        <w:pStyle w:val="Style70"/>
        <w:spacing w:before="0" w:after="0"/>
        <w:ind w:firstLine="709"/>
        <w:rPr>
          <w:color w:themeColor="text1" w:val="000000"/>
        </w:rPr>
      </w:pPr>
      <w:r>
        <w:rPr>
          <w:rFonts w:cs="Symbol"/>
          <w:color w:themeColor="text1" w:val="000000"/>
        </w:rPr>
        <w:t>В историческом центре знаковыми элементами планировочной структуры являются площади (пл. Старый торг, пл. Мира, пл. Победы), исторические зеленые насаждения (Центральный парк культуры и отдыха, парк имени Циолковского со знаменитым Музеем истории космонавтики, сквер имени Волкова и др.), исторические высотные доминанты (храмы), формирующие панораму города с правого берега.</w:t>
      </w:r>
    </w:p>
    <w:p>
      <w:pPr>
        <w:pStyle w:val="Style70"/>
        <w:spacing w:before="0" w:after="0"/>
        <w:ind w:firstLine="709"/>
        <w:rPr>
          <w:rFonts w:cs="Symbol"/>
          <w:color w:themeColor="text1" w:val="000000"/>
        </w:rPr>
      </w:pPr>
      <w:r>
        <w:rPr>
          <w:color w:themeColor="text1" w:val="000000"/>
        </w:rPr>
        <w:t xml:space="preserve"> </w:t>
      </w:r>
      <w:r>
        <w:rPr>
          <w:rFonts w:cs="Symbol"/>
          <w:color w:themeColor="text1" w:val="000000"/>
        </w:rPr>
        <w:t>С запада от городского центра расположено Яченское водохранилище и Калужский сосновый бор, являющийся особо охраняемой природной территорией и главной городской рекреационной зоной.</w:t>
      </w:r>
    </w:p>
    <w:p>
      <w:pPr>
        <w:pStyle w:val="Style70"/>
        <w:spacing w:before="0" w:after="0"/>
        <w:ind w:firstLine="709"/>
        <w:rPr>
          <w:rFonts w:cs="Symbol"/>
          <w:color w:themeColor="text1" w:val="000000"/>
        </w:rPr>
      </w:pPr>
      <w:r>
        <w:rPr>
          <w:rFonts w:cs="Symbol"/>
          <w:color w:themeColor="text1" w:val="000000"/>
        </w:rPr>
        <w:t>В северо-восточной части г. Калуги расположен международный аэропорт «Грабцево». В городе функционируют два железнодорожных вокзала Калуга-</w:t>
      </w:r>
      <w:r>
        <w:rPr>
          <w:rFonts w:cs="Symbol"/>
          <w:color w:themeColor="text1" w:val="000000"/>
          <w:lang w:val="en-US"/>
        </w:rPr>
        <w:t>I</w:t>
      </w:r>
      <w:r>
        <w:rPr>
          <w:rFonts w:cs="Symbol"/>
          <w:color w:themeColor="text1" w:val="000000"/>
          <w:lang w:val="az-Latn-AZ"/>
        </w:rPr>
        <w:t xml:space="preserve"> </w:t>
      </w:r>
      <w:r>
        <w:rPr>
          <w:rFonts w:cs="Symbol"/>
          <w:color w:themeColor="text1" w:val="000000"/>
        </w:rPr>
        <w:t>и Калуга-</w:t>
      </w:r>
      <w:r>
        <w:rPr>
          <w:rFonts w:cs="Symbol"/>
          <w:color w:themeColor="text1" w:val="000000"/>
          <w:lang w:val="en-US"/>
        </w:rPr>
        <w:t>II</w:t>
      </w:r>
      <w:r>
        <w:rPr>
          <w:rFonts w:cs="Symbol"/>
          <w:color w:themeColor="text1" w:val="000000"/>
        </w:rPr>
        <w:t>.</w:t>
      </w:r>
    </w:p>
    <w:p>
      <w:pPr>
        <w:pStyle w:val="Style70"/>
        <w:spacing w:before="0" w:after="0"/>
        <w:ind w:firstLine="709"/>
        <w:rPr>
          <w:rFonts w:cs="Symbol"/>
          <w:color w:themeColor="text1" w:val="000000"/>
        </w:rPr>
      </w:pPr>
      <w:r>
        <w:rPr>
          <w:rFonts w:cs="Symbol"/>
          <w:color w:themeColor="text1" w:val="000000"/>
        </w:rPr>
        <w:t xml:space="preserve">На левом берегу сформированы основные жилые районы г. Калуги, построенные в различные исторические периоды. В плане города хорошо просматривается принцип размещения жилых районов при производственных зонах, что к настоящему времени вызвало чересполосное размещение территорий различного функционального использования (жилых, производственных, садоводств, специального назначения и территорий прочего функционального использования). </w:t>
      </w:r>
    </w:p>
    <w:p>
      <w:pPr>
        <w:pStyle w:val="Style70"/>
        <w:spacing w:before="0" w:after="0"/>
        <w:ind w:firstLine="709"/>
        <w:rPr>
          <w:rFonts w:cs="Symbol"/>
          <w:color w:themeColor="text1" w:val="000000"/>
        </w:rPr>
      </w:pPr>
      <w:r>
        <w:rPr>
          <w:rFonts w:cs="Symbol"/>
          <w:color w:themeColor="text1" w:val="000000"/>
        </w:rPr>
        <w:t xml:space="preserve">По мере увеличения численности населения, формирования производственных зон город развивался, преимущественно, в северном (Московском) направлении на высоком плато, ограниченном двумя левобережными притоками р. Оки. Вдоль линии железной дороги, делающей петлю на территории города, размещаются промышленно-коммунальные объекты и формируются крупные производственные зоны, где в советский период ведущая роль принадлежала предприятиям оборонного комплекса. </w:t>
      </w:r>
    </w:p>
    <w:p>
      <w:pPr>
        <w:pStyle w:val="Style70"/>
        <w:spacing w:before="0" w:after="0"/>
        <w:ind w:firstLine="709"/>
        <w:rPr>
          <w:rFonts w:cs="Symbol"/>
          <w:b/>
          <w:color w:themeColor="text1" w:val="000000"/>
        </w:rPr>
      </w:pPr>
      <w:r>
        <w:rPr>
          <w:rFonts w:cs="Symbol"/>
          <w:color w:themeColor="text1" w:val="000000"/>
        </w:rPr>
        <w:t xml:space="preserve">В настоящее время основные площадки нового комплексного жилищного строительства сосредоточены на Правобережной части города. Интенсивно осваиваются территории вдоль улиц Фомушина, 65 лет Победы, Минской. Здесь формируются микрорайоны многоэтажной и малоэтажной многоквартирных жилых застроек. </w:t>
      </w:r>
    </w:p>
    <w:p>
      <w:pPr>
        <w:pStyle w:val="Style70"/>
        <w:spacing w:before="60" w:after="60"/>
        <w:ind w:firstLine="709"/>
        <w:rPr>
          <w:rFonts w:eastAsia="Symbol" w:cs="Symbol"/>
          <w:b/>
          <w:color w:themeColor="text1" w:val="000000"/>
        </w:rPr>
      </w:pPr>
      <w:r>
        <w:rPr>
          <w:rFonts w:eastAsia="Symbol" w:cs="Symbol"/>
          <w:b/>
          <w:color w:themeColor="text1" w:val="000000"/>
        </w:rPr>
        <w:t>Населенные пункты в составе городского округа</w:t>
      </w:r>
    </w:p>
    <w:p>
      <w:pPr>
        <w:pStyle w:val="Style70"/>
        <w:spacing w:before="0" w:after="0"/>
        <w:ind w:firstLine="709"/>
        <w:rPr>
          <w:rFonts w:cs="Symbol"/>
          <w:color w:themeColor="text1" w:val="000000"/>
        </w:rPr>
      </w:pPr>
      <w:r>
        <w:rPr>
          <w:rFonts w:cs="Symbol"/>
          <w:color w:themeColor="text1" w:val="000000"/>
        </w:rPr>
        <w:t>Населенные пункты, входящие в состав городского округа, на основе сложившихся планировочных особенностей территории, можно объединить в следующие группы:</w:t>
      </w:r>
    </w:p>
    <w:p>
      <w:pPr>
        <w:pStyle w:val="Style70"/>
        <w:spacing w:before="0" w:after="0"/>
        <w:ind w:firstLine="709"/>
        <w:rPr>
          <w:rFonts w:cs="Symbol"/>
          <w:color w:themeColor="text1" w:val="000000"/>
        </w:rPr>
      </w:pPr>
      <w:r>
        <w:rPr>
          <w:rFonts w:cs="Symbol"/>
          <w:b/>
          <w:color w:themeColor="text1" w:val="000000"/>
        </w:rPr>
        <w:t>- Мстихинская</w:t>
      </w:r>
      <w:r>
        <w:rPr>
          <w:rFonts w:cs="Symbol"/>
          <w:i/>
          <w:color w:themeColor="text1" w:val="000000"/>
        </w:rPr>
        <w:t xml:space="preserve"> </w:t>
      </w:r>
      <w:r>
        <w:rPr>
          <w:rFonts w:cs="Symbol"/>
          <w:color w:themeColor="text1" w:val="000000"/>
        </w:rPr>
        <w:t>с населенными пунктами д. Мстихино, с. Сосновый Бор, д. Плетеневка;</w:t>
      </w:r>
    </w:p>
    <w:p>
      <w:pPr>
        <w:pStyle w:val="ListParagraph"/>
        <w:widowControl w:val="false"/>
        <w:spacing w:before="0" w:after="0"/>
        <w:ind w:hanging="0" w:left="0"/>
        <w:contextualSpacing/>
        <w:jc w:val="both"/>
        <w:rPr>
          <w:rFonts w:cs="Symbol"/>
          <w:i/>
          <w:i/>
          <w:color w:themeColor="text1" w:val="000000"/>
        </w:rPr>
      </w:pPr>
      <w:r>
        <w:rPr>
          <w:rFonts w:cs="Symbol"/>
          <w:b/>
          <w:color w:themeColor="text1" w:val="000000"/>
        </w:rPr>
        <w:tab/>
        <w:t xml:space="preserve">   - Ромодановская </w:t>
      </w:r>
      <w:r>
        <w:rPr>
          <w:rFonts w:cs="Symbol"/>
          <w:color w:themeColor="text1" w:val="000000"/>
        </w:rPr>
        <w:t>с населенными пунктами с. Приокское лесничество, д. Андреевское, д. Верхняя Вырка, д. Георгиевское, с. Горенское, д. Животинки, д. Колюпаново, д. Нижняя Вырка, д. Сивково, с. Подстанция Колюпановская</w:t>
      </w:r>
      <w:r>
        <w:rPr>
          <w:rFonts w:cs="Symbol"/>
          <w:color w:themeColor="text1" w:val="000000"/>
          <w:lang w:val="ru-RU"/>
        </w:rPr>
        <w:t xml:space="preserve">, д. </w:t>
      </w:r>
      <w:r>
        <w:rPr>
          <w:color w:themeColor="text1" w:val="000000"/>
        </w:rPr>
        <w:t>Калашников Хутор</w:t>
      </w:r>
      <w:r>
        <w:rPr>
          <w:color w:themeColor="text1" w:val="000000"/>
          <w:lang w:val="ru-RU"/>
        </w:rPr>
        <w:t xml:space="preserve">, </w:t>
      </w:r>
      <w:r>
        <w:rPr>
          <w:color w:themeColor="text1" w:val="000000"/>
        </w:rPr>
        <w:t>д. Переселенец</w:t>
      </w:r>
      <w:r>
        <w:rPr>
          <w:color w:themeColor="text1" w:val="000000"/>
          <w:lang w:val="ru-RU"/>
        </w:rPr>
        <w:t>,</w:t>
        <w:br/>
        <w:t>с. Некрасово, д. Пучково, д. Тинино</w:t>
      </w:r>
      <w:r>
        <w:rPr>
          <w:rFonts w:cs="Symbol"/>
          <w:color w:themeColor="text1" w:val="000000"/>
        </w:rPr>
        <w:t>;</w:t>
      </w:r>
    </w:p>
    <w:p>
      <w:pPr>
        <w:pStyle w:val="ListParagraph"/>
        <w:widowControl w:val="false"/>
        <w:spacing w:before="0" w:after="0"/>
        <w:ind w:hanging="0" w:left="0"/>
        <w:contextualSpacing/>
        <w:jc w:val="both"/>
        <w:rPr>
          <w:rFonts w:cs="Symbol"/>
          <w:i/>
          <w:i/>
          <w:color w:themeColor="text1" w:val="000000"/>
        </w:rPr>
      </w:pPr>
      <w:r>
        <w:rPr>
          <w:rFonts w:cs="Symbol"/>
          <w:b/>
          <w:color w:themeColor="text1" w:val="000000"/>
        </w:rPr>
        <w:tab/>
        <w:t xml:space="preserve">  - Шопинская</w:t>
      </w:r>
      <w:r>
        <w:rPr>
          <w:rFonts w:cs="Symbol"/>
          <w:color w:themeColor="text1" w:val="000000"/>
        </w:rPr>
        <w:t xml:space="preserve"> с населенными пунктами д. Шопино, д. Воровая, д. Желыбино, д. Рождественно, с. Шахты, д. Чижовка;</w:t>
      </w:r>
    </w:p>
    <w:p>
      <w:pPr>
        <w:pStyle w:val="ListParagraph"/>
        <w:widowControl w:val="false"/>
        <w:spacing w:before="0" w:after="0"/>
        <w:ind w:hanging="0" w:left="0"/>
        <w:contextualSpacing/>
        <w:jc w:val="both"/>
        <w:rPr>
          <w:rFonts w:cs="Symbol"/>
          <w:i/>
          <w:i/>
          <w:color w:themeColor="text1" w:val="000000"/>
        </w:rPr>
      </w:pPr>
      <w:r>
        <w:rPr>
          <w:rFonts w:cs="Symbol"/>
          <w:b/>
          <w:color w:themeColor="text1" w:val="000000"/>
        </w:rPr>
        <w:t xml:space="preserve">       </w:t>
      </w:r>
      <w:r>
        <w:rPr>
          <w:rFonts w:cs="Symbol"/>
          <w:b/>
          <w:color w:themeColor="text1" w:val="000000"/>
        </w:rPr>
        <w:t xml:space="preserve">- </w:t>
      </w:r>
      <w:r>
        <w:rPr>
          <w:rFonts w:cs="Symbol"/>
          <w:b/>
          <w:color w:themeColor="text1" w:val="000000"/>
          <w:lang w:val="ru-RU"/>
        </w:rPr>
        <w:t>Спасская</w:t>
      </w:r>
      <w:r>
        <w:rPr>
          <w:rFonts w:cs="Symbol"/>
          <w:color w:themeColor="text1" w:val="000000"/>
        </w:rPr>
        <w:t xml:space="preserve"> с населенными пунктами д. Городок, с. Козлово, д. Николо-Лапиносово, д. Орешково, д. Сокорево, с. Спас, д. Угра, д. Яглово, с. Росва;</w:t>
      </w:r>
    </w:p>
    <w:p>
      <w:pPr>
        <w:pStyle w:val="ListParagraph"/>
        <w:widowControl w:val="false"/>
        <w:spacing w:before="0" w:after="0"/>
        <w:ind w:hanging="0" w:left="0"/>
        <w:contextualSpacing/>
        <w:jc w:val="both"/>
        <w:rPr>
          <w:i/>
          <w:i/>
          <w:color w:themeColor="text1" w:val="000000"/>
        </w:rPr>
      </w:pPr>
      <w:r>
        <w:rPr>
          <w:rFonts w:cs="Symbol"/>
          <w:b/>
          <w:color w:themeColor="text1" w:val="000000"/>
        </w:rPr>
        <w:tab/>
        <w:tab/>
        <w:t>- Черносвитинская</w:t>
      </w:r>
      <w:r>
        <w:rPr>
          <w:rFonts w:cs="Symbol"/>
          <w:color w:themeColor="text1" w:val="000000"/>
        </w:rPr>
        <w:t xml:space="preserve"> с населенными пунктами д. Бабенки, д. Белая, д. Горенское, д. Карачево, д. Крутицы, с. Муратовского щебзавода, п. Новый, с. Пригородного лесничества</w:t>
      </w:r>
      <w:r>
        <w:rPr>
          <w:rFonts w:cs="Symbol"/>
          <w:color w:themeColor="text1" w:val="000000"/>
          <w:lang w:val="ru-RU"/>
        </w:rPr>
        <w:t xml:space="preserve">, </w:t>
      </w:r>
      <w:r>
        <w:rPr>
          <w:rFonts w:cs="Symbol"/>
          <w:color w:themeColor="text1" w:val="000000"/>
        </w:rPr>
        <w:t>д. Березовка;</w:t>
      </w:r>
    </w:p>
    <w:p>
      <w:pPr>
        <w:pStyle w:val="ListParagraph"/>
        <w:widowControl w:val="false"/>
        <w:spacing w:before="0" w:after="0"/>
        <w:ind w:hanging="0" w:left="0"/>
        <w:contextualSpacing/>
        <w:jc w:val="both"/>
        <w:rPr>
          <w:rFonts w:cs="Symbol"/>
          <w:i/>
          <w:i/>
          <w:color w:themeColor="text1" w:val="000000"/>
        </w:rPr>
      </w:pPr>
      <w:r>
        <w:rPr>
          <w:rFonts w:cs="Symbol"/>
          <w:b/>
          <w:color w:themeColor="text1" w:val="000000"/>
        </w:rPr>
        <w:tab/>
        <w:t xml:space="preserve">   - Новоильинская</w:t>
      </w:r>
      <w:r>
        <w:rPr>
          <w:rFonts w:cs="Symbol"/>
          <w:color w:themeColor="text1" w:val="000000"/>
        </w:rPr>
        <w:t xml:space="preserve"> с населенными пунктами д. Ильинка, д. Аргуново, д. Матюнино, д. Жерело, д. Лихун, д. Лобаново, д. Марьино, д. Новоселки, с. Рожки;</w:t>
      </w:r>
    </w:p>
    <w:p>
      <w:pPr>
        <w:pStyle w:val="ListParagraph"/>
        <w:widowControl w:val="false"/>
        <w:spacing w:before="0" w:after="0"/>
        <w:ind w:hanging="0" w:left="0"/>
        <w:contextualSpacing/>
        <w:jc w:val="both"/>
        <w:rPr>
          <w:rFonts w:cs="Symbol"/>
          <w:i/>
          <w:i/>
          <w:color w:themeColor="text1" w:val="000000"/>
        </w:rPr>
      </w:pPr>
      <w:r>
        <w:rPr>
          <w:rFonts w:cs="Symbol"/>
          <w:b/>
          <w:color w:themeColor="text1" w:val="000000"/>
        </w:rPr>
        <w:tab/>
        <w:t xml:space="preserve">   - Ольговская </w:t>
      </w:r>
      <w:r>
        <w:rPr>
          <w:rFonts w:cs="Symbol"/>
          <w:color w:themeColor="text1" w:val="000000"/>
        </w:rPr>
        <w:t>с населенными пунктами д. Григоровка, д. Груздово, д. Доможирово, д.</w:t>
      </w:r>
      <w:r>
        <w:rPr>
          <w:rFonts w:cs="Symbol"/>
          <w:color w:themeColor="text1" w:val="000000"/>
          <w:lang w:val="ru-RU"/>
        </w:rPr>
        <w:t> </w:t>
      </w:r>
      <w:r>
        <w:rPr>
          <w:rFonts w:cs="Symbol"/>
          <w:color w:themeColor="text1" w:val="000000"/>
        </w:rPr>
        <w:t>Заречье, д. Малая Каменка, д. Макаровка, д. Косарево, д. Петрово, д. Починки,</w:t>
      </w:r>
      <w:r>
        <w:rPr>
          <w:rFonts w:cs="Symbol"/>
          <w:color w:themeColor="text1" w:val="000000"/>
          <w:lang w:val="ru-RU"/>
        </w:rPr>
        <w:t xml:space="preserve"> </w:t>
      </w:r>
      <w:r>
        <w:rPr>
          <w:rFonts w:cs="Symbol"/>
          <w:color w:themeColor="text1" w:val="000000"/>
        </w:rPr>
        <w:t>д. Уварово</w:t>
      </w:r>
      <w:r>
        <w:rPr>
          <w:rFonts w:cs="Symbol"/>
          <w:color w:themeColor="text1" w:val="000000"/>
          <w:lang w:val="ru-RU"/>
        </w:rPr>
        <w:t>,</w:t>
        <w:br/>
        <w:t>д. Тимошево, д. Галкино, д. Канищево</w:t>
      </w:r>
      <w:r>
        <w:rPr>
          <w:rFonts w:cs="Symbol"/>
          <w:color w:themeColor="text1" w:val="000000"/>
        </w:rPr>
        <w:t>;</w:t>
      </w:r>
    </w:p>
    <w:p>
      <w:pPr>
        <w:pStyle w:val="ListParagraph"/>
        <w:widowControl w:val="false"/>
        <w:spacing w:before="0" w:after="0"/>
        <w:ind w:hanging="0" w:left="0"/>
        <w:contextualSpacing/>
        <w:jc w:val="both"/>
        <w:rPr/>
      </w:pPr>
      <w:r>
        <w:rPr>
          <w:rFonts w:cs="Symbol"/>
          <w:b/>
          <w:color w:themeColor="text1" w:val="000000"/>
        </w:rPr>
        <w:tab/>
        <w:t xml:space="preserve">    - Муратовская</w:t>
      </w:r>
      <w:r>
        <w:rPr>
          <w:rFonts w:cs="Symbol"/>
          <w:color w:themeColor="text1" w:val="000000"/>
        </w:rPr>
        <w:t xml:space="preserve"> с населенными пунктами п. Мирный, д. Большая Каменка,                     ж/д ст. Горенская, </w:t>
      </w:r>
      <w:r>
        <w:rPr>
          <w:rFonts w:cs="Symbol"/>
          <w:color w:themeColor="text1" w:val="000000"/>
          <w:lang w:val="ru-RU"/>
        </w:rPr>
        <w:t>п</w:t>
      </w:r>
      <w:r>
        <w:rPr>
          <w:rFonts w:cs="Symbol"/>
          <w:color w:themeColor="text1" w:val="000000"/>
        </w:rPr>
        <w:t>. Зеленый, с. Муратовка, с. Рябинки, ж/д. станция Тихонова Пустынь, д. Юрьевка.</w:t>
      </w:r>
    </w:p>
    <w:p>
      <w:pPr>
        <w:pStyle w:val="Style70"/>
        <w:spacing w:before="0" w:after="0"/>
        <w:ind w:firstLine="709"/>
        <w:rPr>
          <w:rFonts w:cs="Symbol"/>
          <w:color w:themeColor="text1" w:val="000000"/>
        </w:rPr>
      </w:pPr>
      <w:r>
        <w:rPr>
          <w:rFonts w:cs="Symbol"/>
          <w:color w:themeColor="text1" w:val="000000"/>
        </w:rPr>
        <w:t xml:space="preserve">Отдельно необходимо выделить населенные пункты с населением более тысячи человек, такие как – д. Колюпаново, д. Канищево, д. Мстихино, с. Росва, д. Шопино. </w:t>
      </w:r>
    </w:p>
    <w:p>
      <w:pPr>
        <w:pStyle w:val="Style70"/>
        <w:spacing w:before="0" w:after="0"/>
        <w:ind w:firstLine="709"/>
        <w:rPr>
          <w:rFonts w:cs="Symbol"/>
          <w:color w:themeColor="text1" w:val="000000"/>
          <w:lang w:eastAsia="en-US"/>
        </w:rPr>
      </w:pPr>
      <w:r>
        <w:rPr>
          <w:rFonts w:cs="Symbol"/>
          <w:color w:themeColor="text1" w:val="000000"/>
        </w:rPr>
        <w:t>На территории основных сельских населенных пунктов, кроме индивидуальной жилой застройки, также располагаются территории малоэтажной, среднеэтажной жилой застройки.</w:t>
      </w:r>
    </w:p>
    <w:p>
      <w:pPr>
        <w:pStyle w:val="Style70"/>
        <w:spacing w:before="0" w:after="0"/>
        <w:ind w:firstLine="709"/>
        <w:rPr>
          <w:rFonts w:cs="Symbol"/>
          <w:color w:themeColor="text1" w:val="000000"/>
          <w:lang w:eastAsia="en-US"/>
        </w:rPr>
      </w:pPr>
      <w:r>
        <w:rPr>
          <w:rFonts w:cs="Symbol"/>
          <w:color w:themeColor="text1" w:val="000000"/>
          <w:lang w:eastAsia="en-US"/>
        </w:rPr>
        <w:t xml:space="preserve">Из культурно-бытовых учреждений на территории сельских населенных пунктов имеются: </w:t>
      </w:r>
      <w:r>
        <w:rPr>
          <w:rFonts w:cs="Symbol"/>
          <w:color w:themeColor="text1" w:val="000000"/>
        </w:rPr>
        <w:t>общеобразовательные школы, фельдшерско-акушерские пункты, библиотеки, отделения почтовой связи, магазины</w:t>
      </w:r>
      <w:r>
        <w:rPr>
          <w:rFonts w:cs="Symbol"/>
          <w:color w:themeColor="text1" w:val="000000"/>
          <w:lang w:eastAsia="en-US"/>
        </w:rPr>
        <w:t>. В границах населенных пунктов расположены также кладбища. Территории основных сельских населенных пунктов имеют хорошее обеспечение объектами инженерной и транспортной инфраструктур.</w:t>
      </w:r>
    </w:p>
    <w:p>
      <w:pPr>
        <w:pStyle w:val="Heading3"/>
        <w:numPr>
          <w:ilvl w:val="2"/>
          <w:numId w:val="2"/>
        </w:numPr>
        <w:spacing w:before="100" w:after="100"/>
        <w:ind w:firstLine="709" w:left="0"/>
        <w:rPr>
          <w:rFonts w:eastAsia="Symbol" w:cs="Symbol"/>
          <w:color w:themeColor="text1" w:val="000000"/>
        </w:rPr>
      </w:pPr>
      <w:bookmarkStart w:id="15" w:name="_Toc217312441"/>
      <w:r>
        <w:rPr>
          <w:rFonts w:eastAsia="Symbol" w:cs="Symbol"/>
          <w:color w:themeColor="text1" w:val="000000"/>
        </w:rPr>
        <w:t>3.2. Земельный фонд</w:t>
      </w:r>
      <w:bookmarkEnd w:id="15"/>
    </w:p>
    <w:p>
      <w:pPr>
        <w:pStyle w:val="Style70"/>
        <w:spacing w:before="0" w:after="0"/>
        <w:ind w:firstLine="709"/>
        <w:rPr>
          <w:rFonts w:cs="Symbol"/>
          <w:color w:themeColor="text1" w:val="000000"/>
        </w:rPr>
      </w:pPr>
      <w:r>
        <w:rPr>
          <w:rFonts w:cs="Symbol"/>
          <w:color w:themeColor="text1" w:val="000000"/>
        </w:rPr>
        <w:t>Общая площадь территории городского округа составляет 54702,0 га.</w:t>
      </w:r>
    </w:p>
    <w:p>
      <w:pPr>
        <w:pStyle w:val="Style70"/>
        <w:spacing w:before="0" w:after="0"/>
        <w:ind w:firstLine="709"/>
        <w:rPr>
          <w:rFonts w:cs="Symbol"/>
          <w:color w:themeColor="text1" w:val="000000"/>
        </w:rPr>
      </w:pPr>
      <w:r>
        <w:rPr>
          <w:rFonts w:cs="Symbol"/>
          <w:color w:themeColor="text1" w:val="000000"/>
        </w:rPr>
        <w:t>Земельный фонд на территории городского округа по целевому назначению представлен семью категориями согласно действующему законодательству:</w:t>
      </w:r>
    </w:p>
    <w:p>
      <w:pPr>
        <w:pStyle w:val="Style70"/>
        <w:spacing w:before="0" w:after="0"/>
        <w:ind w:firstLine="709"/>
        <w:rPr>
          <w:rFonts w:cs="Symbol"/>
          <w:color w:themeColor="text1" w:val="000000"/>
        </w:rPr>
      </w:pPr>
      <w:r>
        <w:rPr>
          <w:rFonts w:cs="Symbol"/>
          <w:color w:themeColor="text1" w:val="000000"/>
        </w:rPr>
        <w:t>- земли сельскохозяйственного назначения;</w:t>
      </w:r>
    </w:p>
    <w:p>
      <w:pPr>
        <w:pStyle w:val="Style70"/>
        <w:spacing w:before="0" w:after="0"/>
        <w:ind w:firstLine="709"/>
        <w:rPr>
          <w:rFonts w:cs="Symbol"/>
          <w:color w:themeColor="text1" w:val="000000"/>
        </w:rPr>
      </w:pPr>
      <w:r>
        <w:rPr>
          <w:rFonts w:cs="Symbol"/>
          <w:color w:themeColor="text1" w:val="000000"/>
        </w:rPr>
        <w:t xml:space="preserve">- земли населенных пунктов; </w:t>
      </w:r>
    </w:p>
    <w:p>
      <w:pPr>
        <w:pStyle w:val="Style70"/>
        <w:spacing w:before="0" w:after="0"/>
        <w:ind w:firstLine="709"/>
        <w:rPr>
          <w:rFonts w:cs="Symbol"/>
          <w:color w:themeColor="text1" w:val="000000"/>
        </w:rPr>
      </w:pPr>
      <w:r>
        <w:rPr>
          <w:rFonts w:cs="Symbol"/>
          <w:color w:themeColor="text1" w:val="000000"/>
        </w:rPr>
        <w:t>-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pPr>
        <w:pStyle w:val="Style70"/>
        <w:spacing w:before="0" w:after="0"/>
        <w:ind w:firstLine="709"/>
        <w:rPr>
          <w:rFonts w:cs="Symbol"/>
          <w:color w:themeColor="text1" w:val="000000"/>
        </w:rPr>
      </w:pPr>
      <w:r>
        <w:rPr>
          <w:rFonts w:cs="Symbol"/>
          <w:color w:themeColor="text1" w:val="000000"/>
        </w:rPr>
        <w:t>- земли особо охраняемых территорий и объектов;</w:t>
      </w:r>
    </w:p>
    <w:p>
      <w:pPr>
        <w:pStyle w:val="Style70"/>
        <w:spacing w:before="0" w:after="0"/>
        <w:ind w:firstLine="709"/>
        <w:rPr>
          <w:rFonts w:cs="Symbol"/>
          <w:color w:themeColor="text1" w:val="000000"/>
        </w:rPr>
      </w:pPr>
      <w:r>
        <w:rPr>
          <w:rFonts w:cs="Symbol"/>
          <w:color w:themeColor="text1" w:val="000000"/>
        </w:rPr>
        <w:t>- земли лесного фонда;</w:t>
      </w:r>
    </w:p>
    <w:p>
      <w:pPr>
        <w:pStyle w:val="138"/>
        <w:spacing w:before="0" w:after="0"/>
        <w:ind w:hanging="0" w:left="709"/>
        <w:rPr>
          <w:rFonts w:cs="Symbol"/>
          <w:color w:themeColor="text1" w:val="000000"/>
        </w:rPr>
      </w:pPr>
      <w:r>
        <w:rPr>
          <w:rFonts w:cs="Symbol"/>
          <w:color w:themeColor="text1" w:val="000000"/>
        </w:rPr>
        <w:t>- земли водного фонда;</w:t>
      </w:r>
    </w:p>
    <w:p>
      <w:pPr>
        <w:pStyle w:val="138"/>
        <w:spacing w:before="0" w:after="0"/>
        <w:ind w:hanging="0" w:left="709"/>
        <w:rPr>
          <w:rFonts w:cs="Symbol"/>
          <w:color w:themeColor="text1" w:val="000000"/>
        </w:rPr>
      </w:pPr>
      <w:r>
        <w:rPr>
          <w:rFonts w:cs="Symbol"/>
          <w:color w:themeColor="text1" w:val="000000"/>
        </w:rPr>
        <w:t>- земли запаса.</w:t>
      </w:r>
    </w:p>
    <w:p>
      <w:pPr>
        <w:pStyle w:val="Style70"/>
        <w:spacing w:before="0" w:after="0"/>
        <w:ind w:firstLine="709"/>
        <w:rPr>
          <w:rFonts w:cs="Symbol"/>
          <w:color w:themeColor="text1" w:val="000000"/>
        </w:rPr>
      </w:pPr>
      <w:r>
        <w:rPr>
          <w:rFonts w:cs="Symbol"/>
          <w:color w:themeColor="text1" w:val="000000"/>
        </w:rPr>
        <w:t>Распределение земель городского округа по категориям на 2023 год представлено в таблице 3.2.1. Площадные значения земель рассчитывались в соответствие с:</w:t>
      </w:r>
    </w:p>
    <w:p>
      <w:pPr>
        <w:pStyle w:val="138"/>
        <w:spacing w:before="0" w:after="0"/>
        <w:ind w:firstLine="709" w:left="0"/>
        <w:rPr>
          <w:rFonts w:cs="Symbol"/>
          <w:color w:themeColor="text1" w:val="000000"/>
        </w:rPr>
      </w:pPr>
      <w:r>
        <w:rPr>
          <w:rFonts w:cs="Symbol"/>
          <w:color w:themeColor="text1" w:val="000000"/>
        </w:rPr>
        <w:t xml:space="preserve">- данными </w:t>
      </w:r>
      <w:r>
        <w:rPr>
          <w:color w:themeColor="text1" w:val="000000"/>
        </w:rPr>
        <w:t>сведений Единого государственного реестра недвижимости (ЕГРН)</w:t>
      </w:r>
      <w:r>
        <w:rPr>
          <w:rFonts w:cs="Symbol"/>
          <w:color w:themeColor="text1" w:val="000000"/>
        </w:rPr>
        <w:t>;</w:t>
      </w:r>
    </w:p>
    <w:p>
      <w:pPr>
        <w:pStyle w:val="138"/>
        <w:spacing w:before="0" w:after="0"/>
        <w:ind w:firstLine="709" w:left="0"/>
        <w:rPr>
          <w:rFonts w:cs="Symbol"/>
          <w:color w:themeColor="text1" w:val="000000"/>
        </w:rPr>
      </w:pPr>
      <w:r>
        <w:rPr>
          <w:rFonts w:cs="Symbol"/>
          <w:color w:themeColor="text1" w:val="000000"/>
        </w:rPr>
        <w:t>- данными Управления лесного хозяйства по Калужской области;</w:t>
      </w:r>
    </w:p>
    <w:p>
      <w:pPr>
        <w:pStyle w:val="138"/>
        <w:spacing w:before="0" w:after="0"/>
        <w:ind w:firstLine="709" w:left="0"/>
        <w:rPr>
          <w:rFonts w:cs="Symbol"/>
          <w:color w:themeColor="text1" w:val="000000"/>
        </w:rPr>
      </w:pPr>
      <w:r>
        <w:rPr>
          <w:rFonts w:cs="Symbol"/>
          <w:color w:themeColor="text1" w:val="000000"/>
        </w:rPr>
        <w:t>- данными утвержденных документов территориального планирования и градостроительного зонирования;</w:t>
      </w:r>
    </w:p>
    <w:p>
      <w:pPr>
        <w:pStyle w:val="138"/>
        <w:spacing w:before="0" w:after="0"/>
        <w:ind w:firstLine="709" w:left="0"/>
        <w:rPr/>
      </w:pPr>
      <w:r>
        <w:rPr>
          <w:rFonts w:cs="Symbol"/>
          <w:color w:themeColor="text1" w:val="000000"/>
        </w:rPr>
        <w:t xml:space="preserve">- данными управления архитектуры и градостроительства города Калуги. </w:t>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138"/>
        <w:spacing w:before="0" w:after="0"/>
        <w:ind w:firstLine="709" w:left="0"/>
        <w:rPr>
          <w:rFonts w:cs="Symbol"/>
          <w:color w:themeColor="text1" w:val="000000"/>
        </w:rPr>
      </w:pPr>
      <w:r>
        <w:rPr>
          <w:rFonts w:cs="Symbol"/>
          <w:color w:themeColor="text1" w:val="000000"/>
        </w:rPr>
      </w:r>
    </w:p>
    <w:p>
      <w:pPr>
        <w:pStyle w:val="Style78"/>
        <w:rPr/>
      </w:pPr>
      <w:r>
        <w:rPr>
          <w:rFonts w:cs="Symbol"/>
          <w:color w:themeColor="text1" w:val="000000"/>
        </w:rPr>
        <w:t>Таблица 3.2.</w:t>
      </w:r>
      <w:r>
        <w:rPr>
          <w:rFonts w:cs="Symbol"/>
        </w:rPr>
        <w:fldChar w:fldCharType="begin"/>
      </w:r>
      <w:r>
        <w:rPr>
          <w:rFonts w:cs="Symbol"/>
        </w:rPr>
        <w:instrText xml:space="preserve"> SEQ "Таблица" \* ARABIC </w:instrText>
      </w:r>
      <w:r>
        <w:rPr>
          <w:rFonts w:cs="Symbol"/>
        </w:rPr>
        <w:fldChar w:fldCharType="separate"/>
      </w:r>
      <w:r>
        <w:rPr>
          <w:rFonts w:cs="Symbol"/>
        </w:rPr>
        <w:t>1</w:t>
      </w:r>
      <w:r>
        <w:rPr>
          <w:rFonts w:cs="Symbol"/>
        </w:rPr>
        <w:fldChar w:fldCharType="end"/>
      </w:r>
      <w:r>
        <w:rPr>
          <w:rFonts w:cs="Symbol"/>
          <w:color w:themeColor="text1" w:val="000000"/>
        </w:rPr>
        <w:t>.</w:t>
      </w:r>
    </w:p>
    <w:p>
      <w:pPr>
        <w:pStyle w:val="Style83"/>
        <w:spacing w:before="0" w:after="0"/>
        <w:rPr>
          <w:rFonts w:cs="Symbol"/>
          <w:color w:themeColor="text1" w:val="000000"/>
        </w:rPr>
      </w:pPr>
      <w:r>
        <w:rPr>
          <w:rFonts w:cs="Symbol"/>
          <w:color w:themeColor="text1" w:val="000000"/>
        </w:rPr>
        <w:t>Распределение земель городского округа по категориям</w:t>
      </w:r>
    </w:p>
    <w:tbl>
      <w:tblPr>
        <w:tblW w:w="959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6400"/>
        <w:gridCol w:w="1267"/>
        <w:gridCol w:w="1924"/>
      </w:tblGrid>
      <w:tr>
        <w:trPr/>
        <w:tc>
          <w:tcPr>
            <w:tcW w:w="6400"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rFonts w:cs="Symbol"/>
                <w:b/>
                <w:color w:themeColor="text1" w:val="000000"/>
              </w:rPr>
              <w:t>Категория земель</w:t>
            </w:r>
          </w:p>
        </w:tc>
        <w:tc>
          <w:tcPr>
            <w:tcW w:w="126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rFonts w:cs="Symbol"/>
                <w:b/>
                <w:color w:themeColor="text1" w:val="000000"/>
              </w:rPr>
              <w:t>Площадь, га</w:t>
            </w:r>
          </w:p>
        </w:tc>
        <w:tc>
          <w:tcPr>
            <w:tcW w:w="192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rFonts w:cs="Symbol"/>
                <w:b/>
                <w:color w:themeColor="text1" w:val="000000"/>
              </w:rPr>
              <w:t>% от общей площади земель</w:t>
            </w:r>
          </w:p>
        </w:tc>
      </w:tr>
      <w:tr>
        <w:trPr>
          <w:trHeight w:val="340"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Земли сельскохозяйственного назначения</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11882,2</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21,7</w:t>
            </w:r>
          </w:p>
        </w:tc>
      </w:tr>
      <w:tr>
        <w:trPr>
          <w:trHeight w:val="340"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Земли населенных пунктов</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22295,5</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40,8</w:t>
            </w:r>
          </w:p>
        </w:tc>
      </w:tr>
      <w:tr>
        <w:trPr>
          <w:trHeight w:val="340"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3854,1</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7,0</w:t>
            </w:r>
          </w:p>
        </w:tc>
      </w:tr>
      <w:tr>
        <w:trPr>
          <w:trHeight w:val="340"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Земли особо охраняемых территорий и объектов</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345,3</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0,6</w:t>
            </w:r>
          </w:p>
        </w:tc>
      </w:tr>
      <w:tr>
        <w:trPr>
          <w:trHeight w:val="340"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Земли лесного фонда</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14574,2</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26,7</w:t>
            </w:r>
          </w:p>
        </w:tc>
      </w:tr>
      <w:tr>
        <w:trPr>
          <w:trHeight w:val="340"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6"/>
              <w:widowControl w:val="false"/>
              <w:rPr>
                <w:color w:themeColor="text1" w:val="000000"/>
              </w:rPr>
            </w:pPr>
            <w:r>
              <w:rPr>
                <w:rFonts w:cs="Symbol"/>
                <w:color w:themeColor="text1" w:val="000000"/>
              </w:rPr>
              <w:t>Земли водного фонда</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453,2</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0,8</w:t>
            </w:r>
          </w:p>
        </w:tc>
      </w:tr>
      <w:tr>
        <w:trPr>
          <w:trHeight w:val="340" w:hRule="atLeast"/>
        </w:trPr>
        <w:tc>
          <w:tcPr>
            <w:tcW w:w="6400" w:type="dxa"/>
            <w:tcBorders>
              <w:top w:val="single" w:sz="4" w:space="0" w:color="000000"/>
              <w:left w:val="single" w:sz="4" w:space="0" w:color="000000"/>
              <w:bottom w:val="single" w:sz="4" w:space="0" w:color="000000"/>
            </w:tcBorders>
            <w:shd w:color="auto" w:fill="auto" w:val="clear"/>
            <w:vAlign w:val="center"/>
          </w:tcPr>
          <w:p>
            <w:pPr>
              <w:pStyle w:val="1116"/>
              <w:widowControl w:val="false"/>
              <w:rPr>
                <w:rFonts w:cs="Symbol"/>
                <w:color w:themeColor="text1" w:val="000000"/>
              </w:rPr>
            </w:pPr>
            <w:r>
              <w:rPr>
                <w:rFonts w:cs="Symbol"/>
                <w:color w:themeColor="text1" w:val="000000"/>
              </w:rPr>
              <w:t>Земли запаса</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1297,5</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2,4</w:t>
            </w:r>
          </w:p>
        </w:tc>
      </w:tr>
      <w:tr>
        <w:trPr>
          <w:trHeight w:val="442" w:hRule="exact"/>
        </w:trPr>
        <w:tc>
          <w:tcPr>
            <w:tcW w:w="6400" w:type="dxa"/>
            <w:tcBorders>
              <w:top w:val="single" w:sz="4" w:space="0" w:color="000000"/>
              <w:left w:val="single" w:sz="4" w:space="0" w:color="000000"/>
              <w:bottom w:val="single" w:sz="4" w:space="0" w:color="000000"/>
            </w:tcBorders>
            <w:shd w:color="auto" w:fill="auto" w:val="clear"/>
            <w:vAlign w:val="center"/>
          </w:tcPr>
          <w:p>
            <w:pPr>
              <w:pStyle w:val="1115"/>
              <w:widowControl w:val="false"/>
              <w:rPr>
                <w:b/>
                <w:color w:themeColor="text1" w:val="000000"/>
              </w:rPr>
            </w:pPr>
            <w:r>
              <w:rPr>
                <w:rFonts w:cs="Symbol"/>
                <w:b/>
                <w:color w:themeColor="text1" w:val="000000"/>
              </w:rPr>
              <w:t>Всего:</w:t>
            </w:r>
          </w:p>
        </w:tc>
        <w:tc>
          <w:tcPr>
            <w:tcW w:w="1267" w:type="dxa"/>
            <w:tcBorders>
              <w:top w:val="single" w:sz="4" w:space="0" w:color="000000"/>
              <w:left w:val="single" w:sz="4" w:space="0" w:color="000000"/>
              <w:bottom w:val="single" w:sz="4" w:space="0" w:color="000000"/>
            </w:tcBorders>
            <w:shd w:color="auto" w:fill="auto" w:val="clear"/>
            <w:vAlign w:val="center"/>
          </w:tcPr>
          <w:p>
            <w:pPr>
              <w:pStyle w:val="1112"/>
              <w:widowControl w:val="false"/>
              <w:rPr>
                <w:b/>
                <w:color w:themeColor="text1" w:val="000000"/>
              </w:rPr>
            </w:pPr>
            <w:r>
              <w:rPr>
                <w:b/>
                <w:color w:themeColor="text1" w:val="000000"/>
              </w:rPr>
              <w:t>54702,0</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b/>
                <w:color w:themeColor="text1" w:val="000000"/>
              </w:rPr>
            </w:pPr>
            <w:r>
              <w:rPr>
                <w:b/>
                <w:color w:themeColor="text1" w:val="000000"/>
              </w:rPr>
              <w:t>100</w:t>
            </w:r>
          </w:p>
        </w:tc>
      </w:tr>
    </w:tbl>
    <w:p>
      <w:pPr>
        <w:pStyle w:val="Style70"/>
        <w:spacing w:before="0" w:after="0"/>
        <w:ind w:hanging="0"/>
        <w:rPr>
          <w:rFonts w:cs="Symbol"/>
          <w:color w:themeColor="text1" w:val="000000"/>
        </w:rPr>
      </w:pPr>
      <w:r>
        <w:rPr>
          <w:rFonts w:cs="Symbol"/>
          <w:color w:themeColor="text1" w:val="000000"/>
        </w:rPr>
      </w:r>
      <w:r>
        <w:br w:type="page"/>
      </w:r>
    </w:p>
    <w:p>
      <w:pPr>
        <w:pStyle w:val="Heading3"/>
        <w:numPr>
          <w:ilvl w:val="2"/>
          <w:numId w:val="2"/>
        </w:numPr>
        <w:spacing w:before="0" w:after="100"/>
        <w:ind w:firstLine="709" w:left="0"/>
        <w:rPr>
          <w:rFonts w:eastAsia="Symbol" w:cs="Symbol"/>
          <w:color w:themeColor="text1" w:val="000000"/>
        </w:rPr>
      </w:pPr>
      <w:bookmarkStart w:id="16" w:name="_Toc217312442"/>
      <w:r>
        <w:rPr>
          <w:rFonts w:eastAsia="Symbol" w:cs="Symbol"/>
          <w:color w:themeColor="text1" w:val="000000"/>
        </w:rPr>
        <w:t>3.3. Функциональное зонирование территории</w:t>
      </w:r>
      <w:bookmarkEnd w:id="16"/>
    </w:p>
    <w:p>
      <w:pPr>
        <w:pStyle w:val="Normal"/>
        <w:ind w:firstLine="709"/>
        <w:jc w:val="both"/>
        <w:rPr>
          <w:color w:themeColor="text1" w:val="000000"/>
        </w:rPr>
      </w:pPr>
      <w:r>
        <w:rPr>
          <w:color w:themeColor="text1" w:val="000000"/>
        </w:rPr>
        <w:t>Функциональное зонирование является одним из основных инструментов регулирования градостроительной деятельности. Зонирование устанавливает рамочные условия использования городской территории, обязательные для соблюдение всеми участниками градостроительной деятельности, в части функциональной принадлежности, плотности и характера застройки, ландшафтной организации территории.</w:t>
      </w:r>
    </w:p>
    <w:p>
      <w:pPr>
        <w:pStyle w:val="Normal"/>
        <w:ind w:firstLine="737"/>
        <w:jc w:val="both"/>
        <w:rPr>
          <w:color w:themeColor="text1" w:val="000000"/>
        </w:rPr>
      </w:pPr>
      <w:r>
        <w:rPr>
          <w:color w:themeColor="text1" w:val="000000"/>
        </w:rPr>
        <w:t xml:space="preserve">Разработанное в Генеральном плане городского округа функциональное зонирование базируется на выводах комплексного градостроительного анализа, учитывает планировочную специфику города, сложившиеся особенности использования городских земель, требования охраны объектов природного и культурного наследия. При установлении территориальных зон учтены положения Градостроительного и Земельного кодексов Российской Федерации, требования специальных нормативов и правил, касающиеся зон с нормируемым режимом градостроительной деятельности. </w:t>
      </w:r>
    </w:p>
    <w:p>
      <w:pPr>
        <w:pStyle w:val="Normal"/>
        <w:ind w:firstLine="709"/>
        <w:jc w:val="both"/>
        <w:rPr>
          <w:color w:themeColor="text1" w:val="000000"/>
        </w:rPr>
      </w:pPr>
      <w:r>
        <w:rPr>
          <w:color w:themeColor="text1" w:val="000000"/>
        </w:rPr>
        <w:t>Генеральным планом на территории городского округа выделены следующие функциональные зоны:</w:t>
      </w:r>
    </w:p>
    <w:p>
      <w:pPr>
        <w:pStyle w:val="Normal"/>
        <w:ind w:firstLine="624"/>
        <w:jc w:val="both"/>
        <w:rPr>
          <w:color w:themeColor="text1" w:val="000000"/>
        </w:rPr>
      </w:pPr>
      <w:r>
        <w:rPr>
          <w:b/>
          <w:bCs/>
        </w:rPr>
        <w:t>- жилые зоны</w:t>
      </w:r>
      <w:r>
        <w:rPr/>
        <w:t xml:space="preserve"> – различных строительных типов в соответствии с этажностью и плотностью застройки;</w:t>
      </w:r>
    </w:p>
    <w:p>
      <w:pPr>
        <w:pStyle w:val="Normal"/>
        <w:jc w:val="both"/>
        <w:rPr/>
      </w:pPr>
      <w:r>
        <w:rPr/>
        <w:t xml:space="preserve">    </w:t>
      </w:r>
      <w:r>
        <w:rPr/>
        <w:t>- </w:t>
      </w:r>
      <w:r>
        <w:rPr>
          <w:b/>
          <w:bCs/>
        </w:rPr>
        <w:t>зоны общественно-делового и многофункционального назначения</w:t>
      </w:r>
      <w:r>
        <w:rPr/>
        <w:t xml:space="preserve"> – различных строительных типов в соответствии с этажностью и плотностью застройки, с включением объектов делового, общественного и коммерческого назначений в исторической части города;</w:t>
      </w:r>
    </w:p>
    <w:p>
      <w:pPr>
        <w:pStyle w:val="Normal"/>
        <w:jc w:val="both"/>
        <w:rPr/>
      </w:pPr>
      <w:r>
        <w:rPr/>
        <w:t xml:space="preserve">   </w:t>
      </w:r>
      <w:r>
        <w:rPr/>
        <w:t>- </w:t>
      </w:r>
      <w:r>
        <w:rPr>
          <w:b/>
          <w:bCs/>
        </w:rPr>
        <w:t>общественно-деловые зоны</w:t>
      </w:r>
      <w:r>
        <w:rPr/>
        <w:t xml:space="preserve"> – включают широкий перечень объектов делового, общественного и коммерческого назначений, здравоохранения и образования и др.;</w:t>
      </w:r>
    </w:p>
    <w:p>
      <w:pPr>
        <w:pStyle w:val="Normal"/>
        <w:ind w:firstLine="709" w:left="0" w:right="0"/>
        <w:jc w:val="both"/>
        <w:rPr/>
      </w:pPr>
      <w:r>
        <w:rPr/>
        <w:t>- </w:t>
      </w:r>
      <w:r>
        <w:rPr>
          <w:b/>
          <w:bCs/>
        </w:rPr>
        <w:t>зона общественно-делового и многофункционального назначения</w:t>
      </w:r>
      <w:r>
        <w:rPr/>
        <w:t xml:space="preserve"> – включает объекты высшего образования города;</w:t>
      </w:r>
    </w:p>
    <w:p>
      <w:pPr>
        <w:pStyle w:val="Normal"/>
        <w:ind w:firstLine="567"/>
        <w:jc w:val="both"/>
        <w:rPr/>
      </w:pPr>
      <w:r>
        <w:rPr/>
        <w:t>-</w:t>
      </w:r>
      <w:r>
        <w:rPr>
          <w:b/>
          <w:bCs/>
        </w:rPr>
        <w:t> зоны сельскохозяйственного использования</w:t>
      </w:r>
      <w:r>
        <w:rPr/>
        <w:t xml:space="preserve"> – сельскохозяйственные угодья, садоводства и др.;</w:t>
      </w:r>
    </w:p>
    <w:p>
      <w:pPr>
        <w:pStyle w:val="Normal"/>
        <w:ind w:firstLine="567"/>
        <w:jc w:val="both"/>
        <w:rPr/>
      </w:pPr>
      <w:r>
        <w:rPr/>
        <w:t>-</w:t>
      </w:r>
      <w:r>
        <w:rPr>
          <w:b/>
          <w:bCs/>
        </w:rPr>
        <w:t> зоны садоводческих или огороднических некоммерческих товариществ;</w:t>
      </w:r>
    </w:p>
    <w:p>
      <w:pPr>
        <w:pStyle w:val="Normal"/>
        <w:ind w:firstLine="567"/>
        <w:jc w:val="both"/>
        <w:rPr/>
      </w:pPr>
      <w:r>
        <w:rPr/>
        <w:t>- </w:t>
      </w:r>
      <w:r>
        <w:rPr>
          <w:b/>
          <w:bCs/>
        </w:rPr>
        <w:t>производственные зоны, зоны инженерной и транспортной инфраструктур</w:t>
      </w:r>
      <w:r>
        <w:rPr/>
        <w:t xml:space="preserve"> – зоны размещения производственных объектов с различными нормативами воздействия на окружающую среду и объектов инженерной и транспортной инфраструктуры;</w:t>
      </w:r>
    </w:p>
    <w:p>
      <w:pPr>
        <w:pStyle w:val="Normal"/>
        <w:ind w:firstLine="567"/>
        <w:jc w:val="both"/>
        <w:rPr/>
      </w:pPr>
      <w:r>
        <w:rPr/>
        <w:t>- </w:t>
      </w:r>
      <w:r>
        <w:rPr>
          <w:b/>
          <w:bCs/>
        </w:rPr>
        <w:t>зоны рекреационного назначения</w:t>
      </w:r>
      <w:r>
        <w:rPr/>
        <w:t xml:space="preserve"> – территории озеленения общего пользования, парки, бульвары, сады, объекты отдыха и туризма, земли сельскохозяйственного назначения, занятые лесными насаждениями, городские леса и др.;</w:t>
      </w:r>
    </w:p>
    <w:p>
      <w:pPr>
        <w:pStyle w:val="Normal"/>
        <w:ind w:firstLine="567"/>
        <w:jc w:val="both"/>
        <w:rPr/>
      </w:pPr>
      <w:r>
        <w:rPr/>
        <w:t>- </w:t>
      </w:r>
      <w:r>
        <w:rPr>
          <w:b/>
          <w:bCs/>
        </w:rPr>
        <w:t>зоны лесов</w:t>
      </w:r>
      <w:r>
        <w:rPr/>
        <w:t xml:space="preserve"> – зона размещения земель лесного фонда;</w:t>
      </w:r>
    </w:p>
    <w:p>
      <w:pPr>
        <w:pStyle w:val="Normal"/>
        <w:ind w:firstLine="567"/>
        <w:jc w:val="both"/>
        <w:rPr/>
      </w:pPr>
      <w:r>
        <w:rPr/>
        <w:t>- </w:t>
      </w:r>
      <w:r>
        <w:rPr>
          <w:b/>
          <w:bCs/>
        </w:rPr>
        <w:t>зоны специального назначения</w:t>
      </w:r>
      <w:r>
        <w:rPr/>
        <w:t xml:space="preserve"> – зона размещения объектов военного, специального и иного назначения;</w:t>
      </w:r>
    </w:p>
    <w:p>
      <w:pPr>
        <w:pStyle w:val="Normal"/>
        <w:ind w:firstLine="567"/>
        <w:jc w:val="both"/>
        <w:rPr/>
      </w:pPr>
      <w:r>
        <w:rPr/>
        <w:t xml:space="preserve">- </w:t>
      </w:r>
      <w:r>
        <w:rPr>
          <w:b/>
          <w:bCs/>
        </w:rPr>
        <w:t>зона режимных территорий</w:t>
      </w:r>
      <w:r>
        <w:rPr/>
        <w:t xml:space="preserve"> – размещение объектов специального назначения;</w:t>
      </w:r>
    </w:p>
    <w:p>
      <w:pPr>
        <w:pStyle w:val="Normal"/>
        <w:ind w:firstLine="567"/>
        <w:jc w:val="both"/>
        <w:rPr/>
      </w:pPr>
      <w:r>
        <w:rPr/>
        <w:t>- </w:t>
      </w:r>
      <w:r>
        <w:rPr>
          <w:b/>
          <w:bCs/>
        </w:rPr>
        <w:t>зоны кладбищ</w:t>
      </w:r>
      <w:r>
        <w:rPr/>
        <w:t>;</w:t>
      </w:r>
    </w:p>
    <w:p>
      <w:pPr>
        <w:pStyle w:val="Normal"/>
        <w:ind w:firstLine="567"/>
        <w:jc w:val="both"/>
        <w:rPr/>
      </w:pPr>
      <w:r>
        <w:rPr/>
        <w:t>- </w:t>
      </w:r>
      <w:r>
        <w:rPr>
          <w:b/>
          <w:bCs/>
        </w:rPr>
        <w:t>зоны складирования и захоронения отходов</w:t>
      </w:r>
      <w:r>
        <w:rPr/>
        <w:t xml:space="preserve"> – полигоны ТКО, объекты переработки и хранения отходов;</w:t>
      </w:r>
    </w:p>
    <w:p>
      <w:pPr>
        <w:pStyle w:val="Normal"/>
        <w:ind w:firstLine="567"/>
        <w:jc w:val="both"/>
        <w:rPr/>
      </w:pPr>
      <w:r>
        <w:rPr/>
        <w:t>- </w:t>
      </w:r>
      <w:r>
        <w:rPr>
          <w:b/>
          <w:bCs/>
        </w:rPr>
        <w:t>зоны акваторий</w:t>
      </w:r>
      <w:r>
        <w:rPr/>
        <w:t xml:space="preserve"> – размещение объектов гидрографии и водного фонда.</w:t>
      </w:r>
    </w:p>
    <w:p>
      <w:pPr>
        <w:pStyle w:val="Normal"/>
        <w:ind w:firstLine="709"/>
        <w:jc w:val="both"/>
        <w:rPr>
          <w:color w:themeColor="text1" w:val="000000"/>
        </w:rPr>
      </w:pPr>
      <w:r>
        <w:rPr>
          <w:color w:themeColor="text1" w:val="000000"/>
        </w:rPr>
        <w:t>Границы функциональных зон установлены с учетом границ земельных участков, сведения о границах которых внесены в состав сведений Единого государственного реестра недвижимости (ЕГРН), а также зон с особыми условиями использования территорий и отображены в составе картографического материала Генерального плана на карте «Карта функциональных зон».</w:t>
      </w:r>
    </w:p>
    <w:p>
      <w:pPr>
        <w:pStyle w:val="Normal"/>
        <w:ind w:firstLine="709"/>
        <w:jc w:val="both"/>
        <w:rPr>
          <w:color w:themeColor="text1" w:val="000000"/>
        </w:rPr>
      </w:pPr>
      <w:r>
        <w:rPr>
          <w:color w:themeColor="text1" w:val="000000"/>
        </w:rPr>
        <w:t>Параметры функциональных зон городского округа представлены в таблице 3.3.1.</w:t>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Normal"/>
        <w:jc w:val="right"/>
        <w:rPr>
          <w:b/>
          <w:color w:themeColor="text1" w:val="000000"/>
        </w:rPr>
      </w:pPr>
      <w:r>
        <w:rPr>
          <w:rFonts w:cs="Symbol"/>
          <w:color w:themeColor="text1" w:val="000000"/>
        </w:rPr>
        <w:t>Таблица 3.3.1.</w:t>
      </w:r>
    </w:p>
    <w:p>
      <w:pPr>
        <w:pStyle w:val="Normal"/>
        <w:jc w:val="center"/>
        <w:rPr>
          <w:color w:themeColor="text1" w:val="000000"/>
        </w:rPr>
      </w:pPr>
      <w:r>
        <w:rPr>
          <w:color w:themeColor="text1" w:val="000000"/>
        </w:rPr>
        <w:t>Параметры функциональных зон городского округа</w:t>
      </w:r>
    </w:p>
    <w:tbl>
      <w:tblPr>
        <w:tblW w:w="10093"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587"/>
        <w:gridCol w:w="7379"/>
        <w:gridCol w:w="2127"/>
      </w:tblGrid>
      <w:tr>
        <w:trPr>
          <w:tblHeader w:val="true"/>
          <w:trHeight w:val="330" w:hRule="atLeast"/>
        </w:trPr>
        <w:tc>
          <w:tcPr>
            <w:tcW w:w="58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w:t>
            </w:r>
          </w:p>
          <w:p>
            <w:pPr>
              <w:pStyle w:val="1112"/>
              <w:widowControl w:val="false"/>
              <w:rPr>
                <w:b/>
                <w:color w:themeColor="text1" w:val="000000"/>
              </w:rPr>
            </w:pPr>
            <w:r>
              <w:rPr>
                <w:b/>
                <w:color w:themeColor="text1" w:val="000000"/>
              </w:rPr>
              <w:t>п/п</w:t>
            </w:r>
          </w:p>
        </w:tc>
        <w:tc>
          <w:tcPr>
            <w:tcW w:w="737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Название зоны</w:t>
            </w:r>
          </w:p>
        </w:tc>
        <w:tc>
          <w:tcPr>
            <w:tcW w:w="212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Зонирование территории, га</w:t>
            </w:r>
          </w:p>
        </w:tc>
      </w:tr>
      <w:tr>
        <w:trPr>
          <w:trHeight w:val="272"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1</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Жилые зоны</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9966,9</w:t>
            </w:r>
          </w:p>
        </w:tc>
      </w:tr>
      <w:tr>
        <w:trPr>
          <w:trHeight w:val="175"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2</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Общественно-деловые зоны</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759,2</w:t>
            </w:r>
          </w:p>
        </w:tc>
      </w:tr>
      <w:tr>
        <w:trPr>
          <w:trHeight w:val="312"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3</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общественно-делового и многофункционального назначения</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270,7</w:t>
            </w:r>
          </w:p>
        </w:tc>
      </w:tr>
      <w:tr>
        <w:trPr>
          <w:trHeight w:val="275"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4</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специализированной общественной застройки</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lang w:val="en-US"/>
              </w:rPr>
            </w:pPr>
            <w:r>
              <w:rPr>
                <w:color w:themeColor="text1" w:val="000000"/>
              </w:rPr>
              <w:t>39,4</w:t>
            </w:r>
          </w:p>
        </w:tc>
      </w:tr>
      <w:tr>
        <w:trPr>
          <w:trHeight w:val="237"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5</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Производственные зоны, зоны инженерной и транспортной инфраструктур</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8336,0</w:t>
            </w:r>
          </w:p>
        </w:tc>
      </w:tr>
      <w:tr>
        <w:trPr>
          <w:trHeight w:val="199"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6</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Зоны сельскохозяйственного использования</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7252,3</w:t>
            </w:r>
          </w:p>
        </w:tc>
      </w:tr>
      <w:tr>
        <w:trPr>
          <w:trHeight w:val="324"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7</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садоводческих или огороднических некоммерческих товариществ</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1459,3</w:t>
            </w:r>
          </w:p>
        </w:tc>
      </w:tr>
      <w:tr>
        <w:trPr>
          <w:trHeight w:val="237"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8</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Зоны рекреационного назначения</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10158,5</w:t>
            </w:r>
          </w:p>
        </w:tc>
      </w:tr>
      <w:tr>
        <w:trPr>
          <w:trHeight w:val="199"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9</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лесов</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14561,6</w:t>
            </w:r>
          </w:p>
        </w:tc>
      </w:tr>
      <w:tr>
        <w:trPr>
          <w:trHeight w:val="211"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10</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Зоны специального назначения</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317,8</w:t>
            </w:r>
          </w:p>
        </w:tc>
      </w:tr>
      <w:tr>
        <w:trPr>
          <w:trHeight w:val="186"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11</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режимных территорий</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298,9</w:t>
            </w:r>
          </w:p>
        </w:tc>
      </w:tr>
      <w:tr>
        <w:trPr>
          <w:trHeight w:val="198"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12</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кладбищ</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227,0</w:t>
            </w:r>
          </w:p>
        </w:tc>
      </w:tr>
      <w:tr>
        <w:trPr>
          <w:trHeight w:val="110"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13</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складирования и захоронения отходов</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29,8</w:t>
            </w:r>
          </w:p>
        </w:tc>
      </w:tr>
      <w:tr>
        <w:trPr>
          <w:trHeight w:val="247" w:hRule="atLeast"/>
        </w:trPr>
        <w:tc>
          <w:tcPr>
            <w:tcW w:w="587" w:type="dxa"/>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rPr>
                <w:color w:themeColor="text1" w:val="000000"/>
              </w:rPr>
            </w:pPr>
            <w:r>
              <w:rPr>
                <w:color w:themeColor="text1" w:val="000000"/>
              </w:rPr>
              <w:t>14</w:t>
            </w:r>
          </w:p>
        </w:tc>
        <w:tc>
          <w:tcPr>
            <w:tcW w:w="73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jc w:val="left"/>
              <w:rPr>
                <w:color w:themeColor="text1" w:val="000000"/>
              </w:rPr>
            </w:pPr>
            <w:r>
              <w:rPr>
                <w:color w:themeColor="text1" w:val="000000"/>
              </w:rPr>
              <w:t>Зона акваторий</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1024,6</w:t>
            </w:r>
          </w:p>
        </w:tc>
      </w:tr>
      <w:tr>
        <w:trPr>
          <w:trHeight w:val="486" w:hRule="exact"/>
        </w:trPr>
        <w:tc>
          <w:tcPr>
            <w:tcW w:w="7966"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1112"/>
              <w:widowControl w:val="false"/>
              <w:jc w:val="right"/>
              <w:rPr>
                <w:b/>
                <w:color w:themeColor="text1" w:val="000000"/>
              </w:rPr>
            </w:pPr>
            <w:r>
              <w:rPr>
                <w:b/>
                <w:color w:themeColor="text1" w:val="000000"/>
              </w:rPr>
              <w:t>ИТОГО по городскому округу:</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b/>
                <w:color w:themeColor="text1" w:val="000000"/>
              </w:rPr>
            </w:pPr>
            <w:r>
              <w:rPr>
                <w:b/>
                <w:color w:themeColor="text1" w:val="000000"/>
              </w:rPr>
              <w:t>54702,0</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418" w:right="709" w:gutter="0" w:header="567" w:top="1128" w:footer="0" w:bottom="454"/>
          <w:pgNumType w:fmt="decimal"/>
          <w:formProt w:val="false"/>
          <w:titlePg/>
          <w:textDirection w:val="lrTb"/>
          <w:docGrid w:type="default" w:linePitch="360" w:charSpace="0"/>
        </w:sectPr>
      </w:pPr>
    </w:p>
    <w:p>
      <w:pPr>
        <w:pStyle w:val="Heading2"/>
        <w:numPr>
          <w:ilvl w:val="1"/>
          <w:numId w:val="2"/>
        </w:numPr>
        <w:spacing w:before="0" w:after="0"/>
        <w:ind w:hanging="142" w:left="0"/>
        <w:rPr>
          <w:rFonts w:cs="Symbol"/>
          <w:color w:themeColor="text1" w:val="000000"/>
        </w:rPr>
      </w:pPr>
      <w:bookmarkStart w:id="17" w:name="_Toc217312443"/>
      <w:r>
        <w:rPr>
          <w:rFonts w:cs="Symbol"/>
          <w:color w:themeColor="text1" w:val="000000"/>
        </w:rPr>
        <w:t>4. Объекты культурного наследия</w:t>
      </w:r>
      <w:bookmarkEnd w:id="17"/>
    </w:p>
    <w:p>
      <w:pPr>
        <w:pStyle w:val="Heading3"/>
        <w:numPr>
          <w:ilvl w:val="2"/>
          <w:numId w:val="2"/>
        </w:numPr>
        <w:ind w:hanging="0" w:left="567"/>
        <w:rPr>
          <w:rFonts w:cs="Symbol"/>
          <w:color w:themeColor="text1" w:val="000000"/>
        </w:rPr>
      </w:pPr>
      <w:bookmarkStart w:id="18" w:name="_Toc217312444"/>
      <w:r>
        <w:rPr>
          <w:rFonts w:cs="Symbol"/>
          <w:color w:themeColor="text1" w:val="000000"/>
        </w:rPr>
        <w:t>4.1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18"/>
    </w:p>
    <w:p>
      <w:pPr>
        <w:pStyle w:val="Style70"/>
        <w:spacing w:before="0" w:after="0"/>
        <w:ind w:firstLine="709"/>
        <w:rPr>
          <w:rFonts w:cs="Symbol"/>
          <w:color w:themeColor="text1" w:val="000000"/>
        </w:rPr>
      </w:pPr>
      <w:r>
        <w:rPr>
          <w:rFonts w:cs="Symbol"/>
          <w:color w:themeColor="text1" w:val="000000"/>
        </w:rPr>
        <w:t>Утвержденные предметы охраны и границы территорий исторических поселений федерального значения и исторических поселений регионального значения на территории городского округа отсутствуют.</w:t>
      </w:r>
    </w:p>
    <w:p>
      <w:pPr>
        <w:pStyle w:val="Heading3"/>
        <w:numPr>
          <w:ilvl w:val="2"/>
          <w:numId w:val="2"/>
        </w:numPr>
        <w:spacing w:before="100" w:after="100"/>
        <w:ind w:hanging="0" w:left="0"/>
        <w:rPr>
          <w:rFonts w:cs="Symbol"/>
          <w:color w:themeColor="text1" w:val="000000"/>
        </w:rPr>
      </w:pPr>
      <w:bookmarkStart w:id="19" w:name="_Toc217312445"/>
      <w:r>
        <w:rPr>
          <w:rFonts w:cs="Symbol"/>
          <w:color w:themeColor="text1" w:val="000000"/>
        </w:rPr>
        <w:t>4.2. Объекты культурного наследия</w:t>
      </w:r>
      <w:bookmarkEnd w:id="19"/>
    </w:p>
    <w:p>
      <w:pPr>
        <w:pStyle w:val="Style70"/>
        <w:spacing w:before="0" w:after="0"/>
        <w:ind w:firstLine="709"/>
        <w:rPr>
          <w:rFonts w:cs="Symbol"/>
          <w:color w:themeColor="text1" w:val="000000"/>
        </w:rPr>
      </w:pPr>
      <w:r>
        <w:rPr>
          <w:rFonts w:cs="Symbol"/>
          <w:color w:themeColor="text1" w:val="000000"/>
        </w:rPr>
        <w:t>По данным управления по охране объектов культурного наследия Калужской области на территории городского округа расположены 655 объектов культурного наследия, из которых 97 – федерального, 104 – регионального, 78 – местного значения, 376 – выявленные объекты культурного наследия (в т.ч. 112 – выявленные объекты археологического наследия).</w:t>
      </w:r>
    </w:p>
    <w:p>
      <w:pPr>
        <w:pStyle w:val="Style70"/>
        <w:spacing w:before="0" w:after="0"/>
        <w:ind w:firstLine="709"/>
        <w:rPr>
          <w:rFonts w:cs="Symbol"/>
          <w:color w:themeColor="text1" w:val="000000"/>
        </w:rPr>
      </w:pPr>
      <w:r>
        <w:rPr>
          <w:rFonts w:cs="Symbol"/>
          <w:color w:themeColor="text1" w:val="000000"/>
        </w:rPr>
        <w:t xml:space="preserve">Перечни объектов культурного наследия, расположенных на территории городского округа, в табличном виде представлены в приложениях 1-3. </w:t>
      </w:r>
    </w:p>
    <w:p>
      <w:pPr>
        <w:pStyle w:val="Style70"/>
        <w:spacing w:before="0" w:after="0"/>
        <w:ind w:firstLine="709"/>
        <w:rPr>
          <w:rFonts w:cs="Symbol"/>
          <w:color w:themeColor="text1" w:val="000000"/>
        </w:rPr>
      </w:pPr>
      <w:r>
        <w:rPr>
          <w:rFonts w:cs="Symbol"/>
          <w:color w:themeColor="text1" w:val="000000"/>
        </w:rPr>
        <w:t>Перечень объектов культурного наследия и выявленных объектов культурного наследия, по которым утверждены границы территорий, представлен в приложении 4.</w:t>
      </w:r>
    </w:p>
    <w:p>
      <w:pPr>
        <w:pStyle w:val="Style70"/>
        <w:spacing w:before="0" w:after="0"/>
        <w:ind w:firstLine="709"/>
        <w:rPr>
          <w:color w:themeColor="text1" w:val="000000"/>
        </w:rPr>
      </w:pPr>
      <w:r>
        <w:rPr>
          <w:color w:themeColor="text1" w:val="000000"/>
        </w:rPr>
        <w:t>В настоящее время на территории города Калуги действуют объединенные зоны охраны объектов культурного наследия (памятников истории и культуры) народов Российской Федерации, утвержденные приказом управления по охране объектов культурного наследия Калужской области № 140 от 25.12.2024.</w:t>
      </w:r>
    </w:p>
    <w:p>
      <w:pPr>
        <w:pStyle w:val="Style70"/>
        <w:spacing w:before="0" w:after="0"/>
        <w:ind w:firstLine="709"/>
        <w:rPr>
          <w:color w:themeColor="text1" w:val="000000"/>
        </w:rPr>
      </w:pPr>
      <w:r>
        <w:rPr>
          <w:color w:themeColor="text1" w:val="000000"/>
        </w:rPr>
        <w:t>В целом, техническое состояние объектов культурного наследия, находящихся на территории городского округа характеризуется как удовлетворительное – значительное число памятников находится в удовлетворительном состоянии, ведется реставрация отдельных объектов, однако имеются памятники в аварийном состоянии и отдельные утраты.</w:t>
      </w:r>
    </w:p>
    <w:p>
      <w:pPr>
        <w:pStyle w:val="Heading3"/>
        <w:numPr>
          <w:ilvl w:val="2"/>
          <w:numId w:val="2"/>
        </w:numPr>
        <w:spacing w:before="100" w:after="100"/>
        <w:rPr>
          <w:rFonts w:cs="Symbol"/>
          <w:color w:themeColor="text1" w:val="000000"/>
        </w:rPr>
      </w:pPr>
      <w:bookmarkStart w:id="20" w:name="_Toc217312446"/>
      <w:r>
        <w:rPr>
          <w:rFonts w:cs="Symbol"/>
          <w:color w:themeColor="text1" w:val="000000"/>
        </w:rPr>
        <w:t>4.3. Охранные зоны и зоны регулирования застройки</w:t>
      </w:r>
      <w:bookmarkEnd w:id="20"/>
    </w:p>
    <w:p>
      <w:pPr>
        <w:pStyle w:val="Normal"/>
        <w:ind w:firstLine="851"/>
        <w:jc w:val="both"/>
        <w:rPr/>
      </w:pPr>
      <w:r>
        <w:rPr>
          <w:color w:themeColor="text1" w:val="000000"/>
        </w:rPr>
        <w:t xml:space="preserve">В целях одновременного обеспечения сохранности нескольких объектов культурного наследия в их исторической среде на сопряженной с ними территории, в соответствии с пунктами 16 и 20 постановления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в рамках реализации муниципальной </w:t>
      </w:r>
      <w:hyperlink r:id="rId31">
        <w:r>
          <w:rPr>
            <w:color w:themeColor="text1" w:val="000000"/>
          </w:rPr>
          <w:t>программы</w:t>
        </w:r>
      </w:hyperlink>
      <w:r>
        <w:rPr>
          <w:color w:themeColor="text1" w:val="000000"/>
        </w:rPr>
        <w:t xml:space="preserve"> городского округа города Калуги Калужской области «Сохранение историко-архитектурного облика центра города» («Старый город») на 2025-2030 гг., а также социально значимых инвестиционных проектов города Калуги в сферах спорта, культуры и туризма, в связи с принятием управлением по охране объектов культурного наследия Калужской области решений о включении в перечень выявленных объектов культурного наследия объектов, обладающих признаками объектов культурного наследия, и решений о включении выявленных объектов культурного наследия в единый государственный реестр объектов культурного наследия</w:t>
      </w:r>
      <w:bookmarkStart w:id="21" w:name="_GoBack_Копия_1"/>
      <w:bookmarkEnd w:id="21"/>
      <w:r>
        <w:rPr>
          <w:color w:themeColor="text1" w:val="000000"/>
        </w:rPr>
        <w:t xml:space="preserve">, расположенных на территории города Калуги, приказом управления по охране объектов культурного наследия Калужской области от 25.12.2024 № 140 установлена объединенная зона охраны объектов культурного наследия (памятников истории и культуры) народов Российской Федерации, расположенных на территории города Калуги, и утверждены требования к градостроительным регламентам в границах территорий данной зоны. </w:t>
      </w:r>
    </w:p>
    <w:p>
      <w:pPr>
        <w:pStyle w:val="138"/>
        <w:spacing w:before="0" w:after="0"/>
        <w:ind w:firstLine="709" w:left="0"/>
        <w:rPr>
          <w:color w:themeColor="text1" w:val="000000"/>
        </w:rPr>
      </w:pPr>
      <w:r>
        <w:rPr>
          <w:color w:themeColor="text1" w:val="000000"/>
        </w:rPr>
        <w:t>В соответствии с вышеуказанным приказом   установлена объединенная зона охраны объектов культурного наследия (памятников истории и культуры) народов Российской Федерации, расположенных на территории города Калуги, и  утверждены требования к градостроительным регламентам в границах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w:t>
      </w:r>
    </w:p>
    <w:p>
      <w:pPr>
        <w:pStyle w:val="Style70"/>
        <w:spacing w:before="0" w:after="0"/>
        <w:ind w:firstLine="709"/>
        <w:rPr>
          <w:color w:themeColor="text1" w:val="000000"/>
        </w:rPr>
      </w:pPr>
      <w:r>
        <w:rPr>
          <w:color w:themeColor="text1" w:val="000000"/>
        </w:rPr>
        <w:t>Использование территорий в границах зон охраны объектов культурного наследия осуществляется в соответствии с действующими проектами зон охраны объектов культурного наследия (при их наличии).</w:t>
      </w:r>
    </w:p>
    <w:p>
      <w:pPr>
        <w:pStyle w:val="Style70"/>
        <w:spacing w:before="0" w:after="0"/>
        <w:ind w:firstLine="709"/>
        <w:rPr>
          <w:color w:themeColor="text1" w:val="000000"/>
        </w:rPr>
      </w:pPr>
      <w:r>
        <w:rPr>
          <w:color w:themeColor="text1" w:val="000000"/>
        </w:rPr>
        <w:t>Владение, пользование или распоряжение участком, в пределах которого обнаружен объект археологического наследия, осуществляется с соблюдением условий, установленных Федеральным законом от 25 июня 2002 года № 73-ФЗ «Об объектах культурного наследия (памятниках истории и культуры) народов Российской Федерации».</w:t>
      </w:r>
    </w:p>
    <w:p>
      <w:pPr>
        <w:pStyle w:val="Style70"/>
        <w:spacing w:before="0" w:after="0"/>
        <w:ind w:firstLine="709"/>
        <w:rPr>
          <w:color w:themeColor="text1" w:val="000000"/>
        </w:rPr>
      </w:pPr>
      <w:r>
        <w:rPr>
          <w:color w:themeColor="text1" w:val="000000"/>
        </w:rPr>
        <w:t>Все земляные, строительные работы на таких участках ведутся при условии проведения предварительных полномасштабных археологических исследований; работы и иные действия по использованию памятника и земли в пределах зоны его охраны осуществляются в строгом соответствии с требованиями охранного обязательства и содержащимися в нем техническими и иными условиями.</w:t>
      </w:r>
    </w:p>
    <w:p>
      <w:pPr>
        <w:pStyle w:val="Style70"/>
        <w:spacing w:before="0" w:after="0"/>
        <w:ind w:firstLine="709"/>
        <w:rPr>
          <w:color w:themeColor="text1" w:val="000000"/>
        </w:rPr>
      </w:pPr>
      <w:r>
        <w:rPr>
          <w:color w:themeColor="text1" w:val="000000"/>
        </w:rPr>
        <w:t>Требования к градостроительным регламентам в границах объединенной зоны охраны объектов культурного наследия согласно приказу управления по охране объектов культурного наследия Калужской области от 25.12.2024 № 140 «Об установлении объединенной зоны охраны объектов культурного наследия (памятников истории и культуры) народов Российской Федерации, расположенных на территории города Калуги и утверждении требований к градостроительным регламентам в границах территорий данной зоны»:</w:t>
      </w:r>
    </w:p>
    <w:p>
      <w:pPr>
        <w:pStyle w:val="Style70"/>
        <w:spacing w:before="0" w:after="0"/>
        <w:ind w:firstLine="709"/>
        <w:rPr>
          <w:b/>
          <w:color w:themeColor="text1" w:val="000000"/>
        </w:rPr>
      </w:pPr>
      <w:r>
        <w:rPr>
          <w:b/>
          <w:color w:themeColor="text1" w:val="000000"/>
        </w:rPr>
        <w:t>Состав объединенной зоны охраны:</w:t>
      </w:r>
    </w:p>
    <w:p>
      <w:pPr>
        <w:pStyle w:val="Style70"/>
        <w:spacing w:before="0" w:after="0"/>
        <w:ind w:firstLine="709"/>
        <w:rPr/>
      </w:pPr>
      <w:r>
        <w:rPr>
          <w:color w:themeColor="text1" w:val="000000"/>
        </w:rPr>
        <w:t>1) единая охранная зона (индекс зоны ЕОЗ) состоит из одной подзоны (индекс подзоны ЕОЗ-1) включает 28 регламентных участков с индексами ЕОЗ-1(уч.1) – ЕОЗ-1(уч.28).</w:t>
      </w:r>
    </w:p>
    <w:p>
      <w:pPr>
        <w:pStyle w:val="Style70"/>
        <w:spacing w:before="0" w:after="0"/>
        <w:ind w:firstLine="709"/>
        <w:rPr>
          <w:color w:themeColor="text1" w:val="000000"/>
        </w:rPr>
      </w:pPr>
      <w:r>
        <w:rPr>
          <w:color w:themeColor="text1" w:val="000000"/>
        </w:rPr>
        <w:t>2) единая зона регулирования застройки и хозяйственной деятельности (индекс зоны ЕЗРЗ) состоит из пяти подзон:</w:t>
      </w:r>
    </w:p>
    <w:p>
      <w:pPr>
        <w:pStyle w:val="Style70"/>
        <w:spacing w:before="0" w:after="0"/>
        <w:ind w:firstLine="709"/>
        <w:rPr>
          <w:color w:themeColor="text1" w:val="000000"/>
        </w:rPr>
      </w:pPr>
      <w:r>
        <w:rPr>
          <w:color w:themeColor="text1" w:val="000000"/>
        </w:rPr>
        <w:t>2.1) единая зона регулирования застройки и хозяйственной деятельности (индекс подзоны ЕЗРЗ-1) включает 12 регламентных участков с индексами ЕЗРЗ-1 (уч. 1) – ЕЗРЗ-1 (уч. 12);</w:t>
      </w:r>
    </w:p>
    <w:p>
      <w:pPr>
        <w:pStyle w:val="Style70"/>
        <w:spacing w:before="0" w:after="0"/>
        <w:ind w:firstLine="709"/>
        <w:rPr>
          <w:color w:themeColor="text1" w:val="000000"/>
        </w:rPr>
      </w:pPr>
      <w:r>
        <w:rPr>
          <w:color w:themeColor="text1" w:val="000000"/>
        </w:rPr>
        <w:t>2.2) единая зона регулирования застройки и хозяйственной деятельности (индекс подзоны ЕЗРЗ-2) включает 21 регламентный участок с индексами ЕЗРЗ-2 (уч.1) – ЕЗРЗ-2 (уч.21);</w:t>
      </w:r>
    </w:p>
    <w:p>
      <w:pPr>
        <w:pStyle w:val="Style70"/>
        <w:spacing w:before="0" w:after="0"/>
        <w:ind w:firstLine="709"/>
        <w:rPr/>
      </w:pPr>
      <w:r>
        <w:rPr>
          <w:color w:themeColor="text1" w:val="000000"/>
        </w:rPr>
        <w:t>2.3) единая зона регулирования застройки и хозяйственной деятельности (индекс подзоны ЕЗРЗ-3) включает виды ЕЗРЗ-3.1 (включает 30 регламентных участков ЕЗРЗ-3.1 (уч. 1) – ЕЗРЗ-3.1 (уч.30) ЕЗРЗ-3.2 (включает 46 регламентных участков ЕЗРЗ-3.2 (уч.31) – ЕЗРЗ-3.2 (уч.76)) ЕЗРЗ-3.3 (включает 23 регламентных участка ЕЗРЗ-3.3 (уч.77) – ЕЗРЗ-3.3 (уч.99) ЕЗРЗ-3.4 (включает 11 регламентных участков ЕЗРЗ-3.4 (уч. 100) – ЕЗРЗ-3.4 (уч.110) ЕЗРЗ-3.5 (включает 1 регламентный участок ЕЗРЗ-3.5 (уч. 111), ЕЗРЗ-3.6 (включает 1 регламентный участок ЕЗРЗ-3.6 (уч. 112);</w:t>
      </w:r>
    </w:p>
    <w:p>
      <w:pPr>
        <w:pStyle w:val="Style70"/>
        <w:spacing w:before="0" w:after="0"/>
        <w:ind w:firstLine="709"/>
        <w:rPr>
          <w:color w:themeColor="text1" w:val="000000"/>
        </w:rPr>
      </w:pPr>
      <w:r>
        <w:rPr>
          <w:color w:themeColor="text1" w:val="000000"/>
        </w:rPr>
        <w:t>2.4) единая зона регулирования застройки и хозяйственной деятельности (индекс подзоны ЕЗРЗ-4) включает виды ЕЗРЗ-4.1 (включает 17 регламентных участков ЕЗРЗ-4.1 (уч.1) – ЕЗРЗ-4.1 (уч.17), ЕЗРЗ-4.2 (включает 14 регламентных участков ЕЗРЗ-4.2 (уч.18) – ЕЗРЗ-4.2 (уч.31), ЕЗРЗ-4.3 (включает 14 регламентных участков ЕЗРЗ-4.3 (уч.32) – ЕЗРЗ-4.3 (уч.45);</w:t>
      </w:r>
    </w:p>
    <w:p>
      <w:pPr>
        <w:pStyle w:val="Style70"/>
        <w:spacing w:before="0" w:after="0"/>
        <w:ind w:firstLine="709"/>
        <w:rPr>
          <w:color w:themeColor="text1" w:val="000000"/>
        </w:rPr>
      </w:pPr>
      <w:r>
        <w:rPr>
          <w:color w:themeColor="text1" w:val="000000"/>
        </w:rPr>
        <w:t>2.5) единая зона регулирования застройки и хозяйственной деятельности (индекс подзоны ЕЗРЗ-5) включает 3 регламентных участка ЕЗРЗ-5 (уч. 1) – ЕЗРЗ-5 (уч. 3);</w:t>
      </w:r>
    </w:p>
    <w:p>
      <w:pPr>
        <w:pStyle w:val="Style70"/>
        <w:spacing w:before="0" w:after="0"/>
        <w:ind w:firstLine="709"/>
        <w:rPr>
          <w:color w:themeColor="text1" w:val="000000"/>
        </w:rPr>
      </w:pPr>
      <w:r>
        <w:rPr>
          <w:color w:themeColor="text1" w:val="000000"/>
        </w:rPr>
        <w:t>3) единая зона охраняемого природного ландшафта (индекс зоны ЕЗОПЛ), состоит из одной подзоны (индекс подзоны ЕЗОПЛ-1), включает 13 регламентных участков ЕЗОПЛ-1</w:t>
        <w:br/>
        <w:t>(уч. 1) – ЕЗОПЛ-1 (уч. 13).</w:t>
      </w:r>
    </w:p>
    <w:p>
      <w:pPr>
        <w:pStyle w:val="Style70"/>
        <w:spacing w:before="0" w:after="0"/>
        <w:ind w:firstLine="709"/>
        <w:rPr>
          <w:b/>
          <w:color w:themeColor="text1" w:val="000000"/>
        </w:rPr>
      </w:pPr>
      <w:r>
        <w:rPr>
          <w:b/>
          <w:color w:themeColor="text1" w:val="000000"/>
        </w:rPr>
        <w:t>1. Общие положения требований к градостроительным регламентам в границах объединенной зоны охраны.</w:t>
      </w:r>
    </w:p>
    <w:p>
      <w:pPr>
        <w:pStyle w:val="Style70"/>
        <w:spacing w:before="0" w:after="0"/>
        <w:ind w:firstLine="709"/>
        <w:rPr>
          <w:color w:themeColor="text1" w:val="000000"/>
          <w:u w:val="single"/>
        </w:rPr>
      </w:pPr>
      <w:r>
        <w:rPr>
          <w:color w:themeColor="text1" w:val="000000"/>
          <w:u w:val="single"/>
        </w:rPr>
        <w:t>1.1.</w:t>
        <w:tab/>
        <w:t>Запрещается:</w:t>
      </w:r>
    </w:p>
    <w:p>
      <w:pPr>
        <w:pStyle w:val="Style70"/>
        <w:spacing w:before="0" w:after="0"/>
        <w:ind w:firstLine="709"/>
        <w:rPr>
          <w:color w:themeColor="text1" w:val="000000"/>
        </w:rPr>
      </w:pPr>
      <w:r>
        <w:rPr>
          <w:color w:themeColor="text1" w:val="000000"/>
        </w:rPr>
        <w:t>1.1.1. В отношении рекламных конструкций:</w:t>
      </w:r>
    </w:p>
    <w:p>
      <w:pPr>
        <w:pStyle w:val="Style70"/>
        <w:spacing w:before="0" w:after="0"/>
        <w:ind w:firstLine="709"/>
        <w:rPr>
          <w:color w:themeColor="text1" w:val="000000"/>
        </w:rPr>
      </w:pPr>
      <w:r>
        <w:rPr>
          <w:color w:themeColor="text1" w:val="000000"/>
        </w:rPr>
        <w:t>1.1.1.1. Размещение рекламных конструкций на крышах объектов капитального строительства (зданий, строений, сооружений); над открытыми городскими пространствами улиц и площадей; напротив фасадов объектов культурного наследия, выявленных объектов культурного наследия, формирующих территории общего пользования;</w:t>
      </w:r>
    </w:p>
    <w:p>
      <w:pPr>
        <w:pStyle w:val="Style70"/>
        <w:spacing w:before="0" w:after="0"/>
        <w:ind w:firstLine="709"/>
        <w:rPr>
          <w:color w:themeColor="text1" w:val="000000"/>
        </w:rPr>
      </w:pPr>
      <w:r>
        <w:rPr>
          <w:color w:themeColor="text1" w:val="000000"/>
        </w:rPr>
        <w:t>1.1.1.2. Установка рекламных конструкций (информационных световых коробов и планшетов), закрывающих оконные и дверные проемы зданий, строений, сооружений.</w:t>
      </w:r>
    </w:p>
    <w:p>
      <w:pPr>
        <w:pStyle w:val="Style70"/>
        <w:spacing w:before="0" w:after="0"/>
        <w:ind w:firstLine="709"/>
        <w:rPr>
          <w:color w:themeColor="text1" w:val="000000"/>
        </w:rPr>
      </w:pPr>
      <w:r>
        <w:rPr>
          <w:color w:themeColor="text1" w:val="000000"/>
        </w:rPr>
        <w:t>1.1.2. Размещение объектов системы городской ориентирующей информации высотой более 2,5 метров и площадью информационного поля более 1 квадратного метра.</w:t>
      </w:r>
    </w:p>
    <w:p>
      <w:pPr>
        <w:pStyle w:val="Style70"/>
        <w:spacing w:before="0" w:after="0"/>
        <w:ind w:firstLine="709"/>
        <w:rPr>
          <w:color w:themeColor="text1" w:val="000000"/>
        </w:rPr>
      </w:pPr>
      <w:r>
        <w:rPr>
          <w:color w:themeColor="text1" w:val="000000"/>
        </w:rPr>
        <w:t>1.1.3. Размещение указателей расположения туристских ресурсов и социальных объектов шириной более 1,2 метров и высотой более 2 метров.</w:t>
      </w:r>
    </w:p>
    <w:p>
      <w:pPr>
        <w:pStyle w:val="Style70"/>
        <w:spacing w:before="0" w:after="0"/>
        <w:ind w:firstLine="709"/>
        <w:rPr>
          <w:color w:themeColor="text1" w:val="000000"/>
        </w:rPr>
      </w:pPr>
      <w:r>
        <w:rPr>
          <w:color w:themeColor="text1" w:val="000000"/>
        </w:rPr>
        <w:t>1.1.4. Размещение афишных тумб высотой более 2,5 метров.</w:t>
      </w:r>
    </w:p>
    <w:p>
      <w:pPr>
        <w:pStyle w:val="Style70"/>
        <w:spacing w:before="0" w:after="0"/>
        <w:ind w:firstLine="709"/>
        <w:rPr>
          <w:color w:themeColor="text1" w:val="000000"/>
        </w:rPr>
      </w:pPr>
      <w:r>
        <w:rPr>
          <w:color w:themeColor="text1" w:val="000000"/>
        </w:rPr>
        <w:t>1.1.5. Установка инженерного оборудования на фасадах зданий, формирующих территории общего пользования (улицы, площади и проезды), за исключением случаев, когда их установка предусмотрена проектом.</w:t>
      </w:r>
    </w:p>
    <w:p>
      <w:pPr>
        <w:pStyle w:val="Style70"/>
        <w:spacing w:before="0" w:after="0"/>
        <w:ind w:firstLine="709"/>
        <w:rPr>
          <w:color w:themeColor="text1" w:val="000000"/>
        </w:rPr>
      </w:pPr>
      <w:r>
        <w:rPr>
          <w:color w:themeColor="text1" w:val="000000"/>
        </w:rPr>
        <w:t>1.1.6. Установка инженерного оборудования на фасадах объектов культурного наследия, формирующих территории общего пользования (улицы, площади и проезды).</w:t>
      </w:r>
    </w:p>
    <w:p>
      <w:pPr>
        <w:pStyle w:val="Style70"/>
        <w:spacing w:before="0" w:after="0"/>
        <w:ind w:firstLine="709"/>
        <w:rPr>
          <w:color w:themeColor="text1" w:val="000000"/>
        </w:rPr>
      </w:pPr>
      <w:r>
        <w:rPr>
          <w:color w:themeColor="text1" w:val="000000"/>
        </w:rPr>
        <w:t>1.1.7. Установка ограждений из профилированного металлического листа, шифера, бетонных панелей или блоков, пластиковых панелей, пластикового, метало-пластикового, металлического сайдинга, за исключением ограждений, возведенных на время строительства, ремонта или реконструкции объектов капитального строительства.</w:t>
      </w:r>
    </w:p>
    <w:p>
      <w:pPr>
        <w:pStyle w:val="Style70"/>
        <w:spacing w:before="0" w:after="0"/>
        <w:ind w:firstLine="709"/>
        <w:rPr>
          <w:color w:themeColor="text1" w:val="000000"/>
        </w:rPr>
      </w:pPr>
      <w:r>
        <w:rPr>
          <w:color w:themeColor="text1" w:val="000000"/>
        </w:rPr>
        <w:t>1.1.8. Строительство, а также ремонт, реконструкция существующих сетей инженерно-технического обеспечения (водоснабжения, теплоснабжения, газоснабжения, водоотведения) надземным и наземным способом.</w:t>
      </w:r>
    </w:p>
    <w:p>
      <w:pPr>
        <w:pStyle w:val="Style70"/>
        <w:spacing w:before="0" w:after="0"/>
        <w:ind w:firstLine="709"/>
        <w:rPr>
          <w:color w:themeColor="text1" w:val="000000"/>
        </w:rPr>
      </w:pPr>
      <w:r>
        <w:rPr>
          <w:color w:themeColor="text1" w:val="000000"/>
        </w:rPr>
        <w:t>1.1.9. Размещение объектов накопления твердых бытовых отходов (мусорных контейнеров и технических емкостей) ближе чем 50 м от фасадов объектов культурного наследия, выявленных объектов культурного наследия, формирующих территории общего пользования.</w:t>
      </w:r>
    </w:p>
    <w:p>
      <w:pPr>
        <w:pStyle w:val="Style70"/>
        <w:spacing w:before="0" w:after="0"/>
        <w:ind w:firstLine="709"/>
        <w:rPr/>
      </w:pPr>
      <w:r>
        <w:rPr>
          <w:b/>
          <w:color w:themeColor="text1" w:val="000000"/>
        </w:rPr>
        <w:t>2.</w:t>
        <w:tab/>
        <w:t>Требования к градостроительным регламентам в границах единой охранной зоны объектов культурного наследия (индекс подзоны ЕОЗ-1 включает 28 регламентных участков с индексами ЕОЗ-1 (уч.1) - ЕОЗ-1 (уч.28)</w:t>
      </w:r>
    </w:p>
    <w:p>
      <w:pPr>
        <w:pStyle w:val="Style70"/>
        <w:spacing w:before="0" w:after="0"/>
        <w:ind w:firstLine="709"/>
        <w:rPr>
          <w:color w:themeColor="text1" w:val="000000"/>
          <w:u w:val="single"/>
        </w:rPr>
      </w:pPr>
      <w:r>
        <w:rPr>
          <w:color w:themeColor="text1" w:val="000000"/>
          <w:u w:val="single"/>
        </w:rPr>
        <w:t>2.1.</w:t>
        <w:tab/>
        <w:t>Запрещается:</w:t>
      </w:r>
    </w:p>
    <w:p>
      <w:pPr>
        <w:pStyle w:val="Style70"/>
        <w:spacing w:before="0" w:after="0"/>
        <w:ind w:firstLine="709"/>
        <w:rPr>
          <w:color w:themeColor="text1" w:val="000000"/>
        </w:rPr>
      </w:pPr>
      <w:r>
        <w:rPr>
          <w:color w:themeColor="text1" w:val="000000"/>
        </w:rPr>
        <w:t>2.1.1. Изменение планировочной структуры: местоположения улиц, дорог, линий застройки улиц.</w:t>
      </w:r>
    </w:p>
    <w:p>
      <w:pPr>
        <w:pStyle w:val="Style70"/>
        <w:spacing w:before="0" w:after="0"/>
        <w:ind w:firstLine="709"/>
        <w:rPr>
          <w:color w:themeColor="text1" w:val="000000"/>
        </w:rPr>
      </w:pPr>
      <w:r>
        <w:rPr>
          <w:color w:themeColor="text1" w:val="000000"/>
        </w:rPr>
        <w:t>2.1.2. Строительство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объектов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pPr>
        <w:pStyle w:val="Style70"/>
        <w:spacing w:before="0" w:after="0"/>
        <w:ind w:firstLine="709"/>
        <w:rPr>
          <w:color w:themeColor="text1" w:val="000000"/>
        </w:rPr>
      </w:pPr>
      <w:r>
        <w:rPr>
          <w:color w:themeColor="text1" w:val="000000"/>
        </w:rPr>
        <w:t>2.1.3. Реконструкция объектов капитального строительства путем изменения высотных параметров объекта капитального строительства.</w:t>
      </w:r>
    </w:p>
    <w:p>
      <w:pPr>
        <w:pStyle w:val="Style70"/>
        <w:spacing w:before="0" w:after="0"/>
        <w:ind w:firstLine="709"/>
        <w:rPr>
          <w:color w:themeColor="text1" w:val="000000"/>
        </w:rPr>
      </w:pPr>
      <w:r>
        <w:rPr>
          <w:color w:themeColor="text1" w:val="000000"/>
        </w:rPr>
        <w:t>2.1.4. Устройство надземных пешеходных переходов.</w:t>
      </w:r>
    </w:p>
    <w:p>
      <w:pPr>
        <w:pStyle w:val="Style70"/>
        <w:spacing w:before="0" w:after="0"/>
        <w:ind w:firstLine="709"/>
        <w:rPr>
          <w:color w:themeColor="text1" w:val="000000"/>
        </w:rPr>
      </w:pPr>
      <w:r>
        <w:rPr>
          <w:color w:themeColor="text1" w:val="000000"/>
        </w:rPr>
        <w:t>2.1.5. Размещение некапитальных строений, сооружений, в том числе киосков, навесов, павильонов (за исключением остановочных павильонов), перед фасадами объектов культурного наследия, выявленными объектами культурного наследия, формирующими территории общего пользования и линии застройки улицы.</w:t>
      </w:r>
    </w:p>
    <w:p>
      <w:pPr>
        <w:pStyle w:val="Style70"/>
        <w:spacing w:before="0" w:after="0"/>
        <w:ind w:firstLine="709"/>
        <w:rPr>
          <w:color w:themeColor="text1" w:val="000000"/>
        </w:rPr>
      </w:pPr>
      <w:r>
        <w:rPr>
          <w:color w:themeColor="text1" w:val="000000"/>
        </w:rPr>
        <w:t>2.1.6. Строительство стоянок автотранспорта в виде зданий для постоянного хранений автомобилей и других мототранспортных средств (мотоциклов, мотороллеров, мотоколясок, мопедов, прицепов и т.п.).</w:t>
      </w:r>
    </w:p>
    <w:p>
      <w:pPr>
        <w:pStyle w:val="Style70"/>
        <w:spacing w:before="0" w:after="0"/>
        <w:ind w:firstLine="709"/>
        <w:rPr>
          <w:color w:themeColor="text1" w:val="000000"/>
        </w:rPr>
      </w:pPr>
      <w:r>
        <w:rPr>
          <w:color w:themeColor="text1" w:val="000000"/>
        </w:rPr>
        <w:t>2.1.7. Размещение остановочных пунктов маршрутных транспортных средств, за исключением выполненных из светопрозрачных материалов.</w:t>
      </w:r>
    </w:p>
    <w:p>
      <w:pPr>
        <w:pStyle w:val="Style70"/>
        <w:spacing w:before="0" w:after="0"/>
        <w:ind w:firstLine="709"/>
        <w:rPr>
          <w:color w:themeColor="text1" w:val="000000"/>
          <w:u w:val="single"/>
        </w:rPr>
      </w:pPr>
      <w:r>
        <w:rPr>
          <w:color w:themeColor="text1" w:val="000000"/>
          <w:u w:val="single"/>
        </w:rPr>
        <w:t>2.2. Ограничение капитального ремонта и реконструкции объектов капитального строительства, параметров размещения некапитальных строений, сооружений и их частей для подзоны ЕОЗ-1 (уч.1) – ЕОЗ-1 (уч.28):</w:t>
      </w:r>
    </w:p>
    <w:p>
      <w:pPr>
        <w:pStyle w:val="Style70"/>
        <w:spacing w:before="0" w:after="0"/>
        <w:ind w:firstLine="709"/>
        <w:rPr>
          <w:color w:themeColor="text1" w:val="000000"/>
        </w:rPr>
      </w:pPr>
      <w:r>
        <w:rPr>
          <w:color w:themeColor="text1" w:val="000000"/>
        </w:rPr>
        <w:t>2.2.1. По высоте: запрещается увеличение существующих высотных параметров.</w:t>
      </w:r>
    </w:p>
    <w:p>
      <w:pPr>
        <w:pStyle w:val="Style70"/>
        <w:spacing w:before="0" w:after="0"/>
        <w:ind w:firstLine="709"/>
        <w:rPr>
          <w:color w:themeColor="text1" w:val="000000"/>
        </w:rPr>
      </w:pPr>
      <w:r>
        <w:rPr>
          <w:color w:themeColor="text1" w:val="000000"/>
        </w:rPr>
        <w:t>2.2.2. По материалу, фактуре фасадов:</w:t>
      </w:r>
    </w:p>
    <w:p>
      <w:pPr>
        <w:pStyle w:val="Style70"/>
        <w:spacing w:before="0" w:after="0"/>
        <w:ind w:firstLine="709"/>
        <w:rPr>
          <w:color w:themeColor="text1" w:val="000000"/>
        </w:rPr>
      </w:pPr>
      <w:r>
        <w:rPr>
          <w:color w:themeColor="text1" w:val="000000"/>
        </w:rPr>
        <w:t>2.2.2.1. Запрещается устройство сплошного и ленточного остекления фасадов, формирующих территории общего пользования;</w:t>
      </w:r>
    </w:p>
    <w:p>
      <w:pPr>
        <w:pStyle w:val="Style70"/>
        <w:spacing w:before="0" w:after="0"/>
        <w:ind w:firstLine="709"/>
        <w:rPr>
          <w:color w:themeColor="text1" w:val="000000"/>
        </w:rPr>
      </w:pPr>
      <w:r>
        <w:rPr>
          <w:color w:themeColor="text1" w:val="000000"/>
        </w:rPr>
        <w:t>2.2.2.2. Запрещается применение вентилируемых фасадов, сайдинга, пластика, композитных панелей, а также материалов и технологий отделки фасадов, не предусматривающих последующее оштукатуривание и окрашивание в соответствии с разрешенным цветовым решением (за исключением лицевого кирпича);</w:t>
      </w:r>
    </w:p>
    <w:p>
      <w:pPr>
        <w:pStyle w:val="Style70"/>
        <w:spacing w:before="0" w:after="0"/>
        <w:ind w:firstLine="709"/>
        <w:rPr>
          <w:color w:themeColor="text1" w:val="000000"/>
        </w:rPr>
      </w:pPr>
      <w:r>
        <w:rPr>
          <w:color w:themeColor="text1" w:val="000000"/>
        </w:rPr>
        <w:t>2.2.2.3. Запрещается остекление и обшивка балконов и лоджий на уличных фасадах зданий, если это не предусмотрено проектом реконструкции;</w:t>
      </w:r>
    </w:p>
    <w:p>
      <w:pPr>
        <w:pStyle w:val="Style70"/>
        <w:spacing w:before="0" w:after="0"/>
        <w:ind w:firstLine="709"/>
        <w:rPr>
          <w:color w:themeColor="text1" w:val="000000"/>
        </w:rPr>
      </w:pPr>
      <w:r>
        <w:rPr>
          <w:color w:themeColor="text1" w:val="000000"/>
        </w:rPr>
        <w:t>2.2.2.4. Запрещается применение в остеклении оконных проемов светопрозрачного стекла с зеркальным эффектом, если это не предусмотрено проектом.</w:t>
      </w:r>
    </w:p>
    <w:p>
      <w:pPr>
        <w:pStyle w:val="Style70"/>
        <w:spacing w:before="0" w:after="0"/>
        <w:ind w:firstLine="709"/>
        <w:rPr>
          <w:color w:themeColor="text1" w:val="000000"/>
        </w:rPr>
      </w:pPr>
      <w:r>
        <w:rPr>
          <w:color w:themeColor="text1" w:val="000000"/>
        </w:rPr>
        <w:t>2.2.3. По форме крыши: запрещается устройство односкатных, плоских крыш, крыш ломаной формы на зданиях, формирующих территории общего пользования; с углом наклона более 30 градусов; башен, шпилей.</w:t>
      </w:r>
    </w:p>
    <w:p>
      <w:pPr>
        <w:pStyle w:val="Style70"/>
        <w:spacing w:before="0" w:after="0"/>
        <w:ind w:firstLine="709"/>
        <w:rPr>
          <w:color w:themeColor="text1" w:val="000000"/>
        </w:rPr>
      </w:pPr>
      <w:r>
        <w:rPr>
          <w:color w:themeColor="text1" w:val="000000"/>
        </w:rPr>
        <w:t>2.2.4. По материалу и цветовому решению кровель: запрещается применение материалов со свойствами светоотражения и световозвращения, материалов с покрытием из нитрида титана, зеркальные поверхности, металлочерепицы, керамической черепицы.</w:t>
      </w:r>
    </w:p>
    <w:p>
      <w:pPr>
        <w:pStyle w:val="Style70"/>
        <w:spacing w:before="0" w:after="0"/>
        <w:ind w:firstLine="709"/>
        <w:rPr>
          <w:color w:themeColor="text1" w:val="000000"/>
        </w:rPr>
      </w:pPr>
      <w:r>
        <w:rPr>
          <w:color w:themeColor="text1" w:val="000000"/>
        </w:rPr>
        <w:t>2.2.5. Требования к отделке фасадов, решениям по кровле и цветовым решениям в границах единой охранной зоны объектов культурного наследия для подзоны ЕОЗ-1 (уч.1) – ЕОЗ-1 (уч.28):</w:t>
      </w:r>
    </w:p>
    <w:p>
      <w:pPr>
        <w:pStyle w:val="Style70"/>
        <w:spacing w:before="0" w:after="0"/>
        <w:ind w:firstLine="709"/>
        <w:rPr>
          <w:color w:themeColor="text1" w:val="000000"/>
        </w:rPr>
      </w:pPr>
      <w:r>
        <w:rPr>
          <w:color w:themeColor="text1" w:val="000000"/>
        </w:rPr>
        <w:t>2.2.5.1. По материалу и фактуре (отделке) фасадов: разрешается применять в отделке фасадов зданий – лицевой керамический кирпич, дерево (открытый сруб, обшивка деревянной рейкой в разных направлениях), штукатурка, окраска, натуральный камень в цокольной части здания;</w:t>
      </w:r>
    </w:p>
    <w:p>
      <w:pPr>
        <w:pStyle w:val="Style70"/>
        <w:spacing w:before="0" w:after="0"/>
        <w:ind w:firstLine="709"/>
        <w:rPr>
          <w:color w:themeColor="text1" w:val="000000"/>
        </w:rPr>
      </w:pPr>
      <w:r>
        <w:rPr>
          <w:color w:themeColor="text1" w:val="000000"/>
        </w:rPr>
        <w:t>2.2.5.2. По пластике уличных фасадов: фасады зданий, формирующих территории общего пользования, могут иметь ризалиты, раскреповки, трехчастное строение по вертикали (цоколь, основное поле, венчающий карниз); в оформлении фасадов могут быть использованы: фронтоны различной формы, карнизы, профилированные тяги, лопатки, пилястры, балконы; общая площадь остекления фасадов не более 60 % от площади фасада здания;</w:t>
      </w:r>
    </w:p>
    <w:p>
      <w:pPr>
        <w:pStyle w:val="Style70"/>
        <w:spacing w:before="0" w:after="0"/>
        <w:ind w:firstLine="709"/>
        <w:rPr>
          <w:color w:themeColor="text1" w:val="000000"/>
        </w:rPr>
      </w:pPr>
      <w:r>
        <w:rPr>
          <w:color w:themeColor="text1" w:val="000000"/>
        </w:rPr>
        <w:t>2.2.5.3. По цветовому решению разрешается: для фасадов зданий применение цветовой гаммы белого, бежевого, серого, голубого и их оттенков; неяркие оттенки желтого, розового, зеленого, синего, терракотового цветов; для деталей фасадов зданий: применение цветовой гаммы белого, серого, желтого, голубого цветов и их оттенков; для кровель – применение цветовой гаммы для плоских кровель: черного, коричневого, зеленого, серого цветов и их оттенков; для скатных кровель: коричневого, зеленого, серого цветов и их оттенков.</w:t>
      </w:r>
    </w:p>
    <w:p>
      <w:pPr>
        <w:pStyle w:val="Style70"/>
        <w:spacing w:before="0" w:after="0"/>
        <w:ind w:firstLine="709"/>
        <w:rPr>
          <w:b/>
          <w:color w:themeColor="text1" w:val="000000"/>
        </w:rPr>
      </w:pPr>
      <w:r>
        <w:rPr>
          <w:b/>
          <w:color w:themeColor="text1" w:val="000000"/>
        </w:rPr>
        <w:t>3. Требования к градостроительным регламентам в границах единой зоны регулирования застройки и хозяйственной деятельности (индекс подзоны ЕЗРЗ-1) включает 12 регламентных участков с индексами ЕЗРЗ-1 (уч. 1) - ЕЗРЗ-1 (уч. 12).</w:t>
      </w:r>
    </w:p>
    <w:p>
      <w:pPr>
        <w:pStyle w:val="Style70"/>
        <w:spacing w:before="0" w:after="0"/>
        <w:ind w:firstLine="709"/>
        <w:rPr>
          <w:color w:themeColor="text1" w:val="000000"/>
          <w:u w:val="single"/>
        </w:rPr>
      </w:pPr>
      <w:r>
        <w:rPr>
          <w:color w:themeColor="text1" w:val="000000"/>
          <w:u w:val="single"/>
        </w:rPr>
        <w:t>3.1. Запрещается:</w:t>
      </w:r>
    </w:p>
    <w:p>
      <w:pPr>
        <w:pStyle w:val="Style70"/>
        <w:spacing w:before="0" w:after="0"/>
        <w:ind w:firstLine="709"/>
        <w:rPr>
          <w:color w:themeColor="text1" w:val="000000"/>
        </w:rPr>
      </w:pPr>
      <w:r>
        <w:rPr>
          <w:color w:themeColor="text1" w:val="000000"/>
        </w:rPr>
        <w:t>3.1.1. Строительство объектов капитального строительства, за исключением: связанных с благоустройством парков, скверов, бульваров, набережной; внеуличного транспорта (подвесная канатная дорога транспортная, фуникулер транспортный), объектов культурно-досуговой деятельности, объектов отдыха (рекреации), объектов общественного питания, объектов для развлекательных мероприятий, объектов для предоставления коммунальных услуг; на участке ЕЗРЗ-1.12: плоскостных, спортивных сооружений; набережной с возможностью проезда; причалов, причальных стенок, мостов; дорожек, проездов, лестниц, подпорных стенок; объектов коммунальной инфраструктуры.</w:t>
      </w:r>
    </w:p>
    <w:p>
      <w:pPr>
        <w:pStyle w:val="Style70"/>
        <w:spacing w:before="0" w:after="0"/>
        <w:ind w:firstLine="709"/>
        <w:rPr>
          <w:color w:themeColor="text1" w:val="000000"/>
        </w:rPr>
      </w:pPr>
      <w:r>
        <w:rPr>
          <w:color w:themeColor="text1" w:val="000000"/>
        </w:rPr>
        <w:t>3.1.2. Вырубка деревьев, за исключением санитарных и реконструктивных рубок.</w:t>
      </w:r>
    </w:p>
    <w:p>
      <w:pPr>
        <w:pStyle w:val="Style70"/>
        <w:spacing w:before="0" w:after="0"/>
        <w:ind w:firstLine="709"/>
        <w:rPr>
          <w:color w:themeColor="text1" w:val="000000"/>
        </w:rPr>
      </w:pPr>
      <w:r>
        <w:rPr>
          <w:color w:themeColor="text1" w:val="000000"/>
        </w:rPr>
        <w:t>3.1.3. Постоянное (длительное) хранение автомобилей и других мототранспортных средств (мотоциклов, мотороллеров, мотоколясок, мопедов, прицепов и т.п.) на стоянках автотранспорта.</w:t>
      </w:r>
    </w:p>
    <w:p>
      <w:pPr>
        <w:pStyle w:val="Style70"/>
        <w:spacing w:before="0" w:after="0"/>
        <w:ind w:firstLine="709"/>
        <w:rPr>
          <w:color w:themeColor="text1" w:val="000000"/>
        </w:rPr>
      </w:pPr>
      <w:r>
        <w:rPr>
          <w:color w:themeColor="text1" w:val="000000"/>
        </w:rPr>
        <w:t>3.1.4. Размещение глэмпингов, кемпингов.</w:t>
      </w:r>
    </w:p>
    <w:p>
      <w:pPr>
        <w:pStyle w:val="Style70"/>
        <w:spacing w:before="0" w:after="0"/>
        <w:ind w:firstLine="709"/>
        <w:rPr>
          <w:color w:themeColor="text1" w:val="000000"/>
        </w:rPr>
      </w:pPr>
      <w:r>
        <w:rPr>
          <w:color w:themeColor="text1" w:val="000000"/>
        </w:rPr>
        <w:t>3.1.5. Устройство крыш ломаной формы, башен, шпилей.</w:t>
      </w:r>
    </w:p>
    <w:p>
      <w:pPr>
        <w:pStyle w:val="Style70"/>
        <w:spacing w:before="0" w:after="0"/>
        <w:ind w:firstLine="709"/>
        <w:rPr>
          <w:color w:themeColor="text1" w:val="000000"/>
          <w:u w:val="single"/>
        </w:rPr>
      </w:pPr>
      <w:r>
        <w:rPr>
          <w:color w:themeColor="text1" w:val="000000"/>
          <w:u w:val="single"/>
        </w:rPr>
        <w:t>3.2. Ограничения строительства, капитального ремонта и реконструкции объектов капитального строительства, строений и сооружений, и их частей для подзоны ЕЗРЗ-1 (уч. 1) – ЕЗРЗ-1 (уч. 11):</w:t>
      </w:r>
    </w:p>
    <w:p>
      <w:pPr>
        <w:pStyle w:val="Style70"/>
        <w:spacing w:before="0" w:after="0"/>
        <w:ind w:firstLine="709"/>
        <w:rPr>
          <w:color w:themeColor="text1" w:val="000000"/>
        </w:rPr>
      </w:pPr>
      <w:r>
        <w:rPr>
          <w:color w:themeColor="text1" w:val="000000"/>
        </w:rPr>
        <w:t>3.2.1. По высоте: разрешается строительство и реконструкция объектов капитального строительства и их частей высотой до 10,0 метров, измеряемой в границах конфигурации здания по вертикали от средней планировочной отметки земли до максимально выступающей конструкции крыши или фасада здания при плоском решении кровли.</w:t>
      </w:r>
    </w:p>
    <w:p>
      <w:pPr>
        <w:pStyle w:val="Style70"/>
        <w:spacing w:before="0" w:after="0"/>
        <w:ind w:firstLine="709"/>
        <w:rPr>
          <w:color w:themeColor="text1" w:val="000000"/>
        </w:rPr>
      </w:pPr>
      <w:r>
        <w:rPr>
          <w:color w:themeColor="text1" w:val="000000"/>
        </w:rPr>
        <w:t>Для подзоны ЕЗРЗ-1 (уч. 12) высота опор внеуличного транспорта определяется проектом в соответствии с техническими регламентами.</w:t>
      </w:r>
    </w:p>
    <w:p>
      <w:pPr>
        <w:pStyle w:val="Style70"/>
        <w:spacing w:before="0" w:after="0"/>
        <w:ind w:firstLine="709"/>
        <w:rPr>
          <w:color w:themeColor="text1" w:val="000000"/>
        </w:rPr>
      </w:pPr>
      <w:r>
        <w:rPr>
          <w:color w:themeColor="text1" w:val="000000"/>
        </w:rPr>
        <w:t xml:space="preserve">3.2.2. По цветовому решению разрешается: </w:t>
      </w:r>
      <w:r>
        <w:rPr>
          <w:color w:themeColor="text1" w:val="000000"/>
          <w:u w:val="single"/>
        </w:rPr>
        <w:t>для фасадов зданий</w:t>
      </w:r>
      <w:r>
        <w:rPr>
          <w:color w:themeColor="text1" w:val="000000"/>
        </w:rPr>
        <w:t xml:space="preserve"> применение цветовой гаммы белого, бежевого, серого, голубого и их оттенков; неяркие оттенки желтого, розового, зеленого, синего, терракотового цветов; </w:t>
      </w:r>
      <w:r>
        <w:rPr>
          <w:color w:themeColor="text1" w:val="000000"/>
          <w:u w:val="single"/>
        </w:rPr>
        <w:t>для деталей фасадов зданий:</w:t>
      </w:r>
      <w:r>
        <w:rPr>
          <w:color w:themeColor="text1" w:val="000000"/>
        </w:rPr>
        <w:t xml:space="preserve"> применение цветовой гаммы белого, серого, желтого, голубого цветов и их оттенков; </w:t>
      </w:r>
      <w:r>
        <w:rPr>
          <w:color w:themeColor="text1" w:val="000000"/>
          <w:u w:val="single"/>
        </w:rPr>
        <w:t>для кровель</w:t>
      </w:r>
      <w:r>
        <w:rPr>
          <w:color w:themeColor="text1" w:val="000000"/>
        </w:rPr>
        <w:t xml:space="preserve"> – применение цветовой гаммы для плоских кровель: черного, коричневого, зеленого, серого цветов и их оттенков; для скатных кровель: коричневого, зеленого, серого цветов и их оттенков.</w:t>
      </w:r>
    </w:p>
    <w:p>
      <w:pPr>
        <w:pStyle w:val="Style70"/>
        <w:spacing w:before="0" w:after="0"/>
        <w:ind w:firstLine="709"/>
        <w:rPr>
          <w:b/>
          <w:color w:themeColor="text1" w:val="000000"/>
        </w:rPr>
      </w:pPr>
      <w:r>
        <w:rPr>
          <w:b/>
          <w:color w:themeColor="text1" w:val="000000"/>
        </w:rPr>
        <w:t>4. Требования к градостроительным регламентам в границах единой зоны регулирования застройки и хозяйственной деятельности (индекс подзоны ЕЗРЗ-2 включает 21 регламентный участок с индексами ЕЗРЗ-2 (уч.1) – ЕЗРЗ-2 (уч.21).</w:t>
      </w:r>
    </w:p>
    <w:p>
      <w:pPr>
        <w:pStyle w:val="Style70"/>
        <w:spacing w:before="0" w:after="0"/>
        <w:ind w:firstLine="709"/>
        <w:rPr>
          <w:color w:themeColor="text1" w:val="000000"/>
          <w:u w:val="single"/>
        </w:rPr>
      </w:pPr>
      <w:r>
        <w:rPr>
          <w:color w:themeColor="text1" w:val="000000"/>
          <w:u w:val="single"/>
        </w:rPr>
        <w:t>4.1. Запрещается:</w:t>
      </w:r>
    </w:p>
    <w:p>
      <w:pPr>
        <w:pStyle w:val="Style70"/>
        <w:spacing w:before="0" w:after="0"/>
        <w:ind w:firstLine="709"/>
        <w:rPr>
          <w:color w:themeColor="text1" w:val="000000"/>
        </w:rPr>
      </w:pPr>
      <w:r>
        <w:rPr>
          <w:color w:themeColor="text1" w:val="000000"/>
        </w:rPr>
        <w:t>4.1.1. Размещение некапитальных строений, сооружений, хозяйственных построек (сараи, бани, теплицы, навесы), гаражей, киосков, павильонов (за исключением остановочных павильонов), навесов перед фасадами объектов культурного наследия, выявленными объектами культурного наследия, формирующими территории общего пользования.</w:t>
      </w:r>
    </w:p>
    <w:p>
      <w:pPr>
        <w:pStyle w:val="Style70"/>
        <w:spacing w:before="0" w:after="0"/>
        <w:ind w:firstLine="709"/>
        <w:rPr>
          <w:color w:themeColor="text1" w:val="000000"/>
        </w:rPr>
      </w:pPr>
      <w:r>
        <w:rPr>
          <w:color w:themeColor="text1" w:val="000000"/>
        </w:rPr>
        <w:t>4.1.2. Устройство надземных пешеходных переходов.</w:t>
      </w:r>
    </w:p>
    <w:p>
      <w:pPr>
        <w:pStyle w:val="Style70"/>
        <w:spacing w:before="0" w:after="0"/>
        <w:ind w:firstLine="709"/>
        <w:rPr>
          <w:color w:themeColor="text1" w:val="000000"/>
        </w:rPr>
      </w:pPr>
      <w:r>
        <w:rPr>
          <w:color w:themeColor="text1" w:val="000000"/>
        </w:rPr>
        <w:t>4.1.3. Остекление и обшивка балконов и лоджий на уличных фасадах зданий, если это не предусмотрено проектом реконструкции.</w:t>
      </w:r>
    </w:p>
    <w:p>
      <w:pPr>
        <w:pStyle w:val="Style70"/>
        <w:spacing w:before="0" w:after="0"/>
        <w:ind w:firstLine="709"/>
        <w:rPr>
          <w:color w:themeColor="text1" w:val="000000"/>
        </w:rPr>
      </w:pPr>
      <w:r>
        <w:rPr>
          <w:color w:themeColor="text1" w:val="000000"/>
        </w:rPr>
        <w:t>4.1.4. Устройство сплошного и ленточного остекления фасадов, формирующих территории общего пользования; применение вентилируемых фасадов, сайдинга, пластика, композитных панелей, а также материалов и технологий отделки фасадов, не предусматривающих последующее оштукатуривание и окрашивание в соответствии с разрешенным цветовым решением (за исключением лицевого кирпича).</w:t>
      </w:r>
    </w:p>
    <w:p>
      <w:pPr>
        <w:pStyle w:val="Style70"/>
        <w:spacing w:before="0" w:after="0"/>
        <w:ind w:firstLine="709"/>
        <w:rPr>
          <w:color w:themeColor="text1" w:val="000000"/>
        </w:rPr>
      </w:pPr>
      <w:r>
        <w:rPr>
          <w:color w:themeColor="text1" w:val="000000"/>
        </w:rPr>
        <w:t>4.1.5. Устройство односкатных, плоских крыш, крыш ломаной формы на зданиях, формирующих уличный фронт застройки; с углом наклона более 30 градусов, башен, шпилей.</w:t>
      </w:r>
    </w:p>
    <w:p>
      <w:pPr>
        <w:pStyle w:val="Style70"/>
        <w:spacing w:before="0" w:after="0"/>
        <w:ind w:firstLine="709"/>
        <w:rPr>
          <w:color w:themeColor="text1" w:val="000000"/>
        </w:rPr>
      </w:pPr>
      <w:r>
        <w:rPr>
          <w:color w:themeColor="text1" w:val="000000"/>
        </w:rPr>
        <w:t>4.1.6. Использование в отделке фасадов материалов со свойствами светоотражения и световозвращения, материалы с покрытием из нитрида титана, зеркальные поверхности, металлочерепица, керамическая черепица.</w:t>
      </w:r>
    </w:p>
    <w:p>
      <w:pPr>
        <w:pStyle w:val="Style70"/>
        <w:spacing w:before="0" w:after="0"/>
        <w:ind w:firstLine="709"/>
        <w:rPr>
          <w:color w:themeColor="text1" w:val="000000"/>
        </w:rPr>
      </w:pPr>
      <w:r>
        <w:rPr>
          <w:color w:themeColor="text1" w:val="000000"/>
        </w:rPr>
        <w:t>4.1.7. Размещение остановочных пунктов маршрутных транспортных средств, за исключением выполненных из светопрозрачных материалов.</w:t>
      </w:r>
    </w:p>
    <w:p>
      <w:pPr>
        <w:pStyle w:val="Style70"/>
        <w:spacing w:before="0" w:after="0"/>
        <w:ind w:firstLine="709"/>
        <w:rPr>
          <w:color w:themeColor="text1" w:val="000000"/>
          <w:u w:val="single"/>
        </w:rPr>
      </w:pPr>
      <w:r>
        <w:rPr>
          <w:color w:themeColor="text1" w:val="000000"/>
          <w:u w:val="single"/>
        </w:rPr>
        <w:t>4.2. Ограничения строительства, капитального ремонта и реконструкции объектов капитального строительства и их частей для подзоны ЕЗРЗ-2 (уч.1) – ЕЗРЗ-2 (уч.21):</w:t>
      </w:r>
    </w:p>
    <w:p>
      <w:pPr>
        <w:pStyle w:val="Style70"/>
        <w:spacing w:before="0" w:after="0"/>
        <w:ind w:firstLine="709"/>
        <w:rPr>
          <w:color w:themeColor="text1" w:val="000000"/>
        </w:rPr>
      </w:pPr>
      <w:r>
        <w:rPr>
          <w:color w:themeColor="text1" w:val="000000"/>
        </w:rPr>
        <w:t>4.2.1. По расположению в квартале:</w:t>
      </w:r>
    </w:p>
    <w:p>
      <w:pPr>
        <w:pStyle w:val="Style70"/>
        <w:spacing w:before="0" w:after="0"/>
        <w:ind w:firstLine="709"/>
        <w:rPr>
          <w:color w:themeColor="text1" w:val="000000"/>
        </w:rPr>
      </w:pPr>
      <w:r>
        <w:rPr>
          <w:color w:themeColor="text1" w:val="000000"/>
        </w:rPr>
        <w:t>4.2.1.1. Объекты капитального строительства должны формировать линии застройки улиц, сохраняя периметральный характер застройки кварталов.</w:t>
      </w:r>
    </w:p>
    <w:p>
      <w:pPr>
        <w:pStyle w:val="Style70"/>
        <w:spacing w:before="0" w:after="0"/>
        <w:ind w:firstLine="709"/>
        <w:rPr>
          <w:color w:themeColor="text1" w:val="000000"/>
        </w:rPr>
      </w:pPr>
      <w:r>
        <w:rPr>
          <w:color w:themeColor="text1" w:val="000000"/>
        </w:rPr>
        <w:t>4.2.1.2. Разрешается строительство зданий на внутриквартальной территории.</w:t>
      </w:r>
    </w:p>
    <w:p>
      <w:pPr>
        <w:pStyle w:val="Style70"/>
        <w:spacing w:before="0" w:after="0"/>
        <w:ind w:firstLine="709"/>
        <w:rPr>
          <w:color w:themeColor="text1" w:val="000000"/>
        </w:rPr>
      </w:pPr>
      <w:r>
        <w:rPr>
          <w:color w:themeColor="text1" w:val="000000"/>
        </w:rPr>
        <w:t>4.2.2. По высоте:</w:t>
      </w:r>
    </w:p>
    <w:p>
      <w:pPr>
        <w:pStyle w:val="Style70"/>
        <w:spacing w:before="0" w:after="0"/>
        <w:ind w:firstLine="709"/>
        <w:rPr>
          <w:color w:themeColor="text1" w:val="000000"/>
        </w:rPr>
      </w:pPr>
      <w:r>
        <w:rPr>
          <w:color w:themeColor="text1" w:val="000000"/>
        </w:rPr>
        <w:t>4.2.2.1. Разрешается строительство и реконструкция объектов капитального строительства и их частей высотой до 12,0 метров, измеряемой в границах конфигурации здания по вертикали от средней планировочной отметки земли до максимально выступающей конструкции крыши здания.</w:t>
      </w:r>
    </w:p>
    <w:p>
      <w:pPr>
        <w:pStyle w:val="Style70"/>
        <w:spacing w:before="0" w:after="0"/>
        <w:ind w:firstLine="709"/>
        <w:rPr>
          <w:color w:themeColor="text1" w:val="000000"/>
        </w:rPr>
      </w:pPr>
      <w:r>
        <w:rPr>
          <w:color w:themeColor="text1" w:val="000000"/>
        </w:rPr>
        <w:t>4.2.2.2. В случае перепада отметок рельефа (земли) в границах конфигурации здания более 3,0 метров допустимо увеличение высоты здания в месте наибольшего перепада рельефа (земли) до 15 метров.</w:t>
      </w:r>
    </w:p>
    <w:p>
      <w:pPr>
        <w:pStyle w:val="Style70"/>
        <w:spacing w:before="0" w:after="0"/>
        <w:ind w:firstLine="709"/>
        <w:rPr>
          <w:color w:themeColor="text1" w:val="000000"/>
        </w:rPr>
      </w:pPr>
      <w:r>
        <w:rPr>
          <w:color w:themeColor="text1" w:val="000000"/>
        </w:rPr>
        <w:t>4.2.2.3. Разрешается строительство и реконструкция объектов капитального строительства и их частей высотой до 15 метров при условии размещения их на внутриквартальной территории.</w:t>
      </w:r>
    </w:p>
    <w:p>
      <w:pPr>
        <w:pStyle w:val="Style70"/>
        <w:spacing w:before="0" w:after="0"/>
        <w:ind w:firstLine="709"/>
        <w:rPr>
          <w:color w:themeColor="text1" w:val="000000"/>
        </w:rPr>
      </w:pPr>
      <w:r>
        <w:rPr>
          <w:color w:themeColor="text1" w:val="000000"/>
        </w:rPr>
        <w:t>4.2.3. Протяженность (уличных) фасадов зданий, формирующих территории общего пользования: до 25 м.</w:t>
      </w:r>
    </w:p>
    <w:p>
      <w:pPr>
        <w:pStyle w:val="Style70"/>
        <w:spacing w:before="0" w:after="0"/>
        <w:ind w:firstLine="709"/>
        <w:rPr>
          <w:color w:themeColor="text1" w:val="000000"/>
        </w:rPr>
      </w:pPr>
      <w:r>
        <w:rPr>
          <w:color w:themeColor="text1" w:val="000000"/>
        </w:rPr>
        <w:t>4.2.4. По пластике фасадов зданий, формирующих территории общего пользования: с использованием вариантов сочетания следующих элементов: выступы, ризалиты, раскреповки, трехчастное строение по вертикали (цоколь, основное поле, венчающий карниз); фронтоны различной формы, карнизы, профилированные тяги, лопатки, пилястры; общая площадь остекления фасадов не более 60 % от площади фасада здания.</w:t>
      </w:r>
    </w:p>
    <w:p>
      <w:pPr>
        <w:pStyle w:val="Style70"/>
        <w:spacing w:before="0" w:after="0"/>
        <w:ind w:firstLine="709"/>
        <w:rPr>
          <w:color w:themeColor="text1" w:val="000000"/>
        </w:rPr>
      </w:pPr>
      <w:r>
        <w:rPr>
          <w:color w:themeColor="text1" w:val="000000"/>
        </w:rPr>
        <w:t>4.2.5. По материалу и фактуре (отделке) фасадов зданий, строений, сооружений: разрешается лицевой керамический кирпич, дерево (открытый сруб, обшивка деревянной рейкой в разных направлениях), штукатурка, окраска, натуральный камень в цокольной части здания.</w:t>
      </w:r>
    </w:p>
    <w:p>
      <w:pPr>
        <w:pStyle w:val="Style70"/>
        <w:spacing w:before="0" w:after="0"/>
        <w:ind w:firstLine="709"/>
        <w:rPr>
          <w:color w:themeColor="text1" w:val="000000"/>
        </w:rPr>
      </w:pPr>
      <w:r>
        <w:rPr>
          <w:color w:themeColor="text1" w:val="000000"/>
        </w:rPr>
        <w:t>4.2.6. По цветовому решению разрешается: для фасадов зданий применение цветовой гаммы белого, бежевого, серого, голубого и их оттенков; неяркие оттенки желтого, розового, зеленого, синего, терракотового цветов; для деталей фасадов зданий: применение цветовой гаммы белого, серого, желтого, голубого цветов и их оттенков; для кровель – применение цветовой гаммы для плоских кровель: черного, коричневого, зеленого, серого цветов и их оттенков; для скатных кровель: коричневого, зеленого, серого цветов и их оттенков.</w:t>
      </w:r>
    </w:p>
    <w:p>
      <w:pPr>
        <w:pStyle w:val="Style70"/>
        <w:spacing w:before="0" w:after="0"/>
        <w:ind w:firstLine="709"/>
        <w:rPr>
          <w:b/>
          <w:color w:themeColor="text1" w:val="000000"/>
        </w:rPr>
      </w:pPr>
      <w:r>
        <w:rPr>
          <w:b/>
          <w:color w:themeColor="text1" w:val="000000"/>
        </w:rPr>
        <w:t>5. Требования к градостроительным регламентам в границах единой зоны регулирования застройки и хозяйственной деятельности (индекс подзоны ЕЗРЗ-3) включает виды ЕЗРЗ-3.1 (включает 30 регламентных участков ЕЗРЗ-3.1 (уч. 1)</w:t>
        <w:tab/>
        <w:t>- ЕЗРЗ-3.1 (уч.30) ЕЗРЗ-3.2 (включает 46 регламентных участков ЕЗРЗ-3.2 (уч.31) - ЕЗРЗ-3.2 (уч.76), ЕЗРЗ-3.3 (включает 23 регламентных участка ЕЗРЗ-3.3 (уч.77) - ЕЗРЗ-3.3 (уч.99), ЕЗРЗ-3.4 (включает 11 регламентных участков ЕЗРЗ-3.4 (уч. 100) - ЕЗРЗ-3.4 (уч.110), ЕЗРЗ-3.5 (включает 1 регламентный участок ЕЗРЗ-3.5 (уч. 111), ЕЗРЗ-3.6 (включает 1 регламентный участок ЕЗРЗ-3.6 (уч. 112).</w:t>
      </w:r>
    </w:p>
    <w:p>
      <w:pPr>
        <w:pStyle w:val="Style70"/>
        <w:spacing w:before="0" w:after="0"/>
        <w:ind w:firstLine="709"/>
        <w:rPr>
          <w:color w:themeColor="text1" w:val="000000"/>
          <w:u w:val="single"/>
        </w:rPr>
      </w:pPr>
      <w:r>
        <w:rPr>
          <w:color w:themeColor="text1" w:val="000000"/>
          <w:u w:val="single"/>
        </w:rPr>
        <w:t>5.1. Запрещается:</w:t>
      </w:r>
    </w:p>
    <w:p>
      <w:pPr>
        <w:pStyle w:val="Style70"/>
        <w:spacing w:before="0" w:after="0"/>
        <w:ind w:firstLine="709"/>
        <w:rPr>
          <w:color w:themeColor="text1" w:val="000000"/>
        </w:rPr>
      </w:pPr>
      <w:r>
        <w:rPr>
          <w:color w:themeColor="text1" w:val="000000"/>
        </w:rPr>
        <w:t>5.1.1. Размещение некапитальных строений, сооружений в том числе киосков, навесов, павильонов (за исключением остановочных павильонов), навесов перед фасадами объектов культурного наследия, выявленными объектами культурного наследия, формирующими территории общего пользования и линии застройки улицы.</w:t>
      </w:r>
    </w:p>
    <w:p>
      <w:pPr>
        <w:pStyle w:val="Style70"/>
        <w:spacing w:before="0" w:after="0"/>
        <w:ind w:firstLine="709"/>
        <w:rPr>
          <w:color w:themeColor="text1" w:val="000000"/>
        </w:rPr>
      </w:pPr>
      <w:r>
        <w:rPr>
          <w:color w:themeColor="text1" w:val="000000"/>
        </w:rPr>
        <w:t>5.1.2. Остекление и обшивка листовыми материалами балконов и лоджий на фасадах зданий, за исключением предусмотренных проектом или общим решением реконструкции здания и (или) фасада.</w:t>
      </w:r>
    </w:p>
    <w:p>
      <w:pPr>
        <w:pStyle w:val="Style70"/>
        <w:spacing w:before="0" w:after="0"/>
        <w:ind w:firstLine="709"/>
        <w:rPr>
          <w:color w:themeColor="text1" w:val="000000"/>
        </w:rPr>
      </w:pPr>
      <w:r>
        <w:rPr>
          <w:color w:themeColor="text1" w:val="000000"/>
        </w:rPr>
        <w:t>5.1.3. Применение пластика в отделке фасадов зданий.</w:t>
      </w:r>
    </w:p>
    <w:p>
      <w:pPr>
        <w:pStyle w:val="Style70"/>
        <w:spacing w:before="0" w:after="0"/>
        <w:ind w:firstLine="709"/>
        <w:rPr>
          <w:color w:themeColor="text1" w:val="000000"/>
        </w:rPr>
      </w:pPr>
      <w:r>
        <w:rPr>
          <w:color w:themeColor="text1" w:val="000000"/>
        </w:rPr>
        <w:t>5.1.4. Устройство башен, шпилей на кровлях зданий.</w:t>
      </w:r>
    </w:p>
    <w:p>
      <w:pPr>
        <w:pStyle w:val="Style70"/>
        <w:spacing w:before="0" w:after="0"/>
        <w:ind w:firstLine="709"/>
        <w:rPr>
          <w:color w:themeColor="text1" w:val="000000"/>
        </w:rPr>
      </w:pPr>
      <w:r>
        <w:rPr>
          <w:color w:themeColor="text1" w:val="000000"/>
        </w:rPr>
        <w:t>5.1.5. Использование в отделке фасадов материалов со свойствами светоотражения и световозвращения, материалы с покрытием из нитрида титана, зеркальные поверхности, металлочерепица, керамическая черепица.</w:t>
      </w:r>
    </w:p>
    <w:p>
      <w:pPr>
        <w:pStyle w:val="Style70"/>
        <w:spacing w:before="0" w:after="0"/>
        <w:ind w:firstLine="709"/>
        <w:rPr>
          <w:color w:themeColor="text1" w:val="000000"/>
        </w:rPr>
      </w:pPr>
      <w:r>
        <w:rPr>
          <w:color w:themeColor="text1" w:val="000000"/>
        </w:rPr>
        <w:t>5.1.6. Размещение остановочных пунктов маршрутных транспортных средств, за исключением выполненных из светопрозрачных материалов.</w:t>
      </w:r>
    </w:p>
    <w:p>
      <w:pPr>
        <w:pStyle w:val="Style70"/>
        <w:spacing w:before="0" w:after="0"/>
        <w:ind w:firstLine="709"/>
        <w:rPr>
          <w:color w:themeColor="text1" w:val="000000"/>
          <w:u w:val="single"/>
        </w:rPr>
      </w:pPr>
      <w:r>
        <w:rPr>
          <w:color w:themeColor="text1" w:val="000000"/>
          <w:u w:val="single"/>
        </w:rPr>
        <w:t>5.2. Ограничения строительства, капитального ремонта и реконструкции объектов капитального строительства и их частей для видов ЕЗРЗ-3.1, ЕЗРЗ-3.2, ЕЗРЗ-3.3, ЕЗРЗ-3.4:</w:t>
      </w:r>
    </w:p>
    <w:p>
      <w:pPr>
        <w:pStyle w:val="Style70"/>
        <w:spacing w:before="0" w:after="0"/>
        <w:ind w:firstLine="709"/>
        <w:rPr>
          <w:color w:themeColor="text1" w:val="000000"/>
        </w:rPr>
      </w:pPr>
      <w:r>
        <w:rPr>
          <w:color w:themeColor="text1" w:val="000000"/>
        </w:rPr>
        <w:t>5.2.1. По высоте:</w:t>
      </w:r>
    </w:p>
    <w:p>
      <w:pPr>
        <w:pStyle w:val="Style70"/>
        <w:spacing w:before="0" w:after="0"/>
        <w:ind w:firstLine="709"/>
        <w:rPr>
          <w:color w:themeColor="text1" w:val="000000"/>
        </w:rPr>
      </w:pPr>
      <w:r>
        <w:rPr>
          <w:color w:themeColor="text1" w:val="000000"/>
        </w:rPr>
        <w:t>5.2.1.1. Для вида ЕЗРЗ-3.1 (уч.1) – ЕЗРЗ-3.1 (уч.30):</w:t>
      </w:r>
    </w:p>
    <w:p>
      <w:pPr>
        <w:pStyle w:val="Style70"/>
        <w:spacing w:before="0" w:after="0"/>
        <w:ind w:firstLine="709"/>
        <w:rPr>
          <w:color w:themeColor="text1" w:val="000000"/>
        </w:rPr>
      </w:pPr>
      <w:r>
        <w:rPr>
          <w:color w:themeColor="text1" w:val="000000"/>
        </w:rPr>
        <w:t>5.2.1.1.1. Разрешается строительство и реконструкция объектов капитального строительства и их частей высотой до 14,0 метров, измеряемой в границах конфигурации здания по вертикали от средней планировочной отметки земли до максимально выступающей конструкции крыши или фасадов здания при плоском решении кровли.</w:t>
      </w:r>
    </w:p>
    <w:p>
      <w:pPr>
        <w:pStyle w:val="Style70"/>
        <w:spacing w:before="0" w:after="0"/>
        <w:ind w:firstLine="709"/>
        <w:rPr>
          <w:color w:themeColor="text1" w:val="000000"/>
        </w:rPr>
      </w:pPr>
      <w:r>
        <w:rPr>
          <w:color w:themeColor="text1" w:val="000000"/>
        </w:rPr>
        <w:t>5.2.1.1.2. В случае перепада отметок рельефа (земли) в границах конфигурации здания более 3,0 метров допустимо увеличение высоты здания в месте наибольшего перепада рельефа (земли) до 17 метров.</w:t>
      </w:r>
    </w:p>
    <w:p>
      <w:pPr>
        <w:pStyle w:val="Style70"/>
        <w:spacing w:before="0" w:after="0"/>
        <w:ind w:firstLine="709"/>
        <w:rPr>
          <w:color w:themeColor="text1" w:val="000000"/>
        </w:rPr>
      </w:pPr>
      <w:r>
        <w:rPr>
          <w:color w:themeColor="text1" w:val="000000"/>
        </w:rPr>
        <w:t>5.2.1.1.3. Разрешается строительство и реконструкция объектов капитального строительства и их частей высотой до 16,0 метров при условии размещения их на внутриквартальной территории.</w:t>
      </w:r>
    </w:p>
    <w:p>
      <w:pPr>
        <w:pStyle w:val="Style70"/>
        <w:spacing w:before="0" w:after="0"/>
        <w:ind w:firstLine="709"/>
        <w:rPr>
          <w:color w:themeColor="text1" w:val="000000"/>
        </w:rPr>
      </w:pPr>
      <w:r>
        <w:rPr>
          <w:color w:themeColor="text1" w:val="000000"/>
        </w:rPr>
        <w:t>5.2.1.2. Для вида ЕЗРЗ-3.2 (уч. 31) – ЕЗРЗ-3.2 (уч. 76):</w:t>
      </w:r>
    </w:p>
    <w:p>
      <w:pPr>
        <w:pStyle w:val="Style70"/>
        <w:spacing w:before="0" w:after="0"/>
        <w:ind w:firstLine="709"/>
        <w:rPr>
          <w:color w:themeColor="text1" w:val="000000"/>
        </w:rPr>
      </w:pPr>
      <w:r>
        <w:rPr>
          <w:color w:themeColor="text1" w:val="000000"/>
        </w:rPr>
        <w:t>5.2.1.2.1. Разрешается строительство и реконструкция объектов капитального строительства и их частей высотой до 16,0 метров, измеряемой в границах конфигурации здания по вертикали от средней планировочной отметки земли до максимально выступающей конструкции крыши или фасадов здания при плоском решении кровли.</w:t>
      </w:r>
    </w:p>
    <w:p>
      <w:pPr>
        <w:pStyle w:val="Style70"/>
        <w:spacing w:before="0" w:after="0"/>
        <w:ind w:firstLine="709"/>
        <w:rPr>
          <w:color w:themeColor="text1" w:val="000000"/>
        </w:rPr>
      </w:pPr>
      <w:r>
        <w:rPr>
          <w:color w:themeColor="text1" w:val="000000"/>
        </w:rPr>
        <w:t>5.2.1.2.2. В случае перепада отметок рельефа (земли) в границах конфигурации здания более 3,0 метров допустимо увеличение высоты здания в месте наибольшего перепада рельефа (земли) до 19 метров.</w:t>
      </w:r>
    </w:p>
    <w:p>
      <w:pPr>
        <w:pStyle w:val="Style70"/>
        <w:spacing w:before="0" w:after="0"/>
        <w:ind w:firstLine="709"/>
        <w:rPr>
          <w:color w:themeColor="text1" w:val="000000"/>
        </w:rPr>
      </w:pPr>
      <w:r>
        <w:rPr>
          <w:color w:themeColor="text1" w:val="000000"/>
        </w:rPr>
        <w:t>5.2.1.2.3. Разрешается строительство и реконструкция объектов капитального строительства и их частей высотой до 15,0 метров при условии размещения их на внутриквартальной территории.</w:t>
      </w:r>
    </w:p>
    <w:p>
      <w:pPr>
        <w:pStyle w:val="Style70"/>
        <w:spacing w:before="0" w:after="0"/>
        <w:ind w:firstLine="709"/>
        <w:rPr>
          <w:color w:themeColor="text1" w:val="000000"/>
        </w:rPr>
      </w:pPr>
      <w:r>
        <w:rPr>
          <w:color w:themeColor="text1" w:val="000000"/>
        </w:rPr>
        <w:t>5.2.1.3. Для вида ЕЗРЗ-3.3 (уч. 77) - ЕЗРЗ-3.3 (уч. 99): разрешается строительство и реконструкция объектов капитального строительства и их частей высотой до 18,0 метров, измеряемой в границах конфигурации здания по вертикали от средней планировочной отметки земли до максимально выступающей конструкции крыши или фасадов здания при плоском решении кровли.</w:t>
      </w:r>
    </w:p>
    <w:p>
      <w:pPr>
        <w:pStyle w:val="Style70"/>
        <w:spacing w:before="0" w:after="0"/>
        <w:ind w:firstLine="709"/>
        <w:rPr>
          <w:color w:themeColor="text1" w:val="000000"/>
        </w:rPr>
      </w:pPr>
      <w:r>
        <w:rPr>
          <w:color w:themeColor="text1" w:val="000000"/>
        </w:rPr>
        <w:t>5.2.1.4. Для вида ЕЗРЗ-3.4 (уч. 100) – ЕЗРЗ-3.4 (уч. 110): разрешается строительство и реконструкция объектов капитального строительства и их частей высотой до 21,0 метра, измеряемой в границах конфигурации здания по вертикали от средней планировочной отметки земли до максимально выступающей конструкции крыши или фасадов здания.</w:t>
      </w:r>
    </w:p>
    <w:p>
      <w:pPr>
        <w:pStyle w:val="Style70"/>
        <w:spacing w:before="0" w:after="0"/>
        <w:ind w:firstLine="709"/>
        <w:rPr>
          <w:color w:themeColor="text1" w:val="000000"/>
        </w:rPr>
      </w:pPr>
      <w:r>
        <w:rPr>
          <w:color w:themeColor="text1" w:val="000000"/>
        </w:rPr>
        <w:t>5.2.2. По материалу и фактуре отделки фасадов:</w:t>
      </w:r>
    </w:p>
    <w:p>
      <w:pPr>
        <w:pStyle w:val="Style70"/>
        <w:spacing w:before="0" w:after="0"/>
        <w:ind w:firstLine="709"/>
        <w:rPr>
          <w:color w:themeColor="text1" w:val="000000"/>
        </w:rPr>
      </w:pPr>
      <w:r>
        <w:rPr>
          <w:color w:themeColor="text1" w:val="000000"/>
        </w:rPr>
        <w:t>5.2.2.1. Разрешается применение лицевого кирпича, дерева (открытый сруб, обшивка деревянной рейкой в разных направлениях), штукатурки, окраски, вентилируемых фасадов, металлических элементов и конструкций, сайдинга, имитирующего традиционные строительные материалы (дерево, кирпич, камень); использование композитных панелей для многоквартирных домов, построенных после 1960 г., и на внутриквартальной территории.</w:t>
      </w:r>
    </w:p>
    <w:p>
      <w:pPr>
        <w:pStyle w:val="Style70"/>
        <w:spacing w:before="0" w:after="0"/>
        <w:ind w:firstLine="709"/>
        <w:rPr>
          <w:color w:themeColor="text1" w:val="000000"/>
        </w:rPr>
      </w:pPr>
      <w:r>
        <w:rPr>
          <w:color w:themeColor="text1" w:val="000000"/>
        </w:rPr>
        <w:t>5.2.3. По цветовому решению разрешается: для фасадов зданий применение цветовой гаммы белого, бежевого, серого, голубого и их оттенков; неяркие оттенки желтого, розового, зеленого, синего, терракотового цветов; для деталей фасадов зданий: применение цветовой гаммы белого, серого, желтого, голубого цветов и их оттенков; для кровель – применение цветовой гаммы для плоских кровель: черного, коричневого, зеленого, серого цветов и их оттенков; для скатных кровель: коричневого, зеленого, серого цветов и их оттенков.</w:t>
      </w:r>
    </w:p>
    <w:p>
      <w:pPr>
        <w:pStyle w:val="Style70"/>
        <w:spacing w:before="0" w:after="0"/>
        <w:ind w:firstLine="709"/>
        <w:rPr>
          <w:color w:themeColor="text1" w:val="000000"/>
        </w:rPr>
      </w:pPr>
      <w:r>
        <w:rPr>
          <w:color w:themeColor="text1" w:val="000000"/>
        </w:rPr>
        <w:t>5.2.4. Архитектурно-планировочные ограничения для вида ЕЗРЗ-3.2 (уч. 32): строительство, реконструкция и ремонт объектов капитального строительства выполнять по единому объемно-пространственному и архитектурно-планировочному решению.</w:t>
      </w:r>
    </w:p>
    <w:p>
      <w:pPr>
        <w:pStyle w:val="Style70"/>
        <w:spacing w:before="0" w:after="0"/>
        <w:ind w:firstLine="709"/>
        <w:rPr>
          <w:color w:themeColor="text1" w:val="000000"/>
          <w:u w:val="single"/>
        </w:rPr>
      </w:pPr>
      <w:r>
        <w:rPr>
          <w:color w:themeColor="text1" w:val="000000"/>
          <w:u w:val="single"/>
        </w:rPr>
        <w:t>5.3. Ограничения строительства, капитального ремонта и реконструкции объектов капитального строительства и их частей для вида ЕЗРЗ-3.5 (уч. 111):</w:t>
      </w:r>
    </w:p>
    <w:p>
      <w:pPr>
        <w:pStyle w:val="Style70"/>
        <w:spacing w:before="0" w:after="0"/>
        <w:ind w:firstLine="709"/>
        <w:rPr>
          <w:color w:themeColor="text1" w:val="000000"/>
        </w:rPr>
      </w:pPr>
      <w:r>
        <w:rPr>
          <w:color w:themeColor="text1" w:val="000000"/>
        </w:rPr>
        <w:t>5.3.1. По расположению зданий в квартале:</w:t>
      </w:r>
    </w:p>
    <w:p>
      <w:pPr>
        <w:pStyle w:val="Style70"/>
        <w:spacing w:before="0" w:after="0"/>
        <w:ind w:firstLine="709"/>
        <w:rPr>
          <w:color w:themeColor="text1" w:val="000000"/>
        </w:rPr>
      </w:pPr>
      <w:r>
        <w:rPr>
          <w:color w:themeColor="text1" w:val="000000"/>
        </w:rPr>
        <w:t>5.3.1.1. По расположению в квартале: объекты капитального строительства должны формировать линии застройки улиц, сохраняя периметральный характер застройки кварталов.</w:t>
      </w:r>
    </w:p>
    <w:p>
      <w:pPr>
        <w:pStyle w:val="Style70"/>
        <w:spacing w:before="0" w:after="0"/>
        <w:ind w:firstLine="709"/>
        <w:rPr/>
      </w:pPr>
      <w:r>
        <w:rPr>
          <w:color w:themeColor="text1" w:val="000000"/>
        </w:rPr>
        <w:t>5.3.1.2. Разрешается строительство зданий на внутриквартальной территории при условии сохранения прерывистого фронта застройки с расстоянием между объемами зданий не менее 20 метров.</w:t>
      </w:r>
    </w:p>
    <w:p>
      <w:pPr>
        <w:pStyle w:val="Style70"/>
        <w:spacing w:before="0" w:after="0"/>
        <w:ind w:firstLine="709"/>
        <w:rPr>
          <w:color w:themeColor="text1" w:val="000000"/>
        </w:rPr>
      </w:pPr>
      <w:r>
        <w:rPr>
          <w:color w:themeColor="text1" w:val="000000"/>
        </w:rPr>
        <w:t>5.3.2. Процент застройки на земельном участке: не менее 60% от площади земельного участка.</w:t>
      </w:r>
    </w:p>
    <w:p>
      <w:pPr>
        <w:pStyle w:val="Style70"/>
        <w:spacing w:before="0" w:after="0"/>
        <w:ind w:firstLine="709"/>
        <w:rPr>
          <w:color w:themeColor="text1" w:val="000000"/>
        </w:rPr>
      </w:pPr>
      <w:r>
        <w:rPr>
          <w:color w:themeColor="text1" w:val="000000"/>
        </w:rPr>
        <w:t>5.3.3. Протяженности (уличных) фасадов зданий, формирующих территории общего пользования: до 25 метров.</w:t>
      </w:r>
    </w:p>
    <w:p>
      <w:pPr>
        <w:pStyle w:val="Style70"/>
        <w:spacing w:before="0" w:after="0"/>
        <w:ind w:firstLine="709"/>
        <w:rPr>
          <w:color w:themeColor="text1" w:val="000000"/>
        </w:rPr>
      </w:pPr>
      <w:r>
        <w:rPr>
          <w:color w:themeColor="text1" w:val="000000"/>
        </w:rPr>
        <w:t>5.3.4. По высоте: разрешается строительство и реконструкция объектов капитального строительства и их частей высотой до 12,0 метров, измеряемой в границах конфигурации здания по вертикали от средней планировочной отметки земли до максимально выступающей конструкции крыши или фасадов здания при плоском решении кровли.</w:t>
      </w:r>
    </w:p>
    <w:p>
      <w:pPr>
        <w:pStyle w:val="Style70"/>
        <w:spacing w:before="0" w:after="0"/>
        <w:ind w:firstLine="709"/>
        <w:rPr>
          <w:color w:themeColor="text1" w:val="000000"/>
        </w:rPr>
      </w:pPr>
      <w:r>
        <w:rPr>
          <w:color w:themeColor="text1" w:val="000000"/>
        </w:rPr>
        <w:t>5.3.5. По материалу и фактуре отделки фасадов:</w:t>
      </w:r>
    </w:p>
    <w:p>
      <w:pPr>
        <w:pStyle w:val="Style70"/>
        <w:spacing w:before="0" w:after="0"/>
        <w:ind w:firstLine="709"/>
        <w:rPr>
          <w:color w:themeColor="text1" w:val="000000"/>
        </w:rPr>
      </w:pPr>
      <w:r>
        <w:rPr>
          <w:color w:themeColor="text1" w:val="000000"/>
        </w:rPr>
        <w:t>5.3.5.1. Запрещается площадь остекления фасадов более 60 % от общей площади фасада здания.</w:t>
      </w:r>
    </w:p>
    <w:p>
      <w:pPr>
        <w:pStyle w:val="Style70"/>
        <w:spacing w:before="0" w:after="0"/>
        <w:ind w:firstLine="709"/>
        <w:rPr>
          <w:color w:themeColor="text1" w:val="000000"/>
        </w:rPr>
      </w:pPr>
      <w:r>
        <w:rPr>
          <w:color w:themeColor="text1" w:val="000000"/>
        </w:rPr>
        <w:t>5.3.5.2. Разрешается применение лицевого керамического кирпич, дерева (открытый сруб, обшивка деревянной рейкой в разных направлениях), штукатурки, окраски, вентилируемых фасадов, металлических элементов и конструкций, сайдинга, имитирующего традиционные строительные материалы (дерево, кирпич, камень).</w:t>
      </w:r>
    </w:p>
    <w:p>
      <w:pPr>
        <w:pStyle w:val="Style70"/>
        <w:spacing w:before="0" w:after="0"/>
        <w:ind w:firstLine="709"/>
        <w:rPr>
          <w:color w:themeColor="text1" w:val="000000"/>
        </w:rPr>
      </w:pPr>
      <w:r>
        <w:rPr>
          <w:color w:themeColor="text1" w:val="000000"/>
        </w:rPr>
        <w:t xml:space="preserve">5.3.6. По цветовому решению разрешается: </w:t>
      </w:r>
      <w:r>
        <w:rPr>
          <w:color w:themeColor="text1" w:val="000000"/>
          <w:u w:val="single"/>
        </w:rPr>
        <w:t>для фасадов зданий</w:t>
      </w:r>
      <w:r>
        <w:rPr>
          <w:color w:themeColor="text1" w:val="000000"/>
        </w:rPr>
        <w:t xml:space="preserve"> применение цветовой гаммы белого, бежевого, серого, голубого и их оттенков; неяркие оттенки желтого, розового, зеленого, синего, терракотового цветов; </w:t>
      </w:r>
      <w:r>
        <w:rPr>
          <w:color w:themeColor="text1" w:val="000000"/>
          <w:u w:val="single"/>
        </w:rPr>
        <w:t>для деталей фасадов зданий:</w:t>
      </w:r>
      <w:r>
        <w:rPr>
          <w:color w:themeColor="text1" w:val="000000"/>
        </w:rPr>
        <w:t xml:space="preserve"> применение цветовой гаммы белого, серого, желтого, голубого цветов и их оттенков; для кровель – применение цветовой гаммы </w:t>
      </w:r>
      <w:r>
        <w:rPr>
          <w:color w:themeColor="text1" w:val="000000"/>
          <w:u w:val="single"/>
        </w:rPr>
        <w:t>для плоских кровель:</w:t>
      </w:r>
      <w:r>
        <w:rPr>
          <w:color w:themeColor="text1" w:val="000000"/>
        </w:rPr>
        <w:t xml:space="preserve"> черного, коричневого, зеленого, серого цветов и их оттенков; для скатных кровель: коричневого, зеленого, серого цветов и их оттенков.</w:t>
      </w:r>
    </w:p>
    <w:p>
      <w:pPr>
        <w:pStyle w:val="Style70"/>
        <w:spacing w:before="0" w:after="0"/>
        <w:ind w:firstLine="709"/>
        <w:rPr>
          <w:color w:themeColor="text1" w:val="000000"/>
          <w:u w:val="single"/>
        </w:rPr>
      </w:pPr>
      <w:r>
        <w:rPr>
          <w:color w:themeColor="text1" w:val="000000"/>
          <w:u w:val="single"/>
        </w:rPr>
        <w:t>5.4. Ограничения строительства, капитального ремонта и реконструкции объектов капитального строительства и их частей для вида ЕЗРЗ 3.6. (уч. 112):</w:t>
      </w:r>
    </w:p>
    <w:p>
      <w:pPr>
        <w:pStyle w:val="Style70"/>
        <w:spacing w:before="0" w:after="0"/>
        <w:ind w:firstLine="709"/>
        <w:rPr>
          <w:color w:themeColor="text1" w:val="000000"/>
        </w:rPr>
      </w:pPr>
      <w:r>
        <w:rPr>
          <w:color w:themeColor="text1" w:val="000000"/>
        </w:rPr>
        <w:t>5.4.1. По высоте: объект капитального строительства переменной этажности: вдоль улицы Георгиевской высотой до 14 метров, вдоль улицы Плеханова высотой до 21,0 метра с акцентом на внутриквартальной территории высотой до 23,0 метров. Высота объекта капитального строительства измеряемая в границах конфигурации здания по вертикали от средней планировочной отметки земли до максимально выступающей конструкции крыши или фасадов здания.</w:t>
      </w:r>
    </w:p>
    <w:p>
      <w:pPr>
        <w:pStyle w:val="Style70"/>
        <w:spacing w:before="0" w:after="0"/>
        <w:ind w:firstLine="709"/>
        <w:rPr>
          <w:color w:themeColor="text1" w:val="000000"/>
        </w:rPr>
      </w:pPr>
      <w:r>
        <w:rPr>
          <w:color w:themeColor="text1" w:val="000000"/>
        </w:rPr>
        <w:t>5.4.2. По материалу и фактуре (отделке) фасадов: разрешается применение лицевого кирпича, штукатурки, окраски, вентилируемых фасадов, металлических элементов и конструкций, сайдинга, имитирующего традиционные строительные материалы (дерево, кирпич, камень).</w:t>
      </w:r>
    </w:p>
    <w:p>
      <w:pPr>
        <w:pStyle w:val="Style70"/>
        <w:spacing w:before="0" w:after="0"/>
        <w:ind w:firstLine="709"/>
        <w:rPr>
          <w:color w:themeColor="text1" w:val="000000"/>
        </w:rPr>
      </w:pPr>
      <w:r>
        <w:rPr>
          <w:color w:themeColor="text1" w:val="000000"/>
        </w:rPr>
        <w:t xml:space="preserve">5.4.3. По цветовому решению разрешается: </w:t>
      </w:r>
      <w:r>
        <w:rPr>
          <w:color w:themeColor="text1" w:val="000000"/>
          <w:u w:val="single"/>
        </w:rPr>
        <w:t>для фасадов зданий</w:t>
      </w:r>
      <w:r>
        <w:rPr>
          <w:color w:themeColor="text1" w:val="000000"/>
        </w:rPr>
        <w:t xml:space="preserve"> применение цветовой гаммы белого, бежевого, серого, голубого и их оттенков; неяркие оттенки желтого, розового, зеленого, синего, терракотового цветов; </w:t>
      </w:r>
      <w:r>
        <w:rPr>
          <w:color w:themeColor="text1" w:val="000000"/>
          <w:u w:val="single"/>
        </w:rPr>
        <w:t>для деталей фасадов зданий:</w:t>
      </w:r>
      <w:r>
        <w:rPr>
          <w:color w:themeColor="text1" w:val="000000"/>
        </w:rPr>
        <w:t xml:space="preserve"> применение цветовой гаммы белого, серого, желтого, голубого цветов и их оттенков; </w:t>
      </w:r>
      <w:r>
        <w:rPr>
          <w:color w:themeColor="text1" w:val="000000"/>
          <w:u w:val="single"/>
        </w:rPr>
        <w:t>для кровель</w:t>
      </w:r>
      <w:r>
        <w:rPr>
          <w:color w:themeColor="text1" w:val="000000"/>
        </w:rPr>
        <w:t xml:space="preserve"> – применение цветовой гаммы для плоских кровель: черного, коричневого, зеленого, серого цветов и их оттенков; для скатных кровель: коричневого, зеленого, серого цветов и их оттенков.</w:t>
      </w:r>
    </w:p>
    <w:p>
      <w:pPr>
        <w:pStyle w:val="Style70"/>
        <w:spacing w:before="0" w:after="0"/>
        <w:ind w:firstLine="709"/>
        <w:rPr>
          <w:b/>
          <w:color w:themeColor="text1" w:val="000000"/>
        </w:rPr>
      </w:pPr>
      <w:r>
        <w:rPr>
          <w:b/>
          <w:color w:themeColor="text1" w:val="000000"/>
        </w:rPr>
        <w:t>6. Требования к градостроительным регламентам в границах единой зоны регулирования застройки и хозяйственной деятельности (индекс подзоны ЕЗРЗ-4) включает виды ЕЗРЗ-4.1 (включает 17 регламентных участков ЕЗРЗ-4.1 (уч.1) – ЕЗРЗ-4.1 (уч.17), ЕЗРЗ-4.2 (включает 14 регламентных участков ЕЗРЗ-4.2 (уч.18) – ЕЗРЗ-4.2 (уч.31), ЕЗРЗ-4.3 (включает 14 регламентных участков ЕЗРЗ-4.3 (уч.32) – ЕЗРЗ-4.3 (уч.45).</w:t>
      </w:r>
    </w:p>
    <w:p>
      <w:pPr>
        <w:pStyle w:val="Style70"/>
        <w:spacing w:before="0" w:after="0"/>
        <w:ind w:firstLine="709"/>
        <w:rPr>
          <w:color w:themeColor="text1" w:val="000000"/>
          <w:u w:val="single"/>
        </w:rPr>
      </w:pPr>
      <w:r>
        <w:rPr>
          <w:color w:themeColor="text1" w:val="000000"/>
          <w:u w:val="single"/>
        </w:rPr>
        <w:t>6.1. Ограничения строительства, капитального ремонта и реконструкции объектов капитального строительства и их частей для подзоны ЕЗРЗ-4:</w:t>
      </w:r>
    </w:p>
    <w:p>
      <w:pPr>
        <w:pStyle w:val="Style70"/>
        <w:spacing w:before="0" w:after="0"/>
        <w:ind w:firstLine="709"/>
        <w:rPr>
          <w:color w:themeColor="text1" w:val="000000"/>
        </w:rPr>
      </w:pPr>
      <w:r>
        <w:rPr>
          <w:color w:themeColor="text1" w:val="000000"/>
        </w:rPr>
        <w:t>6.1.1. По высоте: (высота объекта капитального строительства измеряется по вертикали от средней планировочной отметки земли, измеряемой в границах конфигурации здания, до максимально выступающей конструкции крыши или фасада здания при плоском решении кровли).</w:t>
      </w:r>
    </w:p>
    <w:p>
      <w:pPr>
        <w:pStyle w:val="Style70"/>
        <w:spacing w:before="0" w:after="0"/>
        <w:ind w:firstLine="709"/>
        <w:rPr>
          <w:color w:themeColor="text1" w:val="000000"/>
        </w:rPr>
      </w:pPr>
      <w:r>
        <w:rPr>
          <w:color w:themeColor="text1" w:val="000000"/>
        </w:rPr>
        <w:t>6.1.1.1. Для вида ЕЗРЗ 4.1 (уч. 1) – ЕЗРЗ-4.1 (уч. 17): до 25 метров.</w:t>
      </w:r>
    </w:p>
    <w:p>
      <w:pPr>
        <w:pStyle w:val="Style70"/>
        <w:spacing w:before="0" w:after="0"/>
        <w:ind w:firstLine="709"/>
        <w:rPr>
          <w:color w:themeColor="text1" w:val="000000"/>
        </w:rPr>
      </w:pPr>
      <w:r>
        <w:rPr>
          <w:color w:themeColor="text1" w:val="000000"/>
        </w:rPr>
        <w:t>6.1.1.2. Для вида ЕЗРЗ 4.2 (уч. 18) – ЕЗРЗ-4.2 (уч. 31): до 28 метров.</w:t>
      </w:r>
    </w:p>
    <w:p>
      <w:pPr>
        <w:pStyle w:val="Style70"/>
        <w:spacing w:before="0" w:after="0"/>
        <w:ind w:firstLine="709"/>
        <w:rPr>
          <w:color w:themeColor="text1" w:val="000000"/>
        </w:rPr>
      </w:pPr>
      <w:r>
        <w:rPr>
          <w:color w:themeColor="text1" w:val="000000"/>
        </w:rPr>
        <w:t xml:space="preserve">6.1.1.3. Для вида ЕЗРЗ 4.3 (уч. 32) – ЕЗРЗ-4.3 (уч. 45): до 32 метров. </w:t>
      </w:r>
    </w:p>
    <w:p>
      <w:pPr>
        <w:pStyle w:val="Style70"/>
        <w:spacing w:before="0" w:after="0"/>
        <w:ind w:firstLine="709"/>
        <w:rPr>
          <w:color w:themeColor="text1" w:val="000000"/>
        </w:rPr>
      </w:pPr>
      <w:r>
        <w:rPr>
          <w:color w:themeColor="text1" w:val="000000"/>
        </w:rPr>
        <w:t xml:space="preserve">6.1.2. По цветовому решению разрешается: </w:t>
      </w:r>
      <w:r>
        <w:rPr>
          <w:color w:themeColor="text1" w:val="000000"/>
          <w:u w:val="single"/>
        </w:rPr>
        <w:t>для фасадов</w:t>
      </w:r>
      <w:r>
        <w:rPr>
          <w:color w:themeColor="text1" w:val="000000"/>
        </w:rPr>
        <w:t xml:space="preserve"> зданий применение цветовой гаммы белого, бежевого, серого, голубого и их оттенков; неяркие оттенки желтого, розового, зеленого, синего, терракотового цветов; </w:t>
      </w:r>
      <w:r>
        <w:rPr>
          <w:color w:themeColor="text1" w:val="000000"/>
          <w:u w:val="single"/>
        </w:rPr>
        <w:t>для деталей фасадов зданий:</w:t>
      </w:r>
      <w:r>
        <w:rPr>
          <w:color w:themeColor="text1" w:val="000000"/>
        </w:rPr>
        <w:t xml:space="preserve"> применение цветовой гаммы белого, серого, желтого, голубого цветов и их оттенков.</w:t>
      </w:r>
    </w:p>
    <w:p>
      <w:pPr>
        <w:pStyle w:val="Style70"/>
        <w:spacing w:before="0" w:after="0"/>
        <w:ind w:firstLine="709"/>
        <w:rPr>
          <w:b/>
          <w:color w:themeColor="text1" w:val="000000"/>
        </w:rPr>
      </w:pPr>
      <w:r>
        <w:rPr>
          <w:b/>
          <w:color w:themeColor="text1" w:val="000000"/>
        </w:rPr>
        <w:t>7. Требования к градостроительным земельным участкам в границах единой зоны регулирования застройки и хозяйственной деятельности (индекс подзоны ЕЗРЗ-5) включает 3 регламентных участка ЕЗРЗ-5 (уч. 1) - ЕЗРЗ-5 (уч. 3).</w:t>
      </w:r>
    </w:p>
    <w:p>
      <w:pPr>
        <w:pStyle w:val="Style70"/>
        <w:spacing w:before="0" w:after="0"/>
        <w:ind w:firstLine="709"/>
        <w:rPr>
          <w:color w:themeColor="text1" w:val="000000"/>
          <w:u w:val="single"/>
        </w:rPr>
      </w:pPr>
      <w:r>
        <w:rPr>
          <w:color w:themeColor="text1" w:val="000000"/>
          <w:u w:val="single"/>
        </w:rPr>
        <w:t>7.1. Ограничение строительства, капитального ремонта и реконструкции объектов капитального строительства, строений и сооружений, и их частей для подзоны ЕЗРЗ-5 (уч. 1) – ЕЗРЗ-5 (уч. 3):</w:t>
      </w:r>
    </w:p>
    <w:p>
      <w:pPr>
        <w:pStyle w:val="Style70"/>
        <w:spacing w:before="0" w:after="0"/>
        <w:ind w:firstLine="709"/>
        <w:rPr>
          <w:color w:themeColor="text1" w:val="000000"/>
        </w:rPr>
      </w:pPr>
      <w:r>
        <w:rPr>
          <w:color w:themeColor="text1" w:val="000000"/>
        </w:rPr>
        <w:t>7.1.1. Разрешается строительство и реконструкция объектов капитального строительства и их частей высотой до 14,0 метров, измеряемой в границах конфигурации здания по вертикали от средней планировочной отметки земли до максимально выступающей конструкции крыши или фасадов здания при плоском решении кровли.</w:t>
      </w:r>
    </w:p>
    <w:p>
      <w:pPr>
        <w:pStyle w:val="Style70"/>
        <w:spacing w:before="0" w:after="0"/>
        <w:ind w:firstLine="709"/>
        <w:rPr>
          <w:color w:themeColor="text1" w:val="000000"/>
        </w:rPr>
      </w:pPr>
      <w:r>
        <w:rPr>
          <w:color w:themeColor="text1" w:val="000000"/>
        </w:rPr>
        <w:t>7.1.2. По цветовому решению запрещается: для фасадов зданий применение цветовой гаммы красного, синего, фиолетового цветов.</w:t>
      </w:r>
    </w:p>
    <w:p>
      <w:pPr>
        <w:pStyle w:val="Style70"/>
        <w:spacing w:before="0" w:after="0"/>
        <w:ind w:firstLine="709"/>
        <w:rPr>
          <w:b/>
          <w:color w:themeColor="text1" w:val="000000"/>
        </w:rPr>
      </w:pPr>
      <w:r>
        <w:rPr>
          <w:b/>
          <w:color w:themeColor="text1" w:val="000000"/>
        </w:rPr>
        <w:t>8. Требования к градостроительным регламентам в границах единой зоны охраняемого природного ландшафта (индекс зоны ЕЗОПЛ-1) включает 13 регламентных участков ЕЗОПЛ-1 (уч. 1) - ЕЗОПЛ-1 (уч. 13).</w:t>
      </w:r>
    </w:p>
    <w:p>
      <w:pPr>
        <w:pStyle w:val="Style70"/>
        <w:spacing w:before="0" w:after="0"/>
        <w:ind w:firstLine="709"/>
        <w:rPr>
          <w:color w:themeColor="text1" w:val="000000"/>
          <w:u w:val="single"/>
        </w:rPr>
      </w:pPr>
      <w:r>
        <w:rPr>
          <w:color w:themeColor="text1" w:val="000000"/>
          <w:u w:val="single"/>
        </w:rPr>
        <w:t>8.1. Запрещается:</w:t>
      </w:r>
    </w:p>
    <w:p>
      <w:pPr>
        <w:pStyle w:val="Style70"/>
        <w:spacing w:before="0" w:after="0"/>
        <w:ind w:firstLine="709"/>
        <w:rPr>
          <w:color w:themeColor="text1" w:val="000000"/>
        </w:rPr>
      </w:pPr>
      <w:r>
        <w:rPr>
          <w:color w:themeColor="text1" w:val="000000"/>
        </w:rPr>
        <w:t>8.1.1. Строительство объектов капитального строительства, за исключением объектов коммунальной инфраструктуры, внеуличного транспорта (подвесная канатная дорога транспортная, фуникулер транспортный), подпорных стенок, лестниц.</w:t>
      </w:r>
    </w:p>
    <w:p>
      <w:pPr>
        <w:pStyle w:val="Style70"/>
        <w:spacing w:before="0" w:after="0"/>
        <w:ind w:firstLine="709"/>
        <w:rPr>
          <w:color w:themeColor="text1" w:val="000000"/>
        </w:rPr>
      </w:pPr>
      <w:r>
        <w:rPr>
          <w:color w:themeColor="text1" w:val="000000"/>
        </w:rPr>
        <w:t>8.1.2. Разработка месторождений полезных ископаемых.</w:t>
      </w:r>
    </w:p>
    <w:p>
      <w:pPr>
        <w:pStyle w:val="Style70"/>
        <w:spacing w:before="0" w:after="0"/>
        <w:ind w:firstLine="709"/>
        <w:rPr>
          <w:color w:themeColor="text1" w:val="000000"/>
        </w:rPr>
      </w:pPr>
      <w:r>
        <w:rPr>
          <w:color w:themeColor="text1" w:val="000000"/>
        </w:rPr>
        <w:t>8.1.3. Загрязнение почв, грунтовых и подземных вод, поверхностных стоков.</w:t>
      </w:r>
    </w:p>
    <w:p>
      <w:pPr>
        <w:pStyle w:val="Style70"/>
        <w:spacing w:before="0" w:after="0"/>
        <w:ind w:firstLine="709"/>
        <w:rPr>
          <w:color w:themeColor="text1" w:val="000000"/>
        </w:rPr>
      </w:pPr>
      <w:r>
        <w:rPr>
          <w:color w:themeColor="text1" w:val="000000"/>
        </w:rPr>
        <w:t>8.1.4. Размещение объектов хранения отходов, объектов захоронения отходов.</w:t>
      </w:r>
    </w:p>
    <w:p>
      <w:pPr>
        <w:pStyle w:val="Style70"/>
        <w:spacing w:before="0" w:after="0"/>
        <w:ind w:firstLine="709"/>
        <w:rPr>
          <w:color w:themeColor="text1" w:val="000000"/>
        </w:rPr>
      </w:pPr>
      <w:r>
        <w:rPr>
          <w:color w:themeColor="text1" w:val="000000"/>
        </w:rPr>
        <w:t>8.1.5. Устройство открытых стоянок автотранспорта, за исключением стоянок автотранспорта, предназначенных для обслуживания объектов отдыха (рекреационного назначения), объектов питания и временного хранения.</w:t>
      </w:r>
    </w:p>
    <w:p>
      <w:pPr>
        <w:pStyle w:val="Style70"/>
        <w:spacing w:before="0" w:after="0"/>
        <w:ind w:firstLine="709"/>
        <w:rPr>
          <w:color w:themeColor="text1" w:val="000000"/>
        </w:rPr>
      </w:pPr>
      <w:r>
        <w:rPr>
          <w:color w:themeColor="text1" w:val="000000"/>
        </w:rPr>
        <w:t>8.1.6. Вырубка деревьев, кроме санитарной и реконструктивной рубок.</w:t>
      </w:r>
    </w:p>
    <w:p>
      <w:pPr>
        <w:pStyle w:val="Style70"/>
        <w:spacing w:before="0" w:after="0"/>
        <w:ind w:firstLine="709"/>
        <w:rPr>
          <w:color w:themeColor="text1" w:val="000000"/>
        </w:rPr>
      </w:pPr>
      <w:r>
        <w:rPr>
          <w:color w:themeColor="text1" w:val="000000"/>
        </w:rPr>
        <w:t>8.1.7. Размещение некапитальных строений и сооружений (глемпингов, кемпингов), кроме подзон ЕЗОПЛ-1 (уч. 1), ЕЗОПЛ-1 (уч. 2), ЕЗОПЛ-1 (уч. 10).</w:t>
      </w:r>
    </w:p>
    <w:p>
      <w:pPr>
        <w:pStyle w:val="Style70"/>
        <w:spacing w:before="0" w:after="0"/>
        <w:ind w:firstLine="709"/>
        <w:rPr>
          <w:color w:themeColor="text1" w:val="000000"/>
          <w:u w:val="single"/>
        </w:rPr>
      </w:pPr>
      <w:r>
        <w:rPr>
          <w:color w:themeColor="text1" w:val="000000"/>
          <w:u w:val="single"/>
        </w:rPr>
        <w:t>8.2. Разрешается:</w:t>
      </w:r>
    </w:p>
    <w:p>
      <w:pPr>
        <w:pStyle w:val="Style70"/>
        <w:spacing w:before="0" w:after="0"/>
        <w:ind w:firstLine="709"/>
        <w:rPr>
          <w:color w:themeColor="text1" w:val="000000"/>
        </w:rPr>
      </w:pPr>
      <w:r>
        <w:rPr>
          <w:color w:themeColor="text1" w:val="000000"/>
        </w:rPr>
        <w:t>8.2.1. Размещение некапитальных строений и сооружений объектов отдыха (рекреации), объектов питания.</w:t>
      </w:r>
    </w:p>
    <w:p>
      <w:pPr>
        <w:pStyle w:val="Style70"/>
        <w:spacing w:before="0" w:after="0"/>
        <w:ind w:firstLine="709"/>
        <w:rPr>
          <w:color w:themeColor="text1" w:val="000000"/>
        </w:rPr>
      </w:pPr>
      <w:r>
        <w:rPr>
          <w:color w:themeColor="text1" w:val="000000"/>
        </w:rPr>
        <w:t>8.2.2. Проведение работ по благоустройству территории.</w:t>
      </w:r>
    </w:p>
    <w:p>
      <w:pPr>
        <w:pStyle w:val="Style70"/>
        <w:spacing w:before="0" w:after="0"/>
        <w:ind w:firstLine="709"/>
        <w:rPr>
          <w:color w:themeColor="text1" w:val="000000"/>
          <w:u w:val="single"/>
        </w:rPr>
      </w:pPr>
      <w:r>
        <w:rPr>
          <w:color w:themeColor="text1" w:val="000000"/>
          <w:u w:val="single"/>
        </w:rPr>
        <w:t>8.3. Ограничения строительства, капитального ремонта и реконструкции объектов капитального строительства и их частей для подзоны ЕЗОПЛ-1 (уч. 1) – ЕЗОПЛ-1 (уч. 13):</w:t>
      </w:r>
    </w:p>
    <w:p>
      <w:pPr>
        <w:pStyle w:val="Style70"/>
        <w:spacing w:before="0" w:after="0"/>
        <w:ind w:firstLine="709"/>
        <w:rPr>
          <w:color w:themeColor="text1" w:val="000000"/>
        </w:rPr>
      </w:pPr>
      <w:r>
        <w:rPr>
          <w:color w:themeColor="text1" w:val="000000"/>
        </w:rPr>
        <w:t>8.3.1. По высоте: высота опор внеуличного транспорта определяется техническими регламентами.</w:t>
      </w:r>
    </w:p>
    <w:p>
      <w:pPr>
        <w:pStyle w:val="Style70"/>
        <w:spacing w:before="0" w:after="0"/>
        <w:ind w:firstLine="709"/>
        <w:rPr>
          <w:color w:themeColor="text1" w:val="000000"/>
        </w:rPr>
      </w:pPr>
      <w:r>
        <w:rPr>
          <w:color w:themeColor="text1" w:val="000000"/>
        </w:rPr>
        <w:t>8.3.2. По высоте капитальных строений и сооружений: до 5 метров (высота объекта капитального строительства измеряется по вертикали от средней планировочной отметки земли, измеряемой в границах конфигурации здания, до максимально выступающей конструкции крыши или фасада здания при плоском решении кровли).</w:t>
      </w:r>
    </w:p>
    <w:p>
      <w:pPr>
        <w:pStyle w:val="Style70"/>
        <w:spacing w:before="0" w:after="0"/>
        <w:ind w:firstLine="709"/>
        <w:rPr>
          <w:color w:themeColor="text1" w:val="000000"/>
        </w:rPr>
      </w:pPr>
      <w:r>
        <w:rPr>
          <w:color w:themeColor="text1" w:val="000000"/>
        </w:rPr>
        <w:t>8.3.3. По цветовому решению строений запрещается: для фасадов и крыш зданий применение цветовой гаммы красного, синего, фиолетового цветов.</w:t>
      </w:r>
    </w:p>
    <w:p>
      <w:pPr>
        <w:pStyle w:val="Style70"/>
        <w:spacing w:before="0" w:after="0"/>
        <w:ind w:firstLine="709"/>
        <w:rPr>
          <w:color w:themeColor="text1" w:val="000000"/>
        </w:rPr>
      </w:pPr>
      <w:r>
        <w:rPr>
          <w:color w:themeColor="text1" w:val="000000"/>
        </w:rPr>
        <w:t>8.3.4. По ограждениям участков: светопрозрачные ограждения высотой не более 2 метров.</w:t>
      </w:r>
    </w:p>
    <w:p>
      <w:pPr>
        <w:pStyle w:val="Heading3"/>
        <w:numPr>
          <w:ilvl w:val="2"/>
          <w:numId w:val="2"/>
        </w:numPr>
        <w:spacing w:before="100" w:after="100"/>
        <w:rPr>
          <w:rFonts w:cs="Symbol"/>
          <w:color w:themeColor="text1" w:val="000000"/>
        </w:rPr>
      </w:pPr>
      <w:bookmarkStart w:id="22" w:name="_Toc217312447"/>
      <w:r>
        <w:rPr>
          <w:rFonts w:cs="Symbol"/>
          <w:color w:themeColor="text1" w:val="000000"/>
        </w:rPr>
        <w:t>4.4. Мероприятия по сохранению объектов культурного наследия</w:t>
      </w:r>
      <w:bookmarkEnd w:id="22"/>
    </w:p>
    <w:p>
      <w:pPr>
        <w:pStyle w:val="Normal"/>
        <w:spacing w:lineRule="auto" w:line="276"/>
        <w:ind w:firstLine="709"/>
        <w:jc w:val="both"/>
        <w:rPr>
          <w:rFonts w:eastAsia="Arial Unicode MS"/>
          <w:color w:themeColor="text1" w:val="000000"/>
        </w:rPr>
      </w:pPr>
      <w:r>
        <w:rPr>
          <w:rFonts w:eastAsia="Arial Unicode MS"/>
          <w:color w:themeColor="text1" w:val="000000"/>
        </w:rPr>
        <w:t>Правовая основа охраны объектов культурного наследия (ОКН) определяется Федеральным законом от 25.06.2002 № 73-ФЗ «Об объектах культурного наследия (памятниках истории и культуры) народов Российской Федерации».</w:t>
      </w:r>
    </w:p>
    <w:p>
      <w:pPr>
        <w:pStyle w:val="Normal"/>
        <w:spacing w:lineRule="auto" w:line="276"/>
        <w:ind w:firstLine="709"/>
        <w:jc w:val="both"/>
        <w:rPr>
          <w:color w:themeColor="text1" w:val="000000"/>
        </w:rPr>
      </w:pPr>
      <w:r>
        <w:rPr>
          <w:color w:themeColor="text1" w:val="000000"/>
        </w:rPr>
        <w:t>В соответствии с действующим законодательством Российской Федерации, проведение любых работ на территории, потенциально содержащей объекты культурного наследия, осуществляется с соблюдением строгих требований по их сохранению.</w:t>
      </w:r>
    </w:p>
    <w:p>
      <w:pPr>
        <w:pStyle w:val="Normal"/>
        <w:spacing w:lineRule="auto" w:line="276"/>
        <w:ind w:firstLine="709"/>
        <w:jc w:val="both"/>
        <w:rPr>
          <w:color w:themeColor="text1" w:val="000000"/>
        </w:rPr>
      </w:pPr>
      <w:r>
        <w:rPr>
          <w:color w:themeColor="text1" w:val="000000"/>
        </w:rPr>
        <w:t>При осуществлении изыскательских, проектных, земляных, строительных, мелиоративных и хозяйственных работ, а также работ по использованию лесов необходимо предварительно убедиться в отсутствии на данной территории объектов культурного наследия, включенных в реестр, или выявленных объектов, обладающих соответствующими признаками. В случае их наличия требуется строгое соблюдение установленных правил.</w:t>
      </w:r>
    </w:p>
    <w:p>
      <w:pPr>
        <w:pStyle w:val="Normal"/>
        <w:spacing w:lineRule="auto" w:line="276"/>
        <w:ind w:firstLine="709"/>
        <w:jc w:val="both"/>
        <w:rPr>
          <w:color w:themeColor="text1" w:val="000000"/>
        </w:rPr>
      </w:pPr>
      <w:r>
        <w:rPr>
          <w:color w:themeColor="text1" w:val="000000"/>
        </w:rPr>
        <w:t>Проведение работ в границах территории объекта культурного наследия допускается только при условии соблюдения специального режима использования земельного участка и реализации согласованных с соответствующими органами охраны объектов культурного наследия разделов проектной документации. Эти разделы должны включать меры по обеспечению сохранности объектов культурного наследия или план проведения спасательных археологических полевых работ с оценкой возможного воздействия на данные объекты.</w:t>
      </w:r>
    </w:p>
    <w:p>
      <w:pPr>
        <w:pStyle w:val="Normal"/>
        <w:spacing w:lineRule="auto" w:line="276"/>
        <w:ind w:firstLine="709"/>
        <w:jc w:val="both"/>
        <w:rPr>
          <w:color w:themeColor="text1" w:val="000000"/>
        </w:rPr>
      </w:pPr>
      <w:r>
        <w:rPr>
          <w:color w:themeColor="text1" w:val="000000"/>
        </w:rPr>
        <w:t xml:space="preserve">Особо регламентируется проведение работ на земельных участках, непосредственно примыкающих к территории объекта культурного наследия. В этом случае проектная документация также должна содержать разделы об обеспечении сохранности объекта или о проведении спасательных археологических работ, согласованные с региональным органом охраны объектов культурного наследия. </w:t>
      </w:r>
    </w:p>
    <w:p>
      <w:pPr>
        <w:pStyle w:val="Normal"/>
        <w:spacing w:lineRule="auto" w:line="276"/>
        <w:ind w:firstLine="709"/>
        <w:jc w:val="both"/>
        <w:rPr>
          <w:color w:themeColor="text1" w:val="000000"/>
        </w:rPr>
      </w:pPr>
      <w:r>
        <w:rPr>
          <w:color w:themeColor="text1" w:val="000000"/>
        </w:rPr>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 Федеральным законом от 25.06.2002 № 73-ФЗ.</w:t>
      </w:r>
    </w:p>
    <w:p>
      <w:pPr>
        <w:sectPr>
          <w:headerReference w:type="default" r:id="rId32"/>
          <w:headerReference w:type="first" r:id="rId33"/>
          <w:footerReference w:type="default" r:id="rId34"/>
          <w:footerReference w:type="first" r:id="rId35"/>
          <w:footnotePr>
            <w:numFmt w:val="decimal"/>
          </w:footnotePr>
          <w:type w:val="nextPage"/>
          <w:pgSz w:w="11906" w:h="16838"/>
          <w:pgMar w:left="1418" w:right="709" w:gutter="0" w:header="567" w:top="1128" w:footer="0" w:bottom="448"/>
          <w:pgNumType w:fmt="decimal"/>
          <w:formProt w:val="false"/>
          <w:titlePg/>
          <w:textDirection w:val="lrTb"/>
          <w:docGrid w:type="default" w:linePitch="360" w:charSpace="0"/>
        </w:sectPr>
        <w:pStyle w:val="Normal"/>
        <w:spacing w:lineRule="auto" w:line="276"/>
        <w:ind w:firstLine="709"/>
        <w:jc w:val="both"/>
        <w:rPr>
          <w:color w:themeColor="text1" w:val="000000"/>
        </w:rPr>
      </w:pPr>
      <w:r>
        <w:rPr>
          <w:color w:themeColor="text1" w:val="000000"/>
        </w:rPr>
        <w:t>Сведения о границах территории объекта культурного наследия, об ограничениях использования объекта недвижимого имущества, находящегося в границах территории объекта культурного наследия, вносятся в Единый государственный реестр недвижимости в соответствии с Федеральным законом от 13.07.2015 № 218-ФЗ «О государственной регистрации недвижимости». Отсутствие в Едином государственном реестре недвижимости сведений, не является основанием для несоблюдения требований к осуществлению деятельности в границах территории объекта культурного наследия, установленных земельным законодательством Российской Федерации.</w:t>
      </w:r>
    </w:p>
    <w:p>
      <w:pPr>
        <w:pStyle w:val="Heading2"/>
        <w:numPr>
          <w:ilvl w:val="1"/>
          <w:numId w:val="2"/>
        </w:numPr>
        <w:spacing w:before="0" w:after="0"/>
        <w:ind w:hanging="0" w:left="0"/>
        <w:rPr>
          <w:rFonts w:cs="Symbol"/>
          <w:color w:themeColor="text1" w:val="000000"/>
        </w:rPr>
      </w:pPr>
      <w:bookmarkStart w:id="23" w:name="_Toc217312448"/>
      <w:r>
        <w:rPr>
          <w:rFonts w:cs="Symbol"/>
          <w:color w:themeColor="text1" w:val="000000"/>
        </w:rPr>
        <w:t>5. Социально-экономическая ситуация</w:t>
      </w:r>
      <w:bookmarkEnd w:id="23"/>
    </w:p>
    <w:p>
      <w:pPr>
        <w:pStyle w:val="Heading3"/>
        <w:numPr>
          <w:ilvl w:val="2"/>
          <w:numId w:val="2"/>
        </w:numPr>
        <w:spacing w:before="100" w:after="100"/>
        <w:ind w:hanging="0" w:left="0"/>
        <w:rPr>
          <w:rFonts w:eastAsia="Symbol" w:cs="Symbol"/>
          <w:color w:themeColor="text1" w:val="000000"/>
        </w:rPr>
      </w:pPr>
      <w:bookmarkStart w:id="24" w:name="_Toc217312449"/>
      <w:r>
        <w:rPr>
          <w:rFonts w:eastAsia="Symbol" w:cs="Symbol"/>
          <w:color w:themeColor="text1" w:val="000000"/>
        </w:rPr>
        <w:t>5.1. Население</w:t>
      </w:r>
      <w:bookmarkEnd w:id="24"/>
    </w:p>
    <w:p>
      <w:pPr>
        <w:pStyle w:val="Normal"/>
        <w:ind w:firstLine="709"/>
        <w:jc w:val="both"/>
        <w:rPr>
          <w:b/>
          <w:bCs/>
          <w:color w:themeColor="text1" w:val="000000"/>
          <w:sz w:val="16"/>
          <w:szCs w:val="16"/>
          <w:u w:val="single"/>
        </w:rPr>
      </w:pPr>
      <w:r>
        <w:rPr>
          <w:color w:themeColor="text1" w:val="000000"/>
        </w:rPr>
        <w:t>Город Калуга относится к крупным городам, является одним из опорных центров общего каркаса системы расселения ЦФО, выполняет функции административного, культурного и экономического центра. Городской округ занимает доминирующее положение в системе расселения Калужской области, концентрируя около 35</w:t>
      </w:r>
      <w:r>
        <w:rPr>
          <w:color w:themeColor="text1" w:val="000000"/>
          <w:lang w:val="en-US"/>
        </w:rPr>
        <w:t> </w:t>
      </w:r>
      <w:r>
        <w:rPr>
          <w:color w:themeColor="text1" w:val="000000"/>
        </w:rPr>
        <w:t xml:space="preserve">% всего населения Калужской области. </w:t>
      </w:r>
    </w:p>
    <w:p>
      <w:pPr>
        <w:pStyle w:val="Normal"/>
        <w:spacing w:before="60" w:after="60"/>
        <w:ind w:firstLine="709"/>
        <w:jc w:val="both"/>
        <w:rPr>
          <w:color w:themeColor="text1" w:val="000000"/>
        </w:rPr>
      </w:pPr>
      <w:r>
        <w:rPr>
          <w:b/>
          <w:bCs/>
          <w:color w:themeColor="text1" w:val="000000"/>
        </w:rPr>
        <w:t xml:space="preserve">Динамика численности населения </w:t>
      </w:r>
    </w:p>
    <w:p>
      <w:pPr>
        <w:pStyle w:val="Normal"/>
        <w:ind w:firstLine="709"/>
        <w:jc w:val="both"/>
        <w:rPr>
          <w:color w:themeColor="text1" w:val="000000"/>
        </w:rPr>
      </w:pPr>
      <w:r>
        <w:rPr>
          <w:color w:themeColor="text1" w:val="000000"/>
        </w:rPr>
        <w:t>Численность населения городского округа на 01.01.2023 составляет 355 488 человек, в том числе городское население – 336 716 (город Калуга), сельское население 18 772 человек (проживающих в 72 сельских населенных пунктах). По данным переписи населения 2010 г. численность населения городского округа составляла 339 488 человек. Рост численности населения обусловлен также изменением границ городского округа в 2012 году с включением в его территорию бывшего городского поселения «Поселок Куровской», ранее входившего в состав Дзержинского муниципального района.</w:t>
      </w:r>
    </w:p>
    <w:p>
      <w:pPr>
        <w:pStyle w:val="Normal"/>
        <w:ind w:firstLine="709"/>
        <w:jc w:val="right"/>
        <w:rPr>
          <w:bCs/>
          <w:color w:themeColor="text1" w:val="000000"/>
        </w:rPr>
      </w:pPr>
      <w:r>
        <w:rPr>
          <w:color w:themeColor="text1" w:val="000000"/>
        </w:rPr>
        <w:t>Таблица 5.1.1.</w:t>
      </w:r>
    </w:p>
    <w:p>
      <w:pPr>
        <w:pStyle w:val="Normal"/>
        <w:jc w:val="center"/>
        <w:rPr>
          <w:rFonts w:eastAsia="SimSun"/>
          <w:color w:themeColor="text1" w:val="000000"/>
        </w:rPr>
      </w:pPr>
      <w:r>
        <w:rPr>
          <w:rFonts w:eastAsia="SimSun"/>
          <w:color w:themeColor="text1" w:val="000000"/>
        </w:rPr>
        <w:t>Динамика численности населения городского округа</w:t>
      </w:r>
    </w:p>
    <w:tbl>
      <w:tblPr>
        <w:tblStyle w:val="afffffffffffc"/>
        <w:tblW w:w="9979"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512"/>
        <w:gridCol w:w="1082"/>
        <w:gridCol w:w="1081"/>
        <w:gridCol w:w="1067"/>
        <w:gridCol w:w="1077"/>
        <w:gridCol w:w="1086"/>
        <w:gridCol w:w="1073"/>
      </w:tblGrid>
      <w:tr>
        <w:trPr/>
        <w:tc>
          <w:tcPr>
            <w:tcW w:w="3512" w:type="dxa"/>
            <w:tcBorders/>
            <w:shd w:color="auto" w:fill="EDEDED" w:themeFill="accent3" w:themeFillTint="33" w:val="clear"/>
          </w:tcPr>
          <w:p>
            <w:pPr>
              <w:pStyle w:val="Normal"/>
              <w:widowControl w:val="false"/>
              <w:spacing w:before="0" w:after="0"/>
              <w:rPr>
                <w:b/>
                <w:color w:themeColor="text1" w:val="000000"/>
                <w:sz w:val="22"/>
                <w:szCs w:val="22"/>
              </w:rPr>
            </w:pPr>
            <w:r>
              <w:rPr>
                <w:rFonts w:eastAsia="SimSun"/>
                <w:b/>
                <w:color w:themeColor="text1" w:val="000000"/>
                <w:sz w:val="22"/>
                <w:szCs w:val="22"/>
              </w:rPr>
              <w:t>Годы</w:t>
            </w:r>
          </w:p>
        </w:tc>
        <w:tc>
          <w:tcPr>
            <w:tcW w:w="1082" w:type="dxa"/>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2018</w:t>
            </w:r>
          </w:p>
        </w:tc>
        <w:tc>
          <w:tcPr>
            <w:tcW w:w="1081" w:type="dxa"/>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2019</w:t>
            </w:r>
          </w:p>
        </w:tc>
        <w:tc>
          <w:tcPr>
            <w:tcW w:w="1067" w:type="dxa"/>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2020</w:t>
            </w:r>
          </w:p>
        </w:tc>
        <w:tc>
          <w:tcPr>
            <w:tcW w:w="1077" w:type="dxa"/>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2021</w:t>
            </w:r>
          </w:p>
        </w:tc>
        <w:tc>
          <w:tcPr>
            <w:tcW w:w="1086" w:type="dxa"/>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2022</w:t>
            </w:r>
          </w:p>
        </w:tc>
        <w:tc>
          <w:tcPr>
            <w:tcW w:w="1073" w:type="dxa"/>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2023</w:t>
            </w:r>
          </w:p>
        </w:tc>
      </w:tr>
      <w:tr>
        <w:trPr>
          <w:trHeight w:val="403" w:hRule="atLeast"/>
        </w:trPr>
        <w:tc>
          <w:tcPr>
            <w:tcW w:w="3512" w:type="dxa"/>
            <w:tcBorders/>
            <w:shd w:color="auto" w:fill="EDEDED" w:themeFill="accent3" w:themeFillTint="33" w:val="clear"/>
            <w:vAlign w:val="center"/>
          </w:tcPr>
          <w:p>
            <w:pPr>
              <w:pStyle w:val="Normal"/>
              <w:widowControl w:val="false"/>
              <w:spacing w:before="0" w:after="0"/>
              <w:rPr>
                <w:b/>
                <w:color w:themeColor="text1" w:val="000000"/>
                <w:sz w:val="22"/>
                <w:szCs w:val="22"/>
              </w:rPr>
            </w:pPr>
            <w:r>
              <w:rPr>
                <w:rFonts w:eastAsia="SimSun"/>
                <w:b/>
                <w:color w:themeColor="text1" w:val="000000"/>
                <w:sz w:val="22"/>
                <w:szCs w:val="22"/>
              </w:rPr>
              <w:t>Население, чел.</w:t>
            </w:r>
          </w:p>
        </w:tc>
        <w:tc>
          <w:tcPr>
            <w:tcW w:w="1082"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358 560</w:t>
            </w:r>
          </w:p>
        </w:tc>
        <w:tc>
          <w:tcPr>
            <w:tcW w:w="1081" w:type="dxa"/>
            <w:tcBorders/>
            <w:shd w:fill="auto" w:val="clear"/>
            <w:vAlign w:val="center"/>
          </w:tcPr>
          <w:p>
            <w:pPr>
              <w:pStyle w:val="Normal"/>
              <w:widowControl w:val="false"/>
              <w:spacing w:before="0" w:after="0"/>
              <w:jc w:val="both"/>
              <w:rPr>
                <w:color w:themeColor="text1" w:val="000000"/>
                <w:sz w:val="22"/>
                <w:szCs w:val="22"/>
              </w:rPr>
            </w:pPr>
            <w:r>
              <w:rPr>
                <w:color w:themeColor="text1" w:val="000000"/>
                <w:sz w:val="22"/>
                <w:szCs w:val="22"/>
              </w:rPr>
              <w:t>353 540</w:t>
            </w:r>
          </w:p>
        </w:tc>
        <w:tc>
          <w:tcPr>
            <w:tcW w:w="1067" w:type="dxa"/>
            <w:tcBorders/>
            <w:shd w:fill="auto" w:val="clear"/>
            <w:vAlign w:val="center"/>
          </w:tcPr>
          <w:p>
            <w:pPr>
              <w:pStyle w:val="Normal"/>
              <w:widowControl w:val="false"/>
              <w:spacing w:before="0" w:after="0"/>
              <w:jc w:val="both"/>
              <w:rPr>
                <w:color w:themeColor="text1" w:val="000000"/>
                <w:sz w:val="22"/>
                <w:szCs w:val="22"/>
              </w:rPr>
            </w:pPr>
            <w:r>
              <w:rPr>
                <w:color w:themeColor="text1" w:val="000000"/>
                <w:sz w:val="22"/>
                <w:szCs w:val="22"/>
              </w:rPr>
              <w:t>347 905</w:t>
            </w:r>
          </w:p>
        </w:tc>
        <w:tc>
          <w:tcPr>
            <w:tcW w:w="1077" w:type="dxa"/>
            <w:tcBorders/>
            <w:shd w:fill="auto" w:val="clear"/>
            <w:vAlign w:val="center"/>
          </w:tcPr>
          <w:p>
            <w:pPr>
              <w:pStyle w:val="Normal"/>
              <w:widowControl w:val="false"/>
              <w:spacing w:before="0" w:after="0"/>
              <w:jc w:val="both"/>
              <w:rPr>
                <w:color w:themeColor="text1" w:val="000000"/>
                <w:sz w:val="22"/>
                <w:szCs w:val="22"/>
              </w:rPr>
            </w:pPr>
            <w:r>
              <w:rPr>
                <w:color w:themeColor="text1" w:val="000000"/>
                <w:sz w:val="22"/>
                <w:szCs w:val="22"/>
              </w:rPr>
              <w:t>347 150</w:t>
            </w:r>
          </w:p>
        </w:tc>
        <w:tc>
          <w:tcPr>
            <w:tcW w:w="1086" w:type="dxa"/>
            <w:tcBorders/>
            <w:shd w:fill="auto" w:val="clear"/>
            <w:vAlign w:val="center"/>
          </w:tcPr>
          <w:p>
            <w:pPr>
              <w:pStyle w:val="Normal"/>
              <w:widowControl w:val="false"/>
              <w:spacing w:before="0" w:after="0"/>
              <w:jc w:val="both"/>
              <w:rPr>
                <w:color w:themeColor="text1" w:val="000000"/>
                <w:sz w:val="22"/>
                <w:szCs w:val="22"/>
              </w:rPr>
            </w:pPr>
            <w:r>
              <w:rPr>
                <w:color w:themeColor="text1" w:val="000000"/>
                <w:sz w:val="22"/>
                <w:szCs w:val="22"/>
              </w:rPr>
              <w:t>350 667</w:t>
            </w:r>
          </w:p>
        </w:tc>
        <w:tc>
          <w:tcPr>
            <w:tcW w:w="1073" w:type="dxa"/>
            <w:tcBorders/>
            <w:shd w:fill="auto" w:val="clear"/>
            <w:vAlign w:val="center"/>
          </w:tcPr>
          <w:p>
            <w:pPr>
              <w:pStyle w:val="Normal"/>
              <w:widowControl w:val="false"/>
              <w:spacing w:before="0" w:after="0"/>
              <w:jc w:val="both"/>
              <w:rPr>
                <w:color w:themeColor="text1" w:val="000000"/>
                <w:sz w:val="22"/>
                <w:szCs w:val="22"/>
              </w:rPr>
            </w:pPr>
            <w:r>
              <w:rPr>
                <w:color w:themeColor="text1" w:val="000000"/>
                <w:sz w:val="22"/>
                <w:szCs w:val="22"/>
              </w:rPr>
              <w:t>355 488</w:t>
            </w:r>
          </w:p>
        </w:tc>
      </w:tr>
      <w:tr>
        <w:trPr>
          <w:trHeight w:val="410" w:hRule="atLeast"/>
        </w:trPr>
        <w:tc>
          <w:tcPr>
            <w:tcW w:w="3512" w:type="dxa"/>
            <w:tcBorders/>
            <w:shd w:color="auto" w:fill="EDEDED" w:themeFill="accent3" w:themeFillTint="33" w:val="clear"/>
            <w:vAlign w:val="center"/>
          </w:tcPr>
          <w:p>
            <w:pPr>
              <w:pStyle w:val="Normal"/>
              <w:widowControl w:val="false"/>
              <w:spacing w:before="0" w:after="0"/>
              <w:rPr>
                <w:b/>
                <w:color w:themeColor="text1" w:val="000000"/>
                <w:sz w:val="22"/>
                <w:szCs w:val="22"/>
              </w:rPr>
            </w:pPr>
            <w:r>
              <w:rPr>
                <w:rFonts w:eastAsia="SimSun"/>
                <w:b/>
                <w:color w:themeColor="text1" w:val="000000"/>
                <w:sz w:val="22"/>
                <w:szCs w:val="22"/>
              </w:rPr>
              <w:t>Разница к предыдущему году</w:t>
            </w:r>
          </w:p>
        </w:tc>
        <w:tc>
          <w:tcPr>
            <w:tcW w:w="1082" w:type="dxa"/>
            <w:tcBorders>
              <w:top w:val="nil"/>
              <w:left w:val="nil"/>
              <w:bottom w:val="single" w:sz="8" w:space="0" w:color="000000"/>
              <w:right w:val="single" w:sz="8" w:space="0" w:color="000000"/>
            </w:tcBorders>
            <w:shd w:color="auto" w:fill="auto" w:val="clear"/>
            <w:vAlign w:val="center"/>
          </w:tcPr>
          <w:p>
            <w:pPr>
              <w:pStyle w:val="Normal"/>
              <w:widowControl w:val="false"/>
              <w:spacing w:before="0" w:after="0"/>
              <w:jc w:val="center"/>
              <w:rPr>
                <w:color w:themeColor="text1" w:val="000000"/>
                <w:sz w:val="22"/>
                <w:szCs w:val="22"/>
                <w:lang w:val="en-US"/>
              </w:rPr>
            </w:pPr>
            <w:r>
              <w:rPr>
                <w:color w:themeColor="text1" w:val="000000"/>
                <w:sz w:val="22"/>
                <w:szCs w:val="22"/>
                <w:lang w:val="en-US"/>
              </w:rPr>
              <w:t>2560</w:t>
            </w:r>
          </w:p>
        </w:tc>
        <w:tc>
          <w:tcPr>
            <w:tcW w:w="1081" w:type="dxa"/>
            <w:tcBorders>
              <w:top w:val="nil"/>
              <w:left w:val="nil"/>
              <w:bottom w:val="single" w:sz="8" w:space="0" w:color="000000"/>
              <w:right w:val="single" w:sz="8" w:space="0" w:color="000000"/>
            </w:tcBorders>
            <w:shd w:color="auto"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-5 020</w:t>
            </w:r>
          </w:p>
        </w:tc>
        <w:tc>
          <w:tcPr>
            <w:tcW w:w="1067" w:type="dxa"/>
            <w:tcBorders>
              <w:top w:val="nil"/>
              <w:left w:val="nil"/>
              <w:bottom w:val="single" w:sz="8" w:space="0" w:color="000000"/>
              <w:right w:val="single" w:sz="8" w:space="0" w:color="000000"/>
            </w:tcBorders>
            <w:shd w:color="auto"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-5 635</w:t>
            </w:r>
          </w:p>
        </w:tc>
        <w:tc>
          <w:tcPr>
            <w:tcW w:w="1077" w:type="dxa"/>
            <w:tcBorders>
              <w:top w:val="nil"/>
              <w:left w:val="nil"/>
              <w:bottom w:val="single" w:sz="8" w:space="0" w:color="000000"/>
              <w:right w:val="single" w:sz="8" w:space="0" w:color="000000"/>
            </w:tcBorders>
            <w:shd w:color="auto"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-755</w:t>
            </w:r>
          </w:p>
        </w:tc>
        <w:tc>
          <w:tcPr>
            <w:tcW w:w="1086" w:type="dxa"/>
            <w:tcBorders>
              <w:top w:val="nil"/>
              <w:left w:val="nil"/>
              <w:bottom w:val="single" w:sz="8" w:space="0" w:color="000000"/>
              <w:right w:val="single" w:sz="8" w:space="0" w:color="000000"/>
            </w:tcBorders>
            <w:shd w:color="auto"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3 517</w:t>
            </w:r>
          </w:p>
        </w:tc>
        <w:tc>
          <w:tcPr>
            <w:tcW w:w="1073" w:type="dxa"/>
            <w:tcBorders>
              <w:top w:val="nil"/>
              <w:left w:val="nil"/>
              <w:bottom w:val="single" w:sz="8" w:space="0" w:color="000000"/>
              <w:right w:val="single" w:sz="8" w:space="0" w:color="000000"/>
            </w:tcBorders>
            <w:shd w:color="auto"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4 821</w:t>
            </w:r>
          </w:p>
        </w:tc>
      </w:tr>
    </w:tbl>
    <w:p>
      <w:pPr>
        <w:pStyle w:val="Normal"/>
        <w:ind w:firstLine="709"/>
        <w:jc w:val="both"/>
        <w:rPr>
          <w:bCs/>
          <w:color w:themeColor="text1" w:val="000000"/>
        </w:rPr>
      </w:pPr>
      <w:r>
        <w:rPr>
          <w:bCs/>
          <w:color w:themeColor="text1" w:val="000000"/>
        </w:rPr>
        <w:t>По данным переписи населения 2020 года по численности населения город находится на 57-м месте из 1119 городов Российской Федерации.</w:t>
      </w:r>
    </w:p>
    <w:p>
      <w:pPr>
        <w:pStyle w:val="Normal"/>
        <w:ind w:firstLine="709"/>
        <w:jc w:val="both"/>
        <w:rPr>
          <w:bCs/>
          <w:color w:themeColor="text1" w:val="000000"/>
        </w:rPr>
      </w:pPr>
      <w:r>
        <w:rPr>
          <w:bCs/>
          <w:color w:themeColor="text1" w:val="000000"/>
        </w:rPr>
        <w:t>В составе сельских населенных пунктов наиболее крупными по численности населения являются 13 (с населением более 300 человек) – таблица 5.1.2.</w:t>
      </w:r>
    </w:p>
    <w:p>
      <w:pPr>
        <w:pStyle w:val="Normal"/>
        <w:ind w:firstLine="709"/>
        <w:jc w:val="right"/>
        <w:rPr>
          <w:bCs/>
          <w:color w:themeColor="text1" w:val="000000"/>
        </w:rPr>
      </w:pPr>
      <w:r>
        <w:rPr>
          <w:color w:themeColor="text1" w:val="000000"/>
        </w:rPr>
        <w:t>Таблица 5.1.2.</w:t>
      </w:r>
    </w:p>
    <w:p>
      <w:pPr>
        <w:pStyle w:val="Normal"/>
        <w:jc w:val="center"/>
        <w:rPr>
          <w:color w:themeColor="text1" w:val="000000"/>
          <w:sz w:val="22"/>
          <w:szCs w:val="22"/>
        </w:rPr>
      </w:pPr>
      <w:r>
        <w:rPr>
          <w:bCs/>
          <w:color w:themeColor="text1" w:val="000000"/>
        </w:rPr>
        <w:t>Численность населения по сельским населенным пункта</w:t>
      </w:r>
    </w:p>
    <w:tbl>
      <w:tblPr>
        <w:tblStyle w:val="afffffffffffc"/>
        <w:tblW w:w="807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66"/>
        <w:gridCol w:w="4893"/>
        <w:gridCol w:w="2"/>
        <w:gridCol w:w="2414"/>
      </w:tblGrid>
      <w:tr>
        <w:trPr>
          <w:tblHeader w:val="true"/>
        </w:trPr>
        <w:tc>
          <w:tcPr>
            <w:tcW w:w="766"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w:t>
            </w:r>
          </w:p>
          <w:p>
            <w:pPr>
              <w:pStyle w:val="Normal"/>
              <w:widowControl w:val="false"/>
              <w:spacing w:before="0" w:after="0"/>
              <w:jc w:val="center"/>
              <w:rPr>
                <w:b/>
                <w:color w:themeColor="text1" w:val="000000"/>
                <w:sz w:val="22"/>
                <w:szCs w:val="22"/>
              </w:rPr>
            </w:pPr>
            <w:r>
              <w:rPr>
                <w:rFonts w:eastAsia="SimSun"/>
                <w:b/>
                <w:color w:themeColor="text1" w:val="000000"/>
                <w:sz w:val="22"/>
                <w:szCs w:val="22"/>
              </w:rPr>
              <w:t>п/п</w:t>
            </w:r>
          </w:p>
        </w:tc>
        <w:tc>
          <w:tcPr>
            <w:tcW w:w="4893"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Населенный пункт</w:t>
            </w:r>
          </w:p>
        </w:tc>
        <w:tc>
          <w:tcPr>
            <w:tcW w:w="2416" w:type="dxa"/>
            <w:gridSpan w:val="2"/>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Кол-во жителей, чел.</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Мстихино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2924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Шопино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2294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Росва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1629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Колюпаново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1326</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Канищево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1312</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Лихун</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1017</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ж/д ст. Тихонова Пустынь</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671</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8</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Муратовского щебзавода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554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9</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Плетеневка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529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10</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Муратовка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485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 Мирный</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446</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Яглово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321</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Пучково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315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14</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Григоровка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289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15</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Тинино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276</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16</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Андреевское</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271</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Петрово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268</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Некрасово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227</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Воровая</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209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20</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Крутицы</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208</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Рождествено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205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Ильинка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23</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Желыбино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24</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Тимошево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25</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Галкино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170</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26</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Чижовка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164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27</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Рябинки</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140</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28</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Матюнино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29</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Жерело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124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30</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Карачево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113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 Новый</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113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Приокское лесничество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101</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33</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Пригородного лесничества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95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34</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Косарево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78</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35</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Груздово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36</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Животинки</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37</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Горенское</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62</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38</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Сосновый Бор</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62</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39</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Верхняя Вырка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40</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Большая Каменка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Починки</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50</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Спас</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48</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43</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Доможирово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47</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44</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Зеленый</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47</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45</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Городок</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46</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Малая Каменка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47</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Белая</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48</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Марьино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42</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49</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Заречье</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40</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50</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Угра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Бабенки</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36</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Юрьевка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53</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Горенское</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54</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Сивково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55</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Георгиевское</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56</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Николо-Лапиносово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57</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Колюпановская подстанция</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58</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Березовка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59</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Калашников Хутор</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60</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Нижняя Вырка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Козлово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Орешково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16</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63</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Новоселки</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64</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Уварово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15</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65</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Шахты</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66</w:t>
            </w:r>
          </w:p>
        </w:tc>
        <w:tc>
          <w:tcPr>
            <w:tcW w:w="4893" w:type="dxa"/>
            <w:tcBorders/>
            <w:shd w:fill="auto" w:val="clear"/>
            <w:vAlign w:val="center"/>
          </w:tcPr>
          <w:p>
            <w:pPr>
              <w:pStyle w:val="Normal"/>
              <w:widowControl w:val="false"/>
              <w:spacing w:before="0" w:after="0"/>
              <w:rPr/>
            </w:pPr>
            <w:r>
              <w:rPr>
                <w:rFonts w:eastAsia="SimSun"/>
                <w:color w:themeColor="text1" w:val="000000"/>
                <w:sz w:val="22"/>
                <w:szCs w:val="22"/>
              </w:rPr>
              <w:t>ж/д ст. Горенская</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67</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Аргуново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12</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68</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Рожки</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12</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69</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Сокорево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11</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70</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Лобаново</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71</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Макаровка</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4</w:t>
            </w:r>
          </w:p>
        </w:tc>
      </w:tr>
      <w:tr>
        <w:trPr>
          <w:trHeight w:val="283" w:hRule="atLeast"/>
        </w:trPr>
        <w:tc>
          <w:tcPr>
            <w:tcW w:w="766"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72</w:t>
            </w:r>
          </w:p>
        </w:tc>
        <w:tc>
          <w:tcPr>
            <w:tcW w:w="489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Переселенец</w:t>
            </w:r>
          </w:p>
        </w:tc>
        <w:tc>
          <w:tcPr>
            <w:tcW w:w="2416" w:type="dxa"/>
            <w:gridSpan w:val="2"/>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w:t>
            </w:r>
          </w:p>
        </w:tc>
      </w:tr>
      <w:tr>
        <w:trPr>
          <w:trHeight w:val="283" w:hRule="atLeast"/>
        </w:trPr>
        <w:tc>
          <w:tcPr>
            <w:tcW w:w="5661" w:type="dxa"/>
            <w:gridSpan w:val="3"/>
            <w:tcBorders/>
            <w:shd w:fill="auto" w:val="clear"/>
            <w:vAlign w:val="center"/>
          </w:tcPr>
          <w:p>
            <w:pPr>
              <w:pStyle w:val="Normal"/>
              <w:widowControl w:val="false"/>
              <w:spacing w:before="0" w:after="0"/>
              <w:jc w:val="right"/>
              <w:rPr>
                <w:b/>
                <w:color w:themeColor="text1" w:val="000000"/>
                <w:sz w:val="22"/>
                <w:szCs w:val="22"/>
              </w:rPr>
            </w:pPr>
            <w:r>
              <w:rPr>
                <w:rFonts w:eastAsia="SimSun"/>
                <w:b/>
                <w:color w:themeColor="text1" w:val="000000"/>
                <w:sz w:val="22"/>
                <w:szCs w:val="22"/>
              </w:rPr>
              <w:t>Всего</w:t>
            </w:r>
          </w:p>
        </w:tc>
        <w:tc>
          <w:tcPr>
            <w:tcW w:w="2414" w:type="dxa"/>
            <w:tcBorders/>
            <w:shd w:fill="auto"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18772</w:t>
            </w:r>
          </w:p>
        </w:tc>
      </w:tr>
    </w:tbl>
    <w:p>
      <w:pPr>
        <w:pStyle w:val="Normal"/>
        <w:ind w:firstLine="709"/>
        <w:jc w:val="both"/>
        <w:rPr>
          <w:color w:themeColor="text1" w:val="000000"/>
        </w:rPr>
      </w:pPr>
      <w:r>
        <w:rPr>
          <w:color w:themeColor="text1" w:val="000000"/>
        </w:rPr>
        <w:t>Несмотря на то, что в целом в Центральном федеральном округе наблюдается сокращение численности населения, численность населения городского округа в период 2010-2023 гг. увеличивалось. Увеличение численности населения связано с превышением миграционного прироста над естественной убылью.</w:t>
      </w:r>
    </w:p>
    <w:p>
      <w:pPr>
        <w:pStyle w:val="Normal"/>
        <w:ind w:firstLine="709" w:right="142"/>
        <w:jc w:val="right"/>
        <w:rPr>
          <w:bCs/>
          <w:color w:themeColor="text1" w:val="000000"/>
        </w:rPr>
      </w:pPr>
      <w:r>
        <w:rPr>
          <w:color w:themeColor="text1" w:val="000000"/>
        </w:rPr>
        <w:t>Таблица 5.1.3.</w:t>
      </w:r>
    </w:p>
    <w:p>
      <w:pPr>
        <w:pStyle w:val="Normal"/>
        <w:jc w:val="center"/>
        <w:rPr>
          <w:color w:themeColor="text1" w:val="000000"/>
          <w:sz w:val="22"/>
          <w:szCs w:val="22"/>
        </w:rPr>
      </w:pPr>
      <w:r>
        <w:rPr>
          <w:bCs/>
          <w:color w:themeColor="text1" w:val="000000"/>
        </w:rPr>
        <w:t>Естественное и механическое движение населения</w:t>
      </w:r>
    </w:p>
    <w:tbl>
      <w:tblPr>
        <w:tblW w:w="97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3782"/>
        <w:gridCol w:w="1194"/>
        <w:gridCol w:w="1201"/>
        <w:gridCol w:w="1188"/>
        <w:gridCol w:w="1204"/>
        <w:gridCol w:w="1190"/>
      </w:tblGrid>
      <w:tr>
        <w:trPr>
          <w:trHeight w:val="423" w:hRule="atLeast"/>
        </w:trPr>
        <w:tc>
          <w:tcPr>
            <w:tcW w:w="378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Показатели</w:t>
            </w:r>
          </w:p>
        </w:tc>
        <w:tc>
          <w:tcPr>
            <w:tcW w:w="1194"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2019</w:t>
            </w:r>
          </w:p>
        </w:tc>
        <w:tc>
          <w:tcPr>
            <w:tcW w:w="1201"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2020</w:t>
            </w:r>
          </w:p>
        </w:tc>
        <w:tc>
          <w:tcPr>
            <w:tcW w:w="1188"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2021</w:t>
            </w:r>
          </w:p>
        </w:tc>
        <w:tc>
          <w:tcPr>
            <w:tcW w:w="1204"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2022</w:t>
            </w:r>
          </w:p>
        </w:tc>
        <w:tc>
          <w:tcPr>
            <w:tcW w:w="1190"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2023</w:t>
            </w:r>
          </w:p>
        </w:tc>
      </w:tr>
      <w:tr>
        <w:trPr>
          <w:trHeight w:val="407"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color w:themeColor="text1" w:val="000000"/>
                <w:sz w:val="22"/>
                <w:szCs w:val="22"/>
                <w:lang w:eastAsia="ru-RU"/>
              </w:rPr>
            </w:pPr>
            <w:r>
              <w:rPr>
                <w:color w:themeColor="text1" w:val="000000"/>
                <w:sz w:val="22"/>
                <w:szCs w:val="22"/>
                <w:lang w:eastAsia="ru-RU"/>
              </w:rPr>
              <w:t>Родилось - всего,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3,693</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3,585</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3,498</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3,168</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1,279</w:t>
            </w:r>
          </w:p>
        </w:tc>
      </w:tr>
      <w:tr>
        <w:trPr>
          <w:trHeight w:val="399"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color w:themeColor="text1" w:val="000000"/>
                <w:sz w:val="22"/>
                <w:szCs w:val="22"/>
                <w:lang w:eastAsia="ru-RU"/>
              </w:rPr>
            </w:pPr>
            <w:r>
              <w:rPr>
                <w:color w:themeColor="text1" w:val="000000"/>
                <w:sz w:val="22"/>
                <w:szCs w:val="22"/>
                <w:lang w:eastAsia="ru-RU"/>
              </w:rPr>
              <w:t>Родилось на 1000 чел. –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10,5</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10,3</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10,1</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9,1</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8,7</w:t>
            </w:r>
          </w:p>
        </w:tc>
      </w:tr>
      <w:tr>
        <w:trPr>
          <w:trHeight w:val="420"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color w:themeColor="text1" w:val="000000"/>
                <w:sz w:val="22"/>
                <w:szCs w:val="22"/>
                <w:lang w:eastAsia="ru-RU"/>
              </w:rPr>
            </w:pPr>
            <w:r>
              <w:rPr>
                <w:color w:themeColor="text1" w:val="000000"/>
                <w:sz w:val="22"/>
                <w:szCs w:val="22"/>
                <w:lang w:eastAsia="ru-RU"/>
              </w:rPr>
              <w:t>Умерло - всего,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5,04</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6,122</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7,223</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5,372</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2,141</w:t>
            </w:r>
          </w:p>
        </w:tc>
      </w:tr>
      <w:tr>
        <w:trPr>
          <w:trHeight w:val="450"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color w:themeColor="text1" w:val="000000"/>
                <w:sz w:val="22"/>
                <w:szCs w:val="22"/>
                <w:lang w:eastAsia="ru-RU"/>
              </w:rPr>
            </w:pPr>
            <w:r>
              <w:rPr>
                <w:color w:themeColor="text1" w:val="000000"/>
                <w:sz w:val="22"/>
                <w:szCs w:val="22"/>
                <w:lang w:eastAsia="ru-RU"/>
              </w:rPr>
              <w:t>Умерло на 1000 чел. -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14,3</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17,7</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20,9</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15,4</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14,6</w:t>
            </w:r>
          </w:p>
        </w:tc>
      </w:tr>
      <w:tr>
        <w:trPr>
          <w:trHeight w:val="765"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b/>
                <w:bCs/>
                <w:color w:themeColor="text1" w:val="000000"/>
                <w:sz w:val="22"/>
                <w:szCs w:val="22"/>
                <w:lang w:eastAsia="ru-RU"/>
              </w:rPr>
            </w:pPr>
            <w:r>
              <w:rPr>
                <w:b/>
                <w:bCs/>
                <w:color w:themeColor="text1" w:val="000000"/>
                <w:sz w:val="22"/>
                <w:szCs w:val="22"/>
                <w:lang w:eastAsia="ru-RU"/>
              </w:rPr>
              <w:t>Естественный прирост – всего,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-1,347</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-2,537</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-3,725</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-2,203</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-0,862</w:t>
            </w:r>
          </w:p>
        </w:tc>
      </w:tr>
      <w:tr>
        <w:trPr>
          <w:trHeight w:val="645"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color w:themeColor="text1" w:val="000000"/>
                <w:sz w:val="22"/>
                <w:szCs w:val="22"/>
                <w:lang w:eastAsia="ru-RU"/>
              </w:rPr>
            </w:pPr>
            <w:r>
              <w:rPr>
                <w:color w:themeColor="text1" w:val="000000"/>
                <w:sz w:val="22"/>
                <w:szCs w:val="22"/>
                <w:lang w:eastAsia="ru-RU"/>
              </w:rPr>
              <w:t>Естественный прирост на 1000 чел. -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-4,0</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-7,4</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-10,8</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-6,3</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-5,9</w:t>
            </w:r>
          </w:p>
        </w:tc>
      </w:tr>
      <w:tr>
        <w:trPr>
          <w:trHeight w:val="509"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color w:themeColor="text1" w:val="000000"/>
                <w:sz w:val="22"/>
                <w:szCs w:val="22"/>
                <w:lang w:eastAsia="ru-RU"/>
              </w:rPr>
            </w:pPr>
            <w:r>
              <w:rPr>
                <w:color w:themeColor="text1" w:val="000000"/>
                <w:sz w:val="22"/>
                <w:szCs w:val="22"/>
                <w:lang w:eastAsia="ru-RU"/>
              </w:rPr>
              <w:t>Прибыло,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9,781</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12,203</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16,41</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12,923</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3,583</w:t>
            </w:r>
          </w:p>
        </w:tc>
      </w:tr>
      <w:tr>
        <w:trPr>
          <w:trHeight w:val="415"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color w:themeColor="text1" w:val="000000"/>
                <w:sz w:val="22"/>
                <w:szCs w:val="22"/>
                <w:lang w:eastAsia="ru-RU"/>
              </w:rPr>
            </w:pPr>
            <w:r>
              <w:rPr>
                <w:color w:themeColor="text1" w:val="000000"/>
                <w:sz w:val="22"/>
                <w:szCs w:val="22"/>
                <w:lang w:eastAsia="ru-RU"/>
              </w:rPr>
              <w:t>Выбыло,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14,043</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10,331</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9,191</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15,735</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4,028</w:t>
            </w:r>
          </w:p>
        </w:tc>
      </w:tr>
      <w:tr>
        <w:trPr>
          <w:trHeight w:val="423"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b/>
                <w:bCs/>
                <w:color w:themeColor="text1" w:val="000000"/>
                <w:sz w:val="22"/>
                <w:szCs w:val="22"/>
                <w:lang w:eastAsia="ru-RU"/>
              </w:rPr>
            </w:pPr>
            <w:r>
              <w:rPr>
                <w:b/>
                <w:bCs/>
                <w:color w:themeColor="text1" w:val="000000"/>
                <w:sz w:val="22"/>
                <w:szCs w:val="22"/>
                <w:lang w:eastAsia="ru-RU"/>
              </w:rPr>
              <w:t>Миграционный прирост,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-4,262</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1,871</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7,219</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-2,812</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-0,445</w:t>
            </w:r>
          </w:p>
        </w:tc>
      </w:tr>
      <w:tr>
        <w:trPr>
          <w:trHeight w:val="557" w:hRule="atLeast"/>
        </w:trPr>
        <w:tc>
          <w:tcPr>
            <w:tcW w:w="3782"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both"/>
              <w:rPr>
                <w:b/>
                <w:bCs/>
                <w:color w:themeColor="text1" w:val="000000"/>
                <w:sz w:val="22"/>
                <w:szCs w:val="22"/>
                <w:lang w:eastAsia="ru-RU"/>
              </w:rPr>
            </w:pPr>
            <w:r>
              <w:rPr>
                <w:b/>
                <w:bCs/>
                <w:color w:themeColor="text1" w:val="000000"/>
                <w:sz w:val="22"/>
                <w:szCs w:val="22"/>
                <w:lang w:eastAsia="ru-RU"/>
              </w:rPr>
              <w:t>Численность населения на начало года, тыс. чел.</w:t>
            </w:r>
          </w:p>
        </w:tc>
        <w:tc>
          <w:tcPr>
            <w:tcW w:w="119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353,54</w:t>
            </w:r>
          </w:p>
        </w:tc>
        <w:tc>
          <w:tcPr>
            <w:tcW w:w="1201"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347,905</w:t>
            </w:r>
          </w:p>
        </w:tc>
        <w:tc>
          <w:tcPr>
            <w:tcW w:w="1188"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347,15</w:t>
            </w:r>
          </w:p>
        </w:tc>
        <w:tc>
          <w:tcPr>
            <w:tcW w:w="1204"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350,667</w:t>
            </w:r>
          </w:p>
        </w:tc>
        <w:tc>
          <w:tcPr>
            <w:tcW w:w="1190" w:type="dxa"/>
            <w:tcBorders>
              <w:bottom w:val="single" w:sz="4" w:space="0" w:color="000000"/>
              <w:right w:val="single" w:sz="4" w:space="0" w:color="000000"/>
            </w:tcBorders>
            <w:shd w:color="auto" w:fill="auto" w:val="clear"/>
            <w:vAlign w:val="center"/>
          </w:tcPr>
          <w:p>
            <w:pPr>
              <w:pStyle w:val="Normal"/>
              <w:widowControl w:val="false"/>
              <w:suppressAutoHyphens w:val="false"/>
              <w:jc w:val="center"/>
              <w:rPr>
                <w:b/>
                <w:color w:themeColor="text1" w:val="000000"/>
                <w:sz w:val="22"/>
                <w:szCs w:val="22"/>
                <w:lang w:eastAsia="ru-RU"/>
              </w:rPr>
            </w:pPr>
            <w:r>
              <w:rPr>
                <w:b/>
                <w:color w:themeColor="text1" w:val="000000"/>
                <w:sz w:val="22"/>
                <w:szCs w:val="22"/>
                <w:lang w:eastAsia="ru-RU"/>
              </w:rPr>
              <w:t>355,488</w:t>
            </w:r>
          </w:p>
        </w:tc>
      </w:tr>
    </w:tbl>
    <w:p>
      <w:pPr>
        <w:pStyle w:val="Normal"/>
        <w:ind w:firstLine="709"/>
        <w:jc w:val="both"/>
        <w:rPr>
          <w:color w:themeColor="text1" w:val="000000"/>
        </w:rPr>
      </w:pPr>
      <w:r>
        <w:rPr>
          <w:color w:themeColor="text1" w:val="000000"/>
        </w:rPr>
        <w:t xml:space="preserve">Современная демографическая ситуация городского округа сформировалась под влиянием социально-экономических и демографических процессов в Российской Федерации, происходивших в предыдущие десятилетия. Из сравнительного анализа демографической ситуации, сложившейся на территории городского округа, следует, что основными слагаемыми его успешного развития (стабилизации численности населения и последующего улучшения демографической ситуации) являются низкий уровень смертности населения и положительное сальдо миграции. </w:t>
      </w:r>
    </w:p>
    <w:p>
      <w:pPr>
        <w:pStyle w:val="Normal"/>
        <w:spacing w:before="60" w:after="60"/>
        <w:ind w:firstLine="709"/>
        <w:jc w:val="both"/>
        <w:rPr>
          <w:b/>
          <w:bCs/>
          <w:color w:themeColor="text1" w:val="000000"/>
        </w:rPr>
      </w:pPr>
      <w:r>
        <w:rPr>
          <w:b/>
          <w:bCs/>
          <w:color w:themeColor="text1" w:val="000000"/>
        </w:rPr>
        <w:t>Трудовые ресурсы и занятость</w:t>
      </w:r>
    </w:p>
    <w:p>
      <w:pPr>
        <w:pStyle w:val="Normal"/>
        <w:ind w:firstLine="709"/>
        <w:jc w:val="both"/>
        <w:rPr/>
      </w:pPr>
      <w:r>
        <w:rPr>
          <w:color w:themeColor="text1" w:val="000000"/>
        </w:rPr>
        <w:t xml:space="preserve">Трудовые ресурсы включают среднегодовую численность занятых в экономике (занятое население трудоспособного возраста и занятые в экономике лица моложе и старше трудоспособного возраста); учащихся в трудоспособном возрасте, обучающихся с отрывом от работы; а также трудоспособное население в трудоспособном возрасте, не занятое в экономике. На долю трудоспособного населения приходится более 55% жителей городского округа. Численность жителей старше трудоспособного возраста составляет почти 28%, а жителей моложе трудоспособного возраста – менее 17%. Число занятых в экономике составляет 110567 человек (51,4 % населения в трудоспособном возрасте). Трудовые ресурсы города характеризуются высоким уровнем образования (65,8 % занятого населения с высшим образованием). </w:t>
      </w:r>
    </w:p>
    <w:p>
      <w:pPr>
        <w:pStyle w:val="Normal"/>
        <w:ind w:firstLine="709"/>
        <w:jc w:val="both"/>
        <w:rPr>
          <w:color w:themeColor="text1" w:val="000000"/>
        </w:rPr>
      </w:pPr>
      <w:r>
        <w:rPr>
          <w:color w:themeColor="text1" w:val="000000"/>
        </w:rPr>
        <w:t>Оценку развития трудовых ресурсов усложняет активное развитие трудовой маятниковой миграции как в пределах Калужской области, так и между областью и городом Москвой. Предприятия, расположенные на территории городского округа, являются также местом приложения труда населения смежных районов Калужской области. Ситуация на рынке труда в городском округе существенно более благоприятна, чем в целом по области.</w:t>
      </w:r>
    </w:p>
    <w:p>
      <w:pPr>
        <w:pStyle w:val="Style70"/>
        <w:spacing w:before="0" w:after="0"/>
        <w:ind w:firstLine="709"/>
        <w:rPr>
          <w:color w:themeColor="text1" w:val="000000"/>
        </w:rPr>
      </w:pPr>
      <w:r>
        <w:rPr>
          <w:color w:themeColor="text1" w:val="000000"/>
        </w:rPr>
        <w:t>Рынок труда г. Калуги отличается повышенной стабильностью благодаря концентрации в городе большого числа крупных и средних предприятий и организаций (рабочих мест). Рынок труда характеризуется высокой степенью подвижности, что связано с высоким уровнем развития транспортного сообщения, способствующего расширению трудовых маятниковых миграционных процессов как в сторону города Калуги (в том числе из районов Калужской области), так и из Калуги в сторону Москвы. В структуре занятости по крупным и средним предприятиям 33,8 % приходится на обрабатывающие производства. Численность и доля официально зарегистрированных безработных находятся на минимальном уровне, обычно характерном для сбалансировано развивающейся экономической ситуации.</w:t>
      </w:r>
    </w:p>
    <w:p>
      <w:pPr>
        <w:pStyle w:val="Heading3"/>
        <w:numPr>
          <w:ilvl w:val="2"/>
          <w:numId w:val="2"/>
        </w:numPr>
        <w:spacing w:before="100" w:after="100"/>
        <w:ind w:firstLine="709" w:left="0"/>
        <w:rPr>
          <w:rFonts w:eastAsia="Symbol" w:cs="Symbol"/>
          <w:color w:themeColor="text1" w:val="000000"/>
        </w:rPr>
      </w:pPr>
      <w:bookmarkStart w:id="25" w:name="_Toc217312450"/>
      <w:r>
        <w:rPr>
          <w:rFonts w:eastAsia="Symbol" w:cs="Symbol"/>
          <w:color w:themeColor="text1" w:val="000000"/>
        </w:rPr>
        <w:t>5.2. Экономическая база</w:t>
      </w:r>
      <w:bookmarkEnd w:id="25"/>
    </w:p>
    <w:p>
      <w:pPr>
        <w:pStyle w:val="Style70"/>
        <w:spacing w:before="0" w:after="0"/>
        <w:ind w:firstLine="709"/>
        <w:rPr>
          <w:bCs/>
          <w:color w:themeColor="text1" w:val="000000"/>
        </w:rPr>
      </w:pPr>
      <w:r>
        <w:rPr>
          <w:bCs/>
          <w:color w:themeColor="text1" w:val="000000"/>
        </w:rPr>
        <w:t xml:space="preserve">В основе многоотраслевого экономического комплекса городского округа </w:t>
      </w:r>
      <w:r>
        <w:rPr>
          <w:rFonts w:cs="Calibri"/>
          <w:color w:themeColor="text1" w:val="000000"/>
          <w:szCs w:val="22"/>
          <w:lang w:eastAsia="en-US"/>
        </w:rPr>
        <w:t xml:space="preserve">в настоящее время основную роль играет развитие промышленности, на предприятиях которой занято более трети трудоспособного населения города. </w:t>
      </w:r>
      <w:r>
        <w:rPr>
          <w:color w:themeColor="text1" w:val="000000"/>
        </w:rPr>
        <w:t xml:space="preserve">Удельный вес города в общем объеме выпуска промышленной продукции по области составляет порядка 60 %. </w:t>
      </w:r>
      <w:r>
        <w:rPr>
          <w:bCs/>
          <w:color w:themeColor="text1" w:val="000000"/>
          <w:lang w:eastAsia="en-US"/>
        </w:rPr>
        <w:t xml:space="preserve">Более 90 % всего объема промышленной продукции производят 145 крупных и средних предприятий. </w:t>
      </w:r>
      <w:r>
        <w:rPr>
          <w:bCs/>
          <w:color w:themeColor="text1" w:val="000000"/>
        </w:rPr>
        <w:t>Экономический комплекс города Калуги обладает высоким научным потенциалом. Кроме того, на территории городского округа расположены предприятия сельскохозяйственного комплекса, объекты отдыха и туризма.</w:t>
      </w:r>
    </w:p>
    <w:p>
      <w:pPr>
        <w:pStyle w:val="Normal"/>
        <w:ind w:firstLine="709"/>
        <w:jc w:val="right"/>
        <w:rPr>
          <w:bCs/>
          <w:color w:themeColor="text1" w:val="000000"/>
        </w:rPr>
      </w:pPr>
      <w:r>
        <w:rPr>
          <w:color w:themeColor="text1" w:val="000000"/>
        </w:rPr>
        <w:t>Таблица 5.2.1.</w:t>
      </w:r>
    </w:p>
    <w:p>
      <w:pPr>
        <w:pStyle w:val="Normal"/>
        <w:jc w:val="center"/>
        <w:rPr>
          <w:color w:themeColor="text1" w:val="000000"/>
        </w:rPr>
      </w:pPr>
      <w:r>
        <w:rPr>
          <w:color w:themeColor="text1" w:val="000000"/>
        </w:rPr>
        <w:t xml:space="preserve">Основные показатели экономической деятельности городского округа </w:t>
      </w:r>
    </w:p>
    <w:tbl>
      <w:tblPr>
        <w:tblW w:w="1006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845"/>
        <w:gridCol w:w="5365"/>
        <w:gridCol w:w="1005"/>
        <w:gridCol w:w="2844"/>
      </w:tblGrid>
      <w:tr>
        <w:trPr>
          <w:trHeight w:val="669" w:hRule="atLeast"/>
        </w:trPr>
        <w:tc>
          <w:tcPr>
            <w:tcW w:w="84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w:t>
            </w:r>
          </w:p>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п/п</w:t>
            </w:r>
          </w:p>
        </w:tc>
        <w:tc>
          <w:tcPr>
            <w:tcW w:w="5365"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Характеристика</w:t>
            </w:r>
          </w:p>
        </w:tc>
        <w:tc>
          <w:tcPr>
            <w:tcW w:w="1005"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Формат данных</w:t>
            </w:r>
          </w:p>
        </w:tc>
        <w:tc>
          <w:tcPr>
            <w:tcW w:w="2844"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Показатели</w:t>
            </w:r>
          </w:p>
        </w:tc>
      </w:tr>
      <w:tr>
        <w:trPr>
          <w:trHeight w:val="356" w:hRule="atLeast"/>
        </w:trPr>
        <w:tc>
          <w:tcPr>
            <w:tcW w:w="8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w:t>
            </w:r>
          </w:p>
        </w:tc>
        <w:tc>
          <w:tcPr>
            <w:tcW w:w="5365"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Объем промышленного производства, тыс. руб.</w:t>
            </w:r>
          </w:p>
        </w:tc>
        <w:tc>
          <w:tcPr>
            <w:tcW w:w="1005"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число</w:t>
            </w:r>
          </w:p>
        </w:tc>
        <w:tc>
          <w:tcPr>
            <w:tcW w:w="2844" w:type="dxa"/>
            <w:tcBorders>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231576547,00</w:t>
            </w:r>
          </w:p>
        </w:tc>
      </w:tr>
      <w:tr>
        <w:trPr>
          <w:trHeight w:val="275" w:hRule="atLeast"/>
        </w:trPr>
        <w:tc>
          <w:tcPr>
            <w:tcW w:w="8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w:t>
            </w:r>
          </w:p>
        </w:tc>
        <w:tc>
          <w:tcPr>
            <w:tcW w:w="5365"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Объем продукции сельского хозяйства, тыс. руб.</w:t>
            </w:r>
          </w:p>
        </w:tc>
        <w:tc>
          <w:tcPr>
            <w:tcW w:w="1005"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число</w:t>
            </w:r>
          </w:p>
        </w:tc>
        <w:tc>
          <w:tcPr>
            <w:tcW w:w="2844" w:type="dxa"/>
            <w:tcBorders>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1777900,00</w:t>
            </w:r>
          </w:p>
        </w:tc>
      </w:tr>
      <w:tr>
        <w:trPr>
          <w:trHeight w:val="338" w:hRule="atLeast"/>
        </w:trPr>
        <w:tc>
          <w:tcPr>
            <w:tcW w:w="8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w:t>
            </w:r>
          </w:p>
        </w:tc>
        <w:tc>
          <w:tcPr>
            <w:tcW w:w="5365"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Объем инвестиций в основной капитал, тыс. руб.</w:t>
            </w:r>
          </w:p>
        </w:tc>
        <w:tc>
          <w:tcPr>
            <w:tcW w:w="1005"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число</w:t>
            </w:r>
          </w:p>
        </w:tc>
        <w:tc>
          <w:tcPr>
            <w:tcW w:w="2844" w:type="dxa"/>
            <w:tcBorders>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37720558,00</w:t>
            </w:r>
          </w:p>
        </w:tc>
      </w:tr>
      <w:tr>
        <w:trPr>
          <w:trHeight w:val="350" w:hRule="atLeast"/>
        </w:trPr>
        <w:tc>
          <w:tcPr>
            <w:tcW w:w="8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w:t>
            </w:r>
          </w:p>
        </w:tc>
        <w:tc>
          <w:tcPr>
            <w:tcW w:w="5365"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Оборот розничной торговли, тыс. руб.</w:t>
            </w:r>
          </w:p>
        </w:tc>
        <w:tc>
          <w:tcPr>
            <w:tcW w:w="1005"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число</w:t>
            </w:r>
          </w:p>
        </w:tc>
        <w:tc>
          <w:tcPr>
            <w:tcW w:w="2844" w:type="dxa"/>
            <w:tcBorders>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78229979,00</w:t>
            </w:r>
          </w:p>
        </w:tc>
      </w:tr>
      <w:tr>
        <w:trPr>
          <w:trHeight w:val="112" w:hRule="atLeast"/>
        </w:trPr>
        <w:tc>
          <w:tcPr>
            <w:tcW w:w="8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w:t>
            </w:r>
          </w:p>
        </w:tc>
        <w:tc>
          <w:tcPr>
            <w:tcW w:w="5365" w:type="dxa"/>
            <w:tcBorders>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lang w:eastAsia="ru-RU"/>
              </w:rPr>
              <w:t>Объем жилищного строительства, кв. м общей площади</w:t>
            </w:r>
          </w:p>
        </w:tc>
        <w:tc>
          <w:tcPr>
            <w:tcW w:w="1005"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число</w:t>
            </w:r>
          </w:p>
        </w:tc>
        <w:tc>
          <w:tcPr>
            <w:tcW w:w="2844" w:type="dxa"/>
            <w:tcBorders>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269325,00</w:t>
            </w:r>
          </w:p>
        </w:tc>
      </w:tr>
      <w:tr>
        <w:trPr>
          <w:trHeight w:val="966" w:hRule="exact"/>
        </w:trPr>
        <w:tc>
          <w:tcPr>
            <w:tcW w:w="8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w:t>
            </w:r>
          </w:p>
        </w:tc>
        <w:tc>
          <w:tcPr>
            <w:tcW w:w="5365"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Среднемесячная заработная плата работников организаций, руб.</w:t>
            </w:r>
          </w:p>
        </w:tc>
        <w:tc>
          <w:tcPr>
            <w:tcW w:w="1005"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число</w:t>
            </w:r>
          </w:p>
        </w:tc>
        <w:tc>
          <w:tcPr>
            <w:tcW w:w="2844" w:type="dxa"/>
            <w:tcBorders>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58612,20</w:t>
            </w:r>
          </w:p>
        </w:tc>
      </w:tr>
    </w:tbl>
    <w:p>
      <w:pPr>
        <w:pStyle w:val="Style70"/>
        <w:spacing w:before="0" w:after="0"/>
        <w:jc w:val="center"/>
        <w:rPr>
          <w:color w:themeColor="text1" w:val="000000"/>
        </w:rPr>
      </w:pPr>
      <w:r>
        <w:rPr>
          <w:color w:themeColor="text1" w:val="000000"/>
        </w:rPr>
      </w:r>
    </w:p>
    <w:p>
      <w:pPr>
        <w:pStyle w:val="Normal"/>
        <w:ind w:firstLine="709"/>
        <w:jc w:val="right"/>
        <w:rPr>
          <w:bCs/>
          <w:color w:themeColor="text1" w:val="000000"/>
        </w:rPr>
      </w:pPr>
      <w:r>
        <w:rPr>
          <w:color w:themeColor="text1" w:val="000000"/>
        </w:rPr>
        <w:t>Таблица 5.2.2.</w:t>
      </w:r>
    </w:p>
    <w:p>
      <w:pPr>
        <w:pStyle w:val="Normal"/>
        <w:jc w:val="center"/>
        <w:rPr>
          <w:color w:themeColor="text1" w:val="000000"/>
        </w:rPr>
      </w:pPr>
      <w:r>
        <w:rPr>
          <w:color w:themeColor="text1" w:val="000000"/>
        </w:rPr>
        <w:t>Характеристика основных экономических показателей по городскому округу</w:t>
      </w:r>
    </w:p>
    <w:tbl>
      <w:tblPr>
        <w:tblW w:w="10060"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4437"/>
        <w:gridCol w:w="1419"/>
        <w:gridCol w:w="1359"/>
        <w:gridCol w:w="1391"/>
        <w:gridCol w:w="1454"/>
      </w:tblGrid>
      <w:tr>
        <w:trPr>
          <w:tblHeader w:val="true"/>
          <w:trHeight w:val="347" w:hRule="atLeast"/>
        </w:trPr>
        <w:tc>
          <w:tcPr>
            <w:tcW w:w="443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Показатель</w:t>
            </w:r>
          </w:p>
        </w:tc>
        <w:tc>
          <w:tcPr>
            <w:tcW w:w="141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Единица измерения</w:t>
            </w:r>
          </w:p>
        </w:tc>
        <w:tc>
          <w:tcPr>
            <w:tcW w:w="135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2021 год</w:t>
            </w:r>
          </w:p>
        </w:tc>
        <w:tc>
          <w:tcPr>
            <w:tcW w:w="1391"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2022 год</w:t>
            </w:r>
          </w:p>
        </w:tc>
        <w:tc>
          <w:tcPr>
            <w:tcW w:w="145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2023 год</w:t>
            </w:r>
          </w:p>
        </w:tc>
      </w:tr>
      <w:tr>
        <w:trPr>
          <w:trHeight w:val="109"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Количество промышленных предприятий</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ед.</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1116</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1092</w:t>
            </w:r>
          </w:p>
        </w:tc>
      </w:tr>
      <w:tr>
        <w:trPr>
          <w:trHeight w:val="359"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Объем отгруженной продукции (без НДС и акцизов) по крупным и средним предприятиям</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млн руб.</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464557,5</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231576,5</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71388,2</w:t>
            </w:r>
          </w:p>
        </w:tc>
      </w:tr>
      <w:tr>
        <w:trPr>
          <w:trHeight w:val="377"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Темп роста отгруженной продукции (без НДС и акцизов) по крупным и средним предприятиям к предыдущему году</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117,0</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49,9</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55,7</w:t>
            </w:r>
          </w:p>
        </w:tc>
      </w:tr>
      <w:tr>
        <w:trPr>
          <w:trHeight w:val="521"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Объем инвестиций в основной капитал, всего</w:t>
            </w:r>
          </w:p>
          <w:p>
            <w:pPr>
              <w:pStyle w:val="Normal"/>
              <w:widowControl w:val="false"/>
              <w:suppressAutoHyphens w:val="false"/>
              <w:rPr>
                <w:color w:themeColor="text1" w:val="000000"/>
                <w:sz w:val="22"/>
                <w:szCs w:val="22"/>
                <w:lang w:eastAsia="ru-RU"/>
              </w:rPr>
            </w:pPr>
            <w:r>
              <w:rPr>
                <w:color w:themeColor="text1" w:val="000000"/>
                <w:sz w:val="22"/>
                <w:szCs w:val="22"/>
                <w:lang w:eastAsia="ru-RU"/>
              </w:rPr>
              <w:t>в том числе:</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млн руб.</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41978,5</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37720,6</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6017,1</w:t>
            </w:r>
          </w:p>
        </w:tc>
      </w:tr>
      <w:tr>
        <w:trPr>
          <w:trHeight w:val="314"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собственные средства</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млн руб.</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23256,1</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16649,3</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3795,7</w:t>
            </w:r>
          </w:p>
        </w:tc>
      </w:tr>
      <w:tr>
        <w:trPr>
          <w:trHeight w:val="845" w:hRule="exac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привлеченные средства</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млн руб.</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18722,4</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21071,3</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2221,4</w:t>
            </w:r>
          </w:p>
        </w:tc>
      </w:tr>
      <w:tr>
        <w:trPr>
          <w:trHeight w:val="985" w:hRule="exac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Количество малых предприятий/субъектов СМП, приходящихся на 1000 человек населения</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ед.</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180,0/490,3</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177,4/489,4</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184,2/496,2</w:t>
            </w:r>
          </w:p>
        </w:tc>
      </w:tr>
      <w:tr>
        <w:trPr>
          <w:trHeight w:val="23"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Выручка малых предприятий от продажи товаров, работ и услуг в расчете на душу населения</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тыс. руб.</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407,7</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438,4</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454,0</w:t>
            </w:r>
          </w:p>
        </w:tc>
      </w:tr>
      <w:tr>
        <w:trPr>
          <w:trHeight w:val="23"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Доля среднесписочной численности работников (без внешних совместителей) малых предприятий/субъектов МСП в среднесписочной численности работников (без внешних совместителей) всех предприятий и организаций</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23,3/33,4</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22,7/30,4</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22,7</w:t>
            </w:r>
          </w:p>
        </w:tc>
      </w:tr>
      <w:tr>
        <w:trPr>
          <w:trHeight w:val="23"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Численность работающих в экономике города в среднегодовом исчислении</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тыс. чел.</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158,4</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157,2</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157,2</w:t>
            </w:r>
          </w:p>
        </w:tc>
      </w:tr>
      <w:tr>
        <w:trPr>
          <w:trHeight w:val="208"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Численность безработных на конец года</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чел.</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581</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607</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618</w:t>
            </w:r>
          </w:p>
        </w:tc>
      </w:tr>
      <w:tr>
        <w:trPr>
          <w:trHeight w:val="108"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Уровень зарегистрированной безработицы</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0,3</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0,33</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0,24</w:t>
            </w:r>
          </w:p>
        </w:tc>
      </w:tr>
      <w:tr>
        <w:trPr>
          <w:trHeight w:val="23"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Количество сельскохозяйственных предприятий</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ед.</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w:t>
            </w:r>
          </w:p>
        </w:tc>
      </w:tr>
      <w:tr>
        <w:trPr>
          <w:trHeight w:val="23"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Производство валовой сельскохозяйственной продукции во всех категориях хозяйств в действующих ценах</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млн руб.</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1810,278</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2063,008</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2195,483</w:t>
            </w:r>
          </w:p>
        </w:tc>
      </w:tr>
      <w:tr>
        <w:trPr>
          <w:trHeight w:val="23" w:hRule="atLeast"/>
        </w:trPr>
        <w:tc>
          <w:tcPr>
            <w:tcW w:w="4437"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rPr>
                <w:color w:themeColor="text1" w:val="000000"/>
                <w:sz w:val="22"/>
                <w:szCs w:val="22"/>
                <w:lang w:eastAsia="ru-RU"/>
              </w:rPr>
            </w:pPr>
            <w:r>
              <w:rPr>
                <w:color w:themeColor="text1" w:val="000000"/>
                <w:sz w:val="22"/>
                <w:szCs w:val="22"/>
                <w:lang w:eastAsia="ru-RU"/>
              </w:rPr>
              <w:t>Удельный вес прибыльных сельскохозяйственных организаций в общем числе</w:t>
            </w:r>
          </w:p>
        </w:tc>
        <w:tc>
          <w:tcPr>
            <w:tcW w:w="141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w:t>
            </w:r>
          </w:p>
        </w:tc>
        <w:tc>
          <w:tcPr>
            <w:tcW w:w="1359"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100</w:t>
            </w:r>
          </w:p>
        </w:tc>
        <w:tc>
          <w:tcPr>
            <w:tcW w:w="1391"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100</w:t>
            </w:r>
          </w:p>
        </w:tc>
        <w:tc>
          <w:tcPr>
            <w:tcW w:w="14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false"/>
              <w:jc w:val="center"/>
              <w:rPr>
                <w:color w:themeColor="text1" w:val="000000"/>
                <w:sz w:val="22"/>
                <w:szCs w:val="22"/>
                <w:lang w:eastAsia="ru-RU"/>
              </w:rPr>
            </w:pPr>
            <w:r>
              <w:rPr>
                <w:color w:themeColor="text1" w:val="000000"/>
                <w:sz w:val="22"/>
                <w:szCs w:val="22"/>
                <w:lang w:eastAsia="ru-RU"/>
              </w:rPr>
              <w:t>100</w:t>
            </w:r>
          </w:p>
        </w:tc>
      </w:tr>
    </w:tbl>
    <w:p>
      <w:pPr>
        <w:pStyle w:val="Normal"/>
        <w:ind w:firstLine="709"/>
        <w:jc w:val="right"/>
        <w:rPr>
          <w:color w:themeColor="text1" w:val="000000"/>
        </w:rPr>
      </w:pPr>
      <w:r>
        <w:rPr>
          <w:color w:themeColor="text1" w:val="000000"/>
        </w:rPr>
      </w:r>
    </w:p>
    <w:p>
      <w:pPr>
        <w:pStyle w:val="Normal"/>
        <w:ind w:firstLine="709"/>
        <w:jc w:val="right"/>
        <w:rPr>
          <w:color w:themeColor="text1" w:val="000000"/>
        </w:rPr>
      </w:pPr>
      <w:r>
        <w:rPr>
          <w:color w:themeColor="text1" w:val="000000"/>
        </w:rPr>
        <w:t>Таблица 5.2.3.</w:t>
      </w:r>
    </w:p>
    <w:p>
      <w:pPr>
        <w:pStyle w:val="Normal"/>
        <w:jc w:val="center"/>
        <w:rPr>
          <w:color w:themeColor="text1" w:val="000000"/>
        </w:rPr>
      </w:pPr>
      <w:r>
        <w:rPr>
          <w:color w:themeColor="text1" w:val="000000"/>
        </w:rPr>
        <w:t xml:space="preserve">Основные показатели социально-экономического развития </w:t>
      </w:r>
    </w:p>
    <w:p>
      <w:pPr>
        <w:pStyle w:val="Normal"/>
        <w:jc w:val="center"/>
        <w:rPr>
          <w:color w:themeColor="text1" w:val="000000"/>
        </w:rPr>
      </w:pPr>
      <w:r>
        <w:rPr>
          <w:color w:themeColor="text1" w:val="000000"/>
        </w:rPr>
        <w:t xml:space="preserve">городского округа за 2018 - 2023 г. </w:t>
      </w:r>
    </w:p>
    <w:tbl>
      <w:tblPr>
        <w:tblW w:w="1009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426"/>
        <w:gridCol w:w="2971"/>
        <w:gridCol w:w="1172"/>
        <w:gridCol w:w="1138"/>
        <w:gridCol w:w="1134"/>
        <w:gridCol w:w="1128"/>
        <w:gridCol w:w="1134"/>
        <w:gridCol w:w="991"/>
      </w:tblGrid>
      <w:tr>
        <w:trPr>
          <w:tblHeader w:val="true"/>
          <w:trHeight w:val="23" w:hRule="atLeast"/>
        </w:trPr>
        <w:tc>
          <w:tcPr>
            <w:tcW w:w="42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297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Heading4"/>
              <w:widowControl w:val="false"/>
              <w:numPr>
                <w:ilvl w:val="3"/>
                <w:numId w:val="2"/>
              </w:numPr>
              <w:spacing w:before="0" w:after="0"/>
              <w:jc w:val="center"/>
              <w:rPr>
                <w:color w:themeColor="text1" w:val="000000"/>
                <w:sz w:val="22"/>
                <w:szCs w:val="22"/>
              </w:rPr>
            </w:pPr>
            <w:r>
              <w:rPr>
                <w:color w:themeColor="text1" w:val="000000"/>
                <w:sz w:val="22"/>
                <w:szCs w:val="22"/>
              </w:rPr>
              <w:t>Показатели</w:t>
            </w:r>
          </w:p>
        </w:tc>
        <w:tc>
          <w:tcPr>
            <w:tcW w:w="117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2018 год отчет</w:t>
            </w:r>
          </w:p>
        </w:tc>
        <w:tc>
          <w:tcPr>
            <w:tcW w:w="113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2019 год отчет</w:t>
            </w:r>
          </w:p>
        </w:tc>
        <w:tc>
          <w:tcPr>
            <w:tcW w:w="113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2020 год отчет</w:t>
            </w:r>
          </w:p>
        </w:tc>
        <w:tc>
          <w:tcPr>
            <w:tcW w:w="112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2021 год</w:t>
            </w:r>
          </w:p>
          <w:p>
            <w:pPr>
              <w:pStyle w:val="Normal"/>
              <w:widowControl w:val="false"/>
              <w:jc w:val="center"/>
              <w:rPr>
                <w:b/>
                <w:color w:themeColor="text1" w:val="000000"/>
                <w:sz w:val="22"/>
                <w:szCs w:val="22"/>
              </w:rPr>
            </w:pPr>
            <w:r>
              <w:rPr>
                <w:b/>
                <w:color w:themeColor="text1" w:val="000000"/>
                <w:sz w:val="22"/>
                <w:szCs w:val="22"/>
              </w:rPr>
              <w:t>отчет</w:t>
            </w:r>
          </w:p>
        </w:tc>
        <w:tc>
          <w:tcPr>
            <w:tcW w:w="113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2022</w:t>
            </w:r>
            <w:r>
              <w:rPr>
                <w:b/>
                <w:color w:themeColor="text1" w:val="000000"/>
                <w:sz w:val="22"/>
                <w:szCs w:val="22"/>
                <w:lang w:val="en-US"/>
              </w:rPr>
              <w:t xml:space="preserve"> </w:t>
            </w:r>
            <w:r>
              <w:rPr>
                <w:b/>
                <w:color w:themeColor="text1" w:val="000000"/>
                <w:sz w:val="22"/>
                <w:szCs w:val="22"/>
              </w:rPr>
              <w:t>год</w:t>
            </w:r>
          </w:p>
          <w:p>
            <w:pPr>
              <w:pStyle w:val="Normal"/>
              <w:widowControl w:val="false"/>
              <w:jc w:val="center"/>
              <w:rPr>
                <w:b/>
                <w:color w:themeColor="text1" w:val="000000"/>
                <w:sz w:val="22"/>
                <w:szCs w:val="22"/>
              </w:rPr>
            </w:pPr>
            <w:r>
              <w:rPr>
                <w:b/>
                <w:color w:themeColor="text1" w:val="000000"/>
                <w:sz w:val="22"/>
                <w:szCs w:val="22"/>
              </w:rPr>
              <w:t>отчет</w:t>
            </w:r>
          </w:p>
        </w:tc>
        <w:tc>
          <w:tcPr>
            <w:tcW w:w="99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2023</w:t>
            </w:r>
            <w:r>
              <w:rPr>
                <w:b/>
                <w:color w:themeColor="text1" w:val="000000"/>
                <w:sz w:val="22"/>
                <w:szCs w:val="22"/>
                <w:lang w:val="en-US"/>
              </w:rPr>
              <w:t xml:space="preserve"> </w:t>
            </w:r>
            <w:r>
              <w:rPr>
                <w:b/>
                <w:color w:themeColor="text1" w:val="000000"/>
                <w:sz w:val="22"/>
                <w:szCs w:val="22"/>
              </w:rPr>
              <w:t>год</w:t>
            </w:r>
          </w:p>
        </w:tc>
      </w:tr>
      <w:tr>
        <w:trPr>
          <w:trHeight w:val="23" w:hRule="atLeast"/>
        </w:trPr>
        <w:tc>
          <w:tcPr>
            <w:tcW w:w="4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Объем отгруженных товаров по крупным и средним предприятиям, млн руб.</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411 900,2</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428 957,1</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397 129,8</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464 557,5</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231 576,5</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88 055,2</w:t>
            </w:r>
          </w:p>
          <w:p>
            <w:pPr>
              <w:pStyle w:val="Normal"/>
              <w:widowControl w:val="false"/>
              <w:jc w:val="center"/>
              <w:rPr>
                <w:bCs/>
                <w:iCs/>
                <w:color w:themeColor="text1" w:val="000000"/>
                <w:sz w:val="22"/>
                <w:szCs w:val="22"/>
              </w:rPr>
            </w:pPr>
            <w:r>
              <w:rPr>
                <w:bCs/>
                <w:iCs/>
                <w:color w:themeColor="text1" w:val="000000"/>
                <w:sz w:val="22"/>
                <w:szCs w:val="22"/>
              </w:rPr>
              <w:t>июнь</w:t>
            </w:r>
          </w:p>
        </w:tc>
      </w:tr>
      <w:tr>
        <w:trPr>
          <w:trHeight w:val="23" w:hRule="atLeast"/>
        </w:trPr>
        <w:tc>
          <w:tcPr>
            <w:tcW w:w="4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ind w:hanging="0" w:left="1080"/>
              <w:jc w:val="center"/>
              <w:rPr>
                <w:color w:themeColor="text1" w:val="000000"/>
                <w:sz w:val="22"/>
                <w:szCs w:val="22"/>
              </w:rPr>
            </w:pPr>
            <w:r>
              <w:rPr>
                <w:color w:themeColor="text1" w:val="000000"/>
                <w:sz w:val="22"/>
                <w:szCs w:val="22"/>
              </w:rPr>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Темп роста в действующих ценах, %</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117,3</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104,1</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92,6</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117,0</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49,9</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61,4</w:t>
            </w:r>
          </w:p>
        </w:tc>
      </w:tr>
      <w:tr>
        <w:trPr>
          <w:trHeight w:val="23" w:hRule="atLeast"/>
        </w:trPr>
        <w:tc>
          <w:tcPr>
            <w:tcW w:w="4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Объем работ, выполненных по виду деятельности «Строительство»</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13 817,9</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11 640,1</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16 394,0</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16 843,8</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17 834,1</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10 159,0</w:t>
            </w:r>
          </w:p>
          <w:p>
            <w:pPr>
              <w:pStyle w:val="Normal"/>
              <w:widowControl w:val="false"/>
              <w:jc w:val="center"/>
              <w:rPr>
                <w:bCs/>
                <w:iCs/>
                <w:color w:themeColor="text1" w:val="000000"/>
                <w:sz w:val="22"/>
                <w:szCs w:val="22"/>
              </w:rPr>
            </w:pPr>
            <w:r>
              <w:rPr>
                <w:bCs/>
                <w:iCs/>
                <w:color w:themeColor="text1" w:val="000000"/>
                <w:sz w:val="22"/>
                <w:szCs w:val="22"/>
              </w:rPr>
              <w:t>июнь</w:t>
            </w:r>
          </w:p>
        </w:tc>
      </w:tr>
      <w:tr>
        <w:trPr>
          <w:trHeight w:val="23" w:hRule="atLeast"/>
        </w:trPr>
        <w:tc>
          <w:tcPr>
            <w:tcW w:w="4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ind w:hanging="0" w:left="1080"/>
              <w:jc w:val="center"/>
              <w:rPr>
                <w:color w:themeColor="text1" w:val="000000"/>
                <w:sz w:val="22"/>
                <w:szCs w:val="22"/>
              </w:rPr>
            </w:pPr>
            <w:r>
              <w:rPr>
                <w:color w:themeColor="text1" w:val="000000"/>
                <w:sz w:val="22"/>
                <w:szCs w:val="22"/>
              </w:rPr>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Темп роста в действующих ценах, %</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79,5</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77,7</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140,4</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101,0</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105,9</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141,3</w:t>
            </w:r>
          </w:p>
        </w:tc>
      </w:tr>
      <w:tr>
        <w:trPr>
          <w:trHeight w:val="23" w:hRule="atLeast"/>
        </w:trPr>
        <w:tc>
          <w:tcPr>
            <w:tcW w:w="4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color w:themeColor="text1" w:val="000000"/>
                <w:sz w:val="22"/>
                <w:szCs w:val="22"/>
              </w:rPr>
            </w:pPr>
            <w:r>
              <w:rPr>
                <w:color w:themeColor="text1" w:val="000000"/>
                <w:sz w:val="22"/>
                <w:szCs w:val="22"/>
              </w:rPr>
              <w:t>Сельское хозяйство (Валовая продукция во всех категориях хозяйств)</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1 511,2</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1 848,5</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1 681,9</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1 810,3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2 063,0</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770,7</w:t>
            </w:r>
          </w:p>
          <w:p>
            <w:pPr>
              <w:pStyle w:val="Normal"/>
              <w:widowControl w:val="false"/>
              <w:jc w:val="center"/>
              <w:rPr>
                <w:bCs/>
                <w:iCs/>
                <w:color w:themeColor="text1" w:val="000000"/>
                <w:sz w:val="22"/>
                <w:szCs w:val="22"/>
              </w:rPr>
            </w:pPr>
            <w:r>
              <w:rPr>
                <w:bCs/>
                <w:iCs/>
                <w:color w:themeColor="text1" w:val="000000"/>
                <w:sz w:val="22"/>
                <w:szCs w:val="22"/>
              </w:rPr>
              <w:t>июнь</w:t>
            </w:r>
          </w:p>
        </w:tc>
      </w:tr>
      <w:tr>
        <w:trPr>
          <w:trHeight w:val="23" w:hRule="atLeast"/>
        </w:trPr>
        <w:tc>
          <w:tcPr>
            <w:tcW w:w="4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ind w:hanging="0" w:left="1080"/>
              <w:jc w:val="center"/>
              <w:rPr>
                <w:color w:themeColor="text1" w:val="000000"/>
                <w:sz w:val="22"/>
                <w:szCs w:val="22"/>
              </w:rPr>
            </w:pPr>
            <w:r>
              <w:rPr>
                <w:color w:themeColor="text1" w:val="000000"/>
                <w:sz w:val="22"/>
                <w:szCs w:val="22"/>
              </w:rPr>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Темп роста в действующих ценах, %</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92,7</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102,5</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95,8</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102,7</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96,7</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100,8</w:t>
            </w:r>
          </w:p>
        </w:tc>
      </w:tr>
      <w:tr>
        <w:trPr>
          <w:trHeight w:val="23" w:hRule="atLeast"/>
        </w:trPr>
        <w:tc>
          <w:tcPr>
            <w:tcW w:w="4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color w:themeColor="text1" w:val="000000"/>
                <w:sz w:val="22"/>
                <w:szCs w:val="22"/>
              </w:rPr>
            </w:pPr>
            <w:r>
              <w:rPr>
                <w:color w:themeColor="text1" w:val="000000"/>
                <w:sz w:val="22"/>
                <w:szCs w:val="22"/>
              </w:rPr>
              <w:t xml:space="preserve">Розничный товарооборот </w:t>
            </w:r>
            <w:r>
              <w:rPr>
                <w:bCs/>
                <w:color w:themeColor="text1" w:val="000000"/>
                <w:sz w:val="22"/>
                <w:szCs w:val="22"/>
              </w:rPr>
              <w:t>(по крупным и средним предприятиям)</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50 576,1</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52 753,1</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58 210,9</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70 697,9</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78 230,0</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41 126,6</w:t>
            </w:r>
          </w:p>
          <w:p>
            <w:pPr>
              <w:pStyle w:val="Normal"/>
              <w:widowControl w:val="false"/>
              <w:jc w:val="center"/>
              <w:rPr>
                <w:bCs/>
                <w:iCs/>
                <w:color w:themeColor="text1" w:val="000000"/>
                <w:sz w:val="22"/>
                <w:szCs w:val="22"/>
              </w:rPr>
            </w:pPr>
            <w:r>
              <w:rPr>
                <w:bCs/>
                <w:iCs/>
                <w:color w:themeColor="text1" w:val="000000"/>
                <w:sz w:val="22"/>
                <w:szCs w:val="22"/>
              </w:rPr>
              <w:t>июнь</w:t>
            </w:r>
          </w:p>
        </w:tc>
      </w:tr>
      <w:tr>
        <w:trPr>
          <w:trHeight w:val="23" w:hRule="atLeast"/>
        </w:trPr>
        <w:tc>
          <w:tcPr>
            <w:tcW w:w="4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ind w:hanging="0" w:left="1080"/>
              <w:jc w:val="center"/>
              <w:rPr>
                <w:color w:themeColor="text1" w:val="000000"/>
                <w:sz w:val="22"/>
                <w:szCs w:val="22"/>
              </w:rPr>
            </w:pPr>
            <w:r>
              <w:rPr>
                <w:color w:themeColor="text1" w:val="000000"/>
                <w:sz w:val="22"/>
                <w:szCs w:val="22"/>
              </w:rPr>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Темп роста в действующих ценах, %</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108,2</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99,5</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106,2</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111,2</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93,5</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104,6</w:t>
            </w:r>
          </w:p>
        </w:tc>
      </w:tr>
      <w:tr>
        <w:trPr>
          <w:trHeight w:val="23" w:hRule="atLeast"/>
        </w:trPr>
        <w:tc>
          <w:tcPr>
            <w:tcW w:w="4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Инвестиции (по крупным и средним предприятиям), млн руб.</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30 627,0</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33 493,3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38 810,3</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41 978,5</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37 720,6</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6 017,1</w:t>
            </w:r>
          </w:p>
          <w:p>
            <w:pPr>
              <w:pStyle w:val="Normal"/>
              <w:widowControl w:val="false"/>
              <w:jc w:val="center"/>
              <w:rPr>
                <w:bCs/>
                <w:iCs/>
                <w:color w:themeColor="text1" w:val="000000"/>
                <w:sz w:val="22"/>
                <w:szCs w:val="22"/>
              </w:rPr>
            </w:pPr>
            <w:r>
              <w:rPr>
                <w:bCs/>
                <w:iCs/>
                <w:color w:themeColor="text1" w:val="000000"/>
                <w:sz w:val="22"/>
                <w:szCs w:val="22"/>
              </w:rPr>
              <w:t>июнь</w:t>
            </w:r>
          </w:p>
        </w:tc>
      </w:tr>
      <w:tr>
        <w:trPr>
          <w:trHeight w:val="23" w:hRule="atLeast"/>
        </w:trPr>
        <w:tc>
          <w:tcPr>
            <w:tcW w:w="4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ind w:hanging="0" w:left="1080"/>
              <w:jc w:val="center"/>
              <w:rPr>
                <w:color w:themeColor="text1" w:val="000000"/>
                <w:sz w:val="22"/>
                <w:szCs w:val="22"/>
              </w:rPr>
            </w:pPr>
            <w:r>
              <w:rPr>
                <w:color w:themeColor="text1" w:val="000000"/>
                <w:sz w:val="22"/>
                <w:szCs w:val="22"/>
              </w:rPr>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Темп роста в действующих ценах, %</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94,8</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98,7</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109,0</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108,2</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89,9</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86,9</w:t>
            </w:r>
          </w:p>
          <w:p>
            <w:pPr>
              <w:pStyle w:val="Normal"/>
              <w:widowControl w:val="false"/>
              <w:jc w:val="center"/>
              <w:rPr>
                <w:bCs/>
                <w:iCs/>
                <w:color w:themeColor="text1" w:val="000000"/>
                <w:sz w:val="22"/>
                <w:szCs w:val="22"/>
              </w:rPr>
            </w:pPr>
            <w:r>
              <w:rPr>
                <w:bCs/>
                <w:iCs/>
                <w:color w:themeColor="text1" w:val="000000"/>
                <w:sz w:val="22"/>
                <w:szCs w:val="22"/>
              </w:rPr>
              <w:t>март</w:t>
            </w:r>
          </w:p>
        </w:tc>
      </w:tr>
      <w:tr>
        <w:trPr>
          <w:trHeight w:val="23" w:hRule="atLeast"/>
        </w:trPr>
        <w:tc>
          <w:tcPr>
            <w:tcW w:w="42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Прибыль прибыльных организаций (крупных и средних предприятий), млн руб.</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41 850,6</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55 773,0</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29 641,5</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44 377,3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24 052,6</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9 344,2</w:t>
            </w:r>
          </w:p>
          <w:p>
            <w:pPr>
              <w:pStyle w:val="Normal"/>
              <w:widowControl w:val="false"/>
              <w:jc w:val="center"/>
              <w:rPr>
                <w:bCs/>
                <w:iCs/>
                <w:color w:themeColor="text1" w:val="000000"/>
                <w:sz w:val="22"/>
                <w:szCs w:val="22"/>
              </w:rPr>
            </w:pPr>
            <w:r>
              <w:rPr>
                <w:bCs/>
                <w:iCs/>
                <w:color w:themeColor="text1" w:val="000000"/>
                <w:sz w:val="22"/>
                <w:szCs w:val="22"/>
              </w:rPr>
              <w:t>май</w:t>
            </w:r>
          </w:p>
        </w:tc>
      </w:tr>
      <w:tr>
        <w:trPr>
          <w:trHeight w:val="23" w:hRule="atLeast"/>
        </w:trPr>
        <w:tc>
          <w:tcPr>
            <w:tcW w:w="42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ind w:hanging="0" w:left="1080"/>
              <w:jc w:val="center"/>
              <w:rPr>
                <w:color w:themeColor="text1" w:val="000000"/>
                <w:sz w:val="22"/>
                <w:szCs w:val="22"/>
              </w:rPr>
            </w:pPr>
            <w:r>
              <w:rPr>
                <w:color w:themeColor="text1" w:val="000000"/>
                <w:sz w:val="22"/>
                <w:szCs w:val="22"/>
              </w:rPr>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Темп роста в действующих ценах, %</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138,3</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138,7</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55,6</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142,5</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52,5</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46,0</w:t>
            </w:r>
          </w:p>
          <w:p>
            <w:pPr>
              <w:pStyle w:val="Normal"/>
              <w:widowControl w:val="false"/>
              <w:jc w:val="center"/>
              <w:rPr>
                <w:bCs/>
                <w:iCs/>
                <w:color w:themeColor="text1" w:val="000000"/>
                <w:sz w:val="22"/>
                <w:szCs w:val="22"/>
              </w:rPr>
            </w:pPr>
            <w:r>
              <w:rPr>
                <w:bCs/>
                <w:iCs/>
                <w:color w:themeColor="text1" w:val="000000"/>
                <w:sz w:val="22"/>
                <w:szCs w:val="22"/>
              </w:rPr>
            </w:r>
          </w:p>
        </w:tc>
      </w:tr>
      <w:tr>
        <w:trPr>
          <w:trHeight w:val="23" w:hRule="atLeast"/>
        </w:trPr>
        <w:tc>
          <w:tcPr>
            <w:tcW w:w="4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2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Численность работающих на крупных и средних предприятиях, тыс. чел.</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114,1</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115,4</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113,9</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113,1</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111,4</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111,4</w:t>
            </w:r>
          </w:p>
          <w:p>
            <w:pPr>
              <w:pStyle w:val="Normal"/>
              <w:widowControl w:val="false"/>
              <w:jc w:val="center"/>
              <w:rPr>
                <w:bCs/>
                <w:iCs/>
                <w:color w:themeColor="text1" w:val="000000"/>
                <w:sz w:val="22"/>
                <w:szCs w:val="22"/>
              </w:rPr>
            </w:pPr>
            <w:r>
              <w:rPr>
                <w:bCs/>
                <w:iCs/>
                <w:color w:themeColor="text1" w:val="000000"/>
                <w:sz w:val="22"/>
                <w:szCs w:val="22"/>
              </w:rPr>
              <w:t>май</w:t>
            </w:r>
          </w:p>
        </w:tc>
      </w:tr>
      <w:tr>
        <w:trPr>
          <w:trHeight w:val="58" w:hRule="atLeast"/>
        </w:trPr>
        <w:tc>
          <w:tcPr>
            <w:tcW w:w="4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29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Уровень безработицы, %</w:t>
            </w:r>
          </w:p>
        </w:tc>
        <w:tc>
          <w:tcPr>
            <w:tcW w:w="11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0,2</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0,2</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1,77</w:t>
            </w:r>
          </w:p>
        </w:tc>
        <w:tc>
          <w:tcPr>
            <w:tcW w:w="112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0,3</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0,33</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iCs/>
                <w:color w:themeColor="text1" w:val="000000"/>
                <w:sz w:val="22"/>
                <w:szCs w:val="22"/>
              </w:rPr>
            </w:pPr>
            <w:r>
              <w:rPr>
                <w:bCs/>
                <w:iCs/>
                <w:color w:themeColor="text1" w:val="000000"/>
                <w:sz w:val="22"/>
                <w:szCs w:val="22"/>
              </w:rPr>
              <w:t>0,24</w:t>
            </w:r>
          </w:p>
          <w:p>
            <w:pPr>
              <w:pStyle w:val="Normal"/>
              <w:widowControl w:val="false"/>
              <w:jc w:val="center"/>
              <w:rPr>
                <w:bCs/>
                <w:iCs/>
                <w:color w:themeColor="text1" w:val="000000"/>
                <w:sz w:val="22"/>
                <w:szCs w:val="22"/>
              </w:rPr>
            </w:pPr>
            <w:r>
              <w:rPr>
                <w:bCs/>
                <w:iCs/>
                <w:color w:themeColor="text1" w:val="000000"/>
                <w:sz w:val="22"/>
                <w:szCs w:val="22"/>
              </w:rPr>
              <w:t>июнь</w:t>
            </w:r>
          </w:p>
        </w:tc>
      </w:tr>
    </w:tbl>
    <w:p>
      <w:pPr>
        <w:pStyle w:val="Normal"/>
        <w:spacing w:before="60" w:after="60"/>
        <w:ind w:firstLine="709"/>
        <w:jc w:val="both"/>
        <w:rPr>
          <w:b/>
          <w:bCs/>
          <w:color w:themeColor="text1" w:val="000000"/>
        </w:rPr>
      </w:pPr>
      <w:r>
        <w:rPr>
          <w:b/>
          <w:bCs/>
          <w:color w:themeColor="text1" w:val="000000"/>
        </w:rPr>
      </w:r>
    </w:p>
    <w:p>
      <w:pPr>
        <w:pStyle w:val="Normal"/>
        <w:spacing w:before="60" w:after="60"/>
        <w:ind w:firstLine="709"/>
        <w:jc w:val="both"/>
        <w:rPr>
          <w:b/>
          <w:bCs/>
          <w:color w:themeColor="text1" w:val="000000"/>
        </w:rPr>
      </w:pPr>
      <w:r>
        <w:rPr>
          <w:b/>
          <w:bCs/>
          <w:color w:themeColor="text1" w:val="000000"/>
        </w:rPr>
        <w:t>Промышленный комплекс</w:t>
      </w:r>
    </w:p>
    <w:p>
      <w:pPr>
        <w:pStyle w:val="Style70"/>
        <w:spacing w:before="0" w:after="0"/>
        <w:ind w:firstLine="709"/>
        <w:rPr>
          <w:color w:themeColor="text1" w:val="000000"/>
        </w:rPr>
      </w:pPr>
      <w:r>
        <w:rPr>
          <w:bCs/>
          <w:color w:themeColor="text1" w:val="000000"/>
        </w:rPr>
        <w:t xml:space="preserve">Структура промышленного комплекса города представлена такими отраслями, как машиностроение и металлообработка, пищевая и легкая промышленность, электроэнергетика, промышленность строительных материалов и др. В последние годы на территории городского округа активно реализуются проекты формирования промышленных кластеров: </w:t>
      </w:r>
      <w:r>
        <w:rPr>
          <w:color w:themeColor="text1" w:val="000000"/>
        </w:rPr>
        <w:t>автостроительный кластер и кластер биотехнологий и фармацевтики.</w:t>
      </w:r>
    </w:p>
    <w:p>
      <w:pPr>
        <w:pStyle w:val="Normal"/>
        <w:ind w:firstLine="709"/>
        <w:jc w:val="right"/>
        <w:rPr>
          <w:color w:themeColor="text1" w:val="000000"/>
        </w:rPr>
      </w:pPr>
      <w:r>
        <w:rPr>
          <w:color w:themeColor="text1" w:val="000000"/>
        </w:rPr>
        <w:t>Таблица 5.2.4.</w:t>
      </w:r>
    </w:p>
    <w:p>
      <w:pPr>
        <w:pStyle w:val="Style70"/>
        <w:spacing w:before="0" w:after="0"/>
        <w:ind w:hanging="0"/>
        <w:jc w:val="center"/>
        <w:rPr>
          <w:color w:themeColor="text1" w:val="000000"/>
        </w:rPr>
      </w:pPr>
      <w:r>
        <w:rPr>
          <w:color w:themeColor="text1" w:val="000000"/>
        </w:rPr>
        <w:t xml:space="preserve">Распределение предприятий (организаций) в разрезе видов экономической деятельности </w:t>
      </w:r>
    </w:p>
    <w:tbl>
      <w:tblPr>
        <w:tblW w:w="9771"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689"/>
        <w:gridCol w:w="6388"/>
        <w:gridCol w:w="2694"/>
      </w:tblGrid>
      <w:tr>
        <w:trPr>
          <w:tblHeader w:val="true"/>
          <w:trHeight w:val="511" w:hRule="atLeast"/>
        </w:trPr>
        <w:tc>
          <w:tcPr>
            <w:tcW w:w="68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w:t>
            </w:r>
          </w:p>
        </w:tc>
        <w:tc>
          <w:tcPr>
            <w:tcW w:w="638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Вид деятельности предприятия</w:t>
            </w:r>
          </w:p>
        </w:tc>
        <w:tc>
          <w:tcPr>
            <w:tcW w:w="269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Количество предприятий, ед.</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Торговля оптовая и розничная; ремонт автотранспортных средств и мотоциклов</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1932</w:t>
            </w:r>
          </w:p>
        </w:tc>
      </w:tr>
      <w:tr>
        <w:trPr>
          <w:trHeight w:val="106"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2</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Строительство</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1289</w:t>
            </w:r>
          </w:p>
        </w:tc>
      </w:tr>
      <w:tr>
        <w:trPr>
          <w:trHeight w:val="118"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3</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по операциям с недвижимым имуществом</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1205</w:t>
            </w:r>
          </w:p>
        </w:tc>
      </w:tr>
      <w:tr>
        <w:trPr>
          <w:trHeight w:val="80"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4</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Обрабатывающие производства</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947</w:t>
            </w:r>
          </w:p>
        </w:tc>
      </w:tr>
      <w:tr>
        <w:trPr>
          <w:trHeight w:val="217"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5</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профессиональная, научная и техническая</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723</w:t>
            </w:r>
          </w:p>
        </w:tc>
      </w:tr>
      <w:tr>
        <w:trPr>
          <w:trHeight w:val="241"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6</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Транспортировка и хранение</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562</w:t>
            </w:r>
          </w:p>
        </w:tc>
      </w:tr>
      <w:tr>
        <w:trPr>
          <w:trHeight w:val="91"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7</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Предоставление прочих видов услуг</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562</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8</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административная и сопутствующие дополнительные услуги</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372</w:t>
            </w:r>
          </w:p>
        </w:tc>
      </w:tr>
      <w:tr>
        <w:trPr>
          <w:trHeight w:val="99"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9</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в области информации и связи</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283</w:t>
            </w:r>
          </w:p>
        </w:tc>
      </w:tr>
      <w:tr>
        <w:trPr>
          <w:trHeight w:val="236"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10</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Образование</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254</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11</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в области здравоохранения и социальных услуг</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248</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12</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в области культуры, спорта, организации досуга и развлечений</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184</w:t>
            </w:r>
          </w:p>
        </w:tc>
      </w:tr>
      <w:tr>
        <w:trPr>
          <w:trHeight w:val="191"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13</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гостиниц и предприятий общественного питания</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177</w:t>
            </w:r>
          </w:p>
        </w:tc>
      </w:tr>
      <w:tr>
        <w:trPr>
          <w:trHeight w:val="215"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14</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Сельское, лесное хозяйство, охота, рыболовство и рыбоводство</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159</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15</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Государственное управление и обеспечение военной безопасности; социальное обеспечение</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150</w:t>
            </w:r>
          </w:p>
        </w:tc>
      </w:tr>
      <w:tr>
        <w:trPr>
          <w:trHeight w:val="17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16</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Деятельность финансовая и страховая</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142</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17</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Водоснабжение; водоотведение, организация сбора и утилизации отходов, деятельность по ликвидации загрязнений</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63</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18</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Обеспечение электрической энергией, газом и паром; кондиционирование воздуха</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47</w:t>
            </w:r>
          </w:p>
        </w:tc>
      </w:tr>
      <w:tr>
        <w:trPr>
          <w:trHeight w:val="66"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19</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Добыча полезных ископаемых</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35</w:t>
            </w:r>
          </w:p>
        </w:tc>
      </w:tr>
      <w:tr>
        <w:trPr>
          <w:trHeight w:val="315" w:hRule="atLeast"/>
        </w:trPr>
        <w:tc>
          <w:tcPr>
            <w:tcW w:w="707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Всего</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9334</w:t>
            </w:r>
          </w:p>
        </w:tc>
      </w:tr>
    </w:tbl>
    <w:p>
      <w:pPr>
        <w:pStyle w:val="Normal"/>
        <w:ind w:firstLine="709"/>
        <w:jc w:val="right"/>
        <w:rPr>
          <w:color w:themeColor="text1" w:val="000000"/>
        </w:rPr>
      </w:pPr>
      <w:r>
        <w:rPr>
          <w:color w:themeColor="text1" w:val="000000"/>
        </w:rPr>
      </w:r>
    </w:p>
    <w:p>
      <w:pPr>
        <w:pStyle w:val="Normal"/>
        <w:ind w:firstLine="709"/>
        <w:jc w:val="right"/>
        <w:rPr>
          <w:color w:themeColor="text1" w:val="000000"/>
        </w:rPr>
      </w:pPr>
      <w:r>
        <w:rPr>
          <w:color w:themeColor="text1" w:val="000000"/>
        </w:rPr>
      </w:r>
    </w:p>
    <w:p>
      <w:pPr>
        <w:pStyle w:val="Normal"/>
        <w:ind w:firstLine="709"/>
        <w:jc w:val="right"/>
        <w:rPr>
          <w:color w:themeColor="text1" w:val="000000"/>
        </w:rPr>
      </w:pPr>
      <w:r>
        <w:rPr>
          <w:color w:themeColor="text1" w:val="000000"/>
        </w:rPr>
      </w:r>
    </w:p>
    <w:p>
      <w:pPr>
        <w:pStyle w:val="Normal"/>
        <w:ind w:firstLine="709"/>
        <w:jc w:val="right"/>
        <w:rPr>
          <w:color w:themeColor="text1" w:val="000000"/>
        </w:rPr>
      </w:pPr>
      <w:r>
        <w:rPr>
          <w:color w:themeColor="text1" w:val="000000"/>
        </w:rPr>
        <w:t>Таблица 5.2.5.</w:t>
      </w:r>
    </w:p>
    <w:p>
      <w:pPr>
        <w:pStyle w:val="Normal"/>
        <w:jc w:val="center"/>
        <w:rPr>
          <w:color w:themeColor="text1" w:val="000000"/>
        </w:rPr>
      </w:pPr>
      <w:r>
        <w:rPr>
          <w:color w:themeColor="text1" w:val="000000"/>
        </w:rPr>
        <w:t>Крупнейшие предприятия и организации муниципалитетов,</w:t>
      </w:r>
    </w:p>
    <w:p>
      <w:pPr>
        <w:pStyle w:val="Normal"/>
        <w:jc w:val="center"/>
        <w:rPr>
          <w:color w:themeColor="text1" w:val="000000"/>
        </w:rPr>
      </w:pPr>
      <w:r>
        <w:rPr>
          <w:color w:themeColor="text1" w:val="000000"/>
        </w:rPr>
        <w:t xml:space="preserve">расположенные на территории городского округа </w:t>
      </w:r>
    </w:p>
    <w:tbl>
      <w:tblPr>
        <w:tblW w:w="9777"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9"/>
        <w:gridCol w:w="3554"/>
        <w:gridCol w:w="976"/>
        <w:gridCol w:w="4677"/>
      </w:tblGrid>
      <w:tr>
        <w:trPr>
          <w:tblHeader w:val="true"/>
          <w:trHeight w:val="637" w:hRule="atLeast"/>
        </w:trPr>
        <w:tc>
          <w:tcPr>
            <w:tcW w:w="56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bCs/>
                <w:color w:themeColor="text1" w:val="000000"/>
                <w:sz w:val="22"/>
                <w:szCs w:val="22"/>
                <w:lang w:eastAsia="ru-RU"/>
              </w:rPr>
            </w:pPr>
            <w:r>
              <w:rPr>
                <w:b/>
                <w:bCs/>
                <w:color w:themeColor="text1" w:val="000000"/>
                <w:sz w:val="22"/>
                <w:szCs w:val="22"/>
                <w:lang w:eastAsia="ru-RU"/>
              </w:rPr>
              <w:t>№</w:t>
            </w:r>
          </w:p>
          <w:p>
            <w:pPr>
              <w:pStyle w:val="Normal"/>
              <w:widowControl w:val="false"/>
              <w:jc w:val="center"/>
              <w:rPr>
                <w:b/>
                <w:bCs/>
                <w:color w:themeColor="text1" w:val="000000"/>
                <w:sz w:val="22"/>
                <w:szCs w:val="22"/>
                <w:lang w:eastAsia="ru-RU"/>
              </w:rPr>
            </w:pPr>
            <w:r>
              <w:rPr>
                <w:b/>
                <w:bCs/>
                <w:color w:themeColor="text1" w:val="000000"/>
                <w:sz w:val="22"/>
                <w:szCs w:val="22"/>
                <w:lang w:eastAsia="ru-RU"/>
              </w:rPr>
              <w:t>п/п</w:t>
            </w:r>
          </w:p>
        </w:tc>
        <w:tc>
          <w:tcPr>
            <w:tcW w:w="355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bCs/>
                <w:color w:themeColor="text1" w:val="000000"/>
                <w:sz w:val="22"/>
                <w:szCs w:val="22"/>
                <w:lang w:eastAsia="ru-RU"/>
              </w:rPr>
            </w:pPr>
            <w:r>
              <w:rPr>
                <w:b/>
                <w:bCs/>
                <w:color w:themeColor="text1" w:val="000000"/>
                <w:sz w:val="22"/>
                <w:szCs w:val="22"/>
                <w:lang w:eastAsia="ru-RU"/>
              </w:rPr>
              <w:t>Наименование</w:t>
            </w:r>
          </w:p>
        </w:tc>
        <w:tc>
          <w:tcPr>
            <w:tcW w:w="97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bCs/>
                <w:color w:themeColor="text1" w:val="000000"/>
                <w:sz w:val="22"/>
                <w:szCs w:val="22"/>
                <w:lang w:eastAsia="ru-RU"/>
              </w:rPr>
            </w:pPr>
            <w:r>
              <w:rPr>
                <w:b/>
                <w:bCs/>
                <w:color w:themeColor="text1" w:val="000000"/>
                <w:sz w:val="22"/>
                <w:szCs w:val="22"/>
                <w:lang w:eastAsia="ru-RU"/>
              </w:rPr>
              <w:t>Число заня-тых</w:t>
            </w:r>
          </w:p>
        </w:tc>
        <w:tc>
          <w:tcPr>
            <w:tcW w:w="467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bCs/>
                <w:color w:themeColor="text1" w:val="000000"/>
                <w:sz w:val="22"/>
                <w:szCs w:val="22"/>
                <w:lang w:eastAsia="ru-RU"/>
              </w:rPr>
            </w:pPr>
            <w:r>
              <w:rPr>
                <w:b/>
                <w:bCs/>
                <w:color w:themeColor="text1" w:val="000000"/>
                <w:sz w:val="22"/>
                <w:szCs w:val="22"/>
                <w:lang w:eastAsia="ru-RU"/>
              </w:rPr>
              <w:t>Отраслевая специализация</w:t>
            </w:r>
          </w:p>
        </w:tc>
      </w:tr>
      <w:tr>
        <w:trPr>
          <w:trHeight w:val="419"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ПАО «КТЗ»</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2669</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турбин</w:t>
            </w:r>
          </w:p>
        </w:tc>
      </w:tr>
      <w:tr>
        <w:trPr>
          <w:trHeight w:val="539"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ПАО «КАДВИ»</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2594</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оружия и боеприпасов</w:t>
            </w:r>
          </w:p>
        </w:tc>
      </w:tr>
      <w:tr>
        <w:trPr>
          <w:trHeight w:val="6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 xml:space="preserve"> </w:t>
            </w:r>
            <w:r>
              <w:rPr>
                <w:color w:themeColor="text1" w:val="000000"/>
                <w:sz w:val="22"/>
                <w:szCs w:val="22"/>
                <w:lang w:eastAsia="ru-RU"/>
              </w:rPr>
              <w:t>АО «Тайфун»</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2 521</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радиолокационной, радионавигационной аппаратуры и радиоаппаратуры дистанционного управления</w:t>
            </w:r>
          </w:p>
        </w:tc>
      </w:tr>
      <w:tr>
        <w:trPr>
          <w:trHeight w:val="6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Филиал ПАО «МРСК Центра и Приволжья» - «Калугаэнерго»</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2378</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Передача электроэнергии</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ГП «Калугаоблводоканал»</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2245</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Распределение воды для питьевых и промышленных нужд</w:t>
            </w:r>
          </w:p>
        </w:tc>
      </w:tr>
      <w:tr>
        <w:trPr>
          <w:trHeight w:val="517"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«Газэнергобанк»</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1952</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Денежное посредничество прочее</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«Газпром газораспределение Калуга»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1837</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Распределение газообразного топлива по газораспределительным сетям</w:t>
            </w:r>
          </w:p>
        </w:tc>
      </w:tr>
      <w:tr>
        <w:trPr>
          <w:trHeight w:val="6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«Калугапутьмаш»</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1638</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транспортных средств для ремонта и технического обслуживания железнодорожных, трамвайных и прочих путей</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«КЭМЗ»</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1334</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средств связи, выполняющих функцию систем коммутации</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«Континентал Калуга» (включая филиал «Контитех»)</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1150</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резиновых шин, покрышек и камер; восстановление резиновых шин и покрышек</w:t>
            </w:r>
          </w:p>
        </w:tc>
      </w:tr>
      <w:tr>
        <w:trPr>
          <w:trHeight w:val="6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«Калужский завод «Ремпутьмаш»</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1118</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транспортных средств для ремонта и технического обслуживания железнодорожных, трамвайных и прочих путей</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«Калугаприбор»</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1095</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средств связи, выполняющих функцию систем коммутации</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Филиал ПАО Сбербанк</w:t>
              <w:br/>
              <w:t>«России» - Калужское отделение № 8608</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1047</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Денежное посредничество прочее</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«Фуяо Стекло Рус»</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931</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Обрабатывающие производства. Производство автомобильного стекла</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«Восход» - КРЛЗ</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878</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интегральных электронных схем</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«Мануфактуры Боско»</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766</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прочей верхней одежды</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17</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ОАО «Калугавтодор»</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668</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Строительство автомобильных дорог и автомагистралей</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18</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ЗАО НПФ «Сигма»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656</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средств связи, выполняющих функцию систем коммутации</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19</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ПАО «КЗАЭ»</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615</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прочего электрического оборудования</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«КНИИТМУ»</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586</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Деятельность профессиональных союзов</w:t>
            </w:r>
          </w:p>
        </w:tc>
      </w:tr>
      <w:tr>
        <w:trPr>
          <w:trHeight w:val="6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21</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ЗАО «Хлебокомбинат»</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560</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хлеба и мучных кондитерских изделий, тортов и пирожных недлительного хранения</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«Автоэлектроника»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543</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резиновых изделий</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23</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«КЗТА»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540</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средств связи, выполняющих функцию систем коммутации</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24</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ЗАО «Картон-Полиграф»</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507</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бумажных канцелярских принадлежностей</w:t>
            </w:r>
          </w:p>
        </w:tc>
      </w:tr>
      <w:tr>
        <w:trPr>
          <w:trHeight w:val="9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25</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НПП «35 МЗ»</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458</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теплообменных устройств, оборудования для кондиционирования воздуха промышленного холодильного и морозильного оборудования, производство оборудования для фильтрования и очистки газов</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26</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«АБ ИнБев Эфес»</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417</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Обрабатывающие производства. Производство пива</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27</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ПАО «Калужская сбытовая компания»</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407</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Торговля электроэнергией</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28</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«НПО «Телеметрия»</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370</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прочего электрического оборудования</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29</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ЗАО «Алгонт»</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360</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прочих устройств автоматической обработки данных</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30</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«Международный аэропорт «Калуга»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353</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Деятельность аэропортовая</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31</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«Элмат»</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350</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прочей мебели</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32</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АО «Биотехнологический комплекс - Росва»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341</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крахмала и крахмалосодержащих продуктов</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33</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«КЭЗ КВТ»</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324</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Торговля оптовая металлами и металлическими рудами</w:t>
            </w:r>
          </w:p>
        </w:tc>
      </w:tr>
      <w:tr>
        <w:trPr>
          <w:trHeight w:val="506"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34</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Калужский РФ АО «Россельхозбанк»</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311</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Денежное посредничество прочее</w:t>
            </w:r>
          </w:p>
        </w:tc>
      </w:tr>
      <w:tr>
        <w:trPr>
          <w:trHeight w:val="6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35</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«Гестамп-Северсталь-Калуга»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310</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Обрабатывающие производства. Производство прочих комплектующих и принадлежностей для автотранспортных средств</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36</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«Ново Нордиск»</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306</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Обрабатывающие производства. Производство инсулина</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37</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«Газпром межрегионгаз Калуга»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306</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Торговля оптовая природным (естественным) газом</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38</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ООО «Калуга-Шен-Заря»</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278</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Производство оборудования специального назначения, не включенного в другие группировки</w:t>
            </w:r>
          </w:p>
        </w:tc>
      </w:tr>
      <w:tr>
        <w:trPr>
          <w:trHeight w:val="3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39</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Филиал АКБ «ФОРА-БАНК» в городе Калуга</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276</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Денежное посредничество прочее</w:t>
            </w:r>
          </w:p>
        </w:tc>
      </w:tr>
      <w:tr>
        <w:trPr>
          <w:trHeight w:val="600" w:hRule="atLeast"/>
        </w:trPr>
        <w:tc>
          <w:tcPr>
            <w:tcW w:w="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w:t>
            </w:r>
          </w:p>
        </w:tc>
        <w:tc>
          <w:tcPr>
            <w:tcW w:w="35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ФГУП «Научно-технический центр «БАЗИС» ФСБ РФ</w:t>
            </w:r>
          </w:p>
        </w:tc>
        <w:tc>
          <w:tcPr>
            <w:tcW w:w="9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255</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Научные исследования и разработки в области естественных и технических наук прочие</w:t>
            </w:r>
          </w:p>
        </w:tc>
      </w:tr>
    </w:tbl>
    <w:p>
      <w:pPr>
        <w:pStyle w:val="Normal"/>
        <w:ind w:firstLine="709"/>
        <w:jc w:val="right"/>
        <w:rPr>
          <w:color w:themeColor="text1" w:val="000000"/>
        </w:rPr>
      </w:pPr>
      <w:r>
        <w:rPr>
          <w:color w:themeColor="text1" w:val="000000"/>
        </w:rPr>
      </w:r>
    </w:p>
    <w:p>
      <w:pPr>
        <w:pStyle w:val="Normal"/>
        <w:ind w:firstLine="709"/>
        <w:jc w:val="right"/>
        <w:rPr>
          <w:color w:themeColor="text1" w:val="000000"/>
        </w:rPr>
      </w:pPr>
      <w:r>
        <w:rPr>
          <w:color w:themeColor="text1" w:val="000000"/>
        </w:rPr>
        <w:t>Таблица 5.2.6.</w:t>
      </w:r>
    </w:p>
    <w:p>
      <w:pPr>
        <w:pStyle w:val="Style70"/>
        <w:spacing w:before="0" w:after="0"/>
        <w:ind w:hanging="0"/>
        <w:jc w:val="center"/>
        <w:rPr>
          <w:color w:themeColor="text1" w:val="000000"/>
        </w:rPr>
      </w:pPr>
      <w:r>
        <w:rPr>
          <w:color w:themeColor="text1" w:val="000000"/>
        </w:rPr>
        <w:t>Микро- и малые предприятия, и иные коммерческие предприятия городского округа</w:t>
      </w:r>
    </w:p>
    <w:tbl>
      <w:tblPr>
        <w:tblW w:w="9771"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689"/>
        <w:gridCol w:w="6388"/>
        <w:gridCol w:w="2694"/>
      </w:tblGrid>
      <w:tr>
        <w:trPr>
          <w:tblHeader w:val="true"/>
          <w:trHeight w:val="511" w:hRule="atLeast"/>
        </w:trPr>
        <w:tc>
          <w:tcPr>
            <w:tcW w:w="68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w:t>
            </w:r>
          </w:p>
        </w:tc>
        <w:tc>
          <w:tcPr>
            <w:tcW w:w="638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Вид деятельности предприятия</w:t>
            </w:r>
          </w:p>
        </w:tc>
        <w:tc>
          <w:tcPr>
            <w:tcW w:w="269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eastAsia="ru-RU"/>
              </w:rPr>
            </w:pPr>
            <w:r>
              <w:rPr>
                <w:rFonts w:eastAsia="SimSun"/>
                <w:b/>
                <w:color w:themeColor="text1" w:val="000000"/>
                <w:sz w:val="22"/>
                <w:szCs w:val="22"/>
                <w:lang w:eastAsia="ru-RU"/>
              </w:rPr>
              <w:t>Количество предприятий, ед.</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1</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rPr>
              <w:t>Микропредприятие</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rPr>
              <w:t>734</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2</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rPr>
              <w:t>Малое предприятие</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rPr>
              <w:t>136</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3</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rPr>
              <w:t>Коммерческое предприятие, не относящееся к субъектам малого и среднего предпринимательства</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241</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rFonts w:eastAsia="SimSun"/>
                <w:color w:themeColor="text1" w:val="000000"/>
                <w:sz w:val="22"/>
                <w:szCs w:val="22"/>
                <w:lang w:eastAsia="ru-RU"/>
              </w:rPr>
              <w:t>4</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rPr>
              <w:t>Среднее предприятие</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w:t>
            </w:r>
          </w:p>
        </w:tc>
      </w:tr>
      <w:tr>
        <w:trPr>
          <w:trHeight w:val="454" w:hRule="atLeast"/>
        </w:trPr>
        <w:tc>
          <w:tcPr>
            <w:tcW w:w="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eastAsia="SimSun"/>
                <w:color w:themeColor="text1" w:val="000000"/>
                <w:sz w:val="22"/>
                <w:szCs w:val="22"/>
                <w:lang w:eastAsia="ru-RU"/>
              </w:rPr>
            </w:pPr>
            <w:r>
              <w:rPr>
                <w:rFonts w:eastAsia="SimSun"/>
                <w:color w:themeColor="text1" w:val="000000"/>
                <w:sz w:val="22"/>
                <w:szCs w:val="22"/>
                <w:lang w:eastAsia="ru-RU"/>
              </w:rPr>
              <w:t>5</w:t>
            </w:r>
          </w:p>
        </w:tc>
        <w:tc>
          <w:tcPr>
            <w:tcW w:w="6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Некоммерческая организация</w:t>
            </w:r>
          </w:p>
        </w:tc>
        <w:tc>
          <w:tcPr>
            <w:tcW w:w="26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w:t>
            </w:r>
          </w:p>
        </w:tc>
      </w:tr>
    </w:tbl>
    <w:p>
      <w:pPr>
        <w:pStyle w:val="Normal"/>
        <w:ind w:firstLine="709"/>
        <w:jc w:val="both"/>
        <w:rPr>
          <w:color w:themeColor="text1" w:val="000000"/>
        </w:rPr>
      </w:pPr>
      <w:r>
        <w:rPr>
          <w:color w:themeColor="text1" w:val="000000"/>
        </w:rPr>
        <w:t>В структуре общего объема валовой продукции промышленности города занимает: 46 % продукция машиностроения, 35 % - продукция пищевой промышленности, 13 % - энергетики и 1,5 % - легкой промышленности.</w:t>
      </w:r>
    </w:p>
    <w:p>
      <w:pPr>
        <w:sectPr>
          <w:headerReference w:type="default" r:id="rId36"/>
          <w:headerReference w:type="first" r:id="rId37"/>
          <w:footerReference w:type="default" r:id="rId38"/>
          <w:footerReference w:type="first" r:id="rId39"/>
          <w:footnotePr>
            <w:numFmt w:val="decimal"/>
          </w:footnotePr>
          <w:type w:val="nextPage"/>
          <w:pgSz w:w="11906" w:h="16838"/>
          <w:pgMar w:left="1418" w:right="709" w:gutter="0" w:header="567" w:top="1128" w:footer="0" w:bottom="448"/>
          <w:pgNumType w:fmt="decimal"/>
          <w:formProt w:val="false"/>
          <w:titlePg/>
          <w:textDirection w:val="lrTb"/>
          <w:docGrid w:type="default" w:linePitch="360" w:charSpace="0"/>
        </w:sectPr>
        <w:pStyle w:val="Normal"/>
        <w:ind w:firstLine="709"/>
        <w:jc w:val="both"/>
        <w:rPr>
          <w:color w:themeColor="text1" w:val="000000"/>
        </w:rPr>
      </w:pPr>
      <w:r>
        <w:rPr>
          <w:color w:themeColor="text1" w:val="000000"/>
        </w:rPr>
        <w:t xml:space="preserve">На территории городского округа можно выделить порядка 25 промышленных площадок наиболее крупными, из которых являются индустриальные парки: «Грабцево», «Калуга-Юг», «Росва». </w:t>
      </w:r>
    </w:p>
    <w:p>
      <w:pPr>
        <w:pStyle w:val="Style70"/>
        <w:spacing w:before="0" w:after="0"/>
        <w:jc w:val="right"/>
        <w:rPr>
          <w:color w:themeColor="text1" w:val="000000"/>
        </w:rPr>
      </w:pPr>
      <w:r>
        <w:rPr>
          <w:color w:themeColor="text1" w:val="000000"/>
        </w:rPr>
        <w:t>Таблица 5.2.7.</w:t>
      </w:r>
    </w:p>
    <w:p>
      <w:pPr>
        <w:pStyle w:val="Normal"/>
        <w:jc w:val="center"/>
        <w:rPr>
          <w:color w:themeColor="text1" w:val="000000"/>
        </w:rPr>
      </w:pPr>
      <w:r>
        <w:rPr>
          <w:color w:themeColor="text1" w:val="000000"/>
        </w:rPr>
        <w:t>Характеристики индустриальных парков, расположенных на территории городского округа</w:t>
      </w:r>
    </w:p>
    <w:tbl>
      <w:tblPr>
        <w:tblW w:w="15876" w:type="dxa"/>
        <w:jc w:val="left"/>
        <w:tblInd w:w="-572" w:type="dxa"/>
        <w:tblLayout w:type="fixed"/>
        <w:tblCellMar>
          <w:top w:w="0" w:type="dxa"/>
          <w:left w:w="108" w:type="dxa"/>
          <w:bottom w:w="0" w:type="dxa"/>
          <w:right w:w="108" w:type="dxa"/>
        </w:tblCellMar>
        <w:tblLook w:firstRow="0" w:noVBand="0" w:lastRow="0" w:firstColumn="0" w:lastColumn="0" w:noHBand="0" w:val="0000"/>
      </w:tblPr>
      <w:tblGrid>
        <w:gridCol w:w="2487"/>
        <w:gridCol w:w="3925"/>
        <w:gridCol w:w="4499"/>
        <w:gridCol w:w="4964"/>
      </w:tblGrid>
      <w:tr>
        <w:trPr>
          <w:tblHeader w:val="true"/>
          <w:trHeight w:val="468" w:hRule="atLeast"/>
        </w:trPr>
        <w:tc>
          <w:tcPr>
            <w:tcW w:w="248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Наименование</w:t>
            </w:r>
          </w:p>
        </w:tc>
        <w:tc>
          <w:tcPr>
            <w:tcW w:w="392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Описание</w:t>
            </w:r>
          </w:p>
        </w:tc>
        <w:tc>
          <w:tcPr>
            <w:tcW w:w="449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Инфраструктура</w:t>
            </w:r>
          </w:p>
        </w:tc>
        <w:tc>
          <w:tcPr>
            <w:tcW w:w="496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uppressAutoHyphens w:val="false"/>
              <w:jc w:val="center"/>
              <w:rPr>
                <w:b/>
                <w:bCs/>
                <w:color w:themeColor="text1" w:val="000000"/>
                <w:sz w:val="22"/>
                <w:szCs w:val="22"/>
                <w:lang w:eastAsia="ru-RU"/>
              </w:rPr>
            </w:pPr>
            <w:r>
              <w:rPr>
                <w:b/>
                <w:bCs/>
                <w:color w:themeColor="text1" w:val="000000"/>
                <w:sz w:val="22"/>
                <w:szCs w:val="22"/>
                <w:lang w:eastAsia="ru-RU"/>
              </w:rPr>
              <w:t>Резиденты</w:t>
            </w:r>
          </w:p>
        </w:tc>
      </w:tr>
      <w:tr>
        <w:trPr/>
        <w:tc>
          <w:tcPr>
            <w:tcW w:w="248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52" w:before="0" w:after="160"/>
              <w:rPr>
                <w:color w:themeColor="text1" w:val="000000"/>
                <w:sz w:val="22"/>
                <w:szCs w:val="22"/>
              </w:rPr>
            </w:pPr>
            <w:r>
              <w:rPr>
                <w:b/>
                <w:bCs/>
                <w:color w:themeColor="text1" w:val="000000"/>
                <w:sz w:val="22"/>
                <w:szCs w:val="22"/>
              </w:rPr>
              <w:t>Индустриальный парк «Грабцево»</w:t>
            </w:r>
          </w:p>
        </w:tc>
        <w:tc>
          <w:tcPr>
            <w:tcW w:w="3925"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false"/>
              <w:rPr>
                <w:color w:themeColor="text1" w:val="000000"/>
                <w:sz w:val="22"/>
                <w:szCs w:val="22"/>
              </w:rPr>
            </w:pPr>
            <w:r>
              <w:rPr>
                <w:b/>
                <w:bCs/>
                <w:color w:themeColor="text1" w:val="000000"/>
                <w:sz w:val="22"/>
                <w:szCs w:val="22"/>
                <w:lang w:eastAsia="ru-RU"/>
              </w:rPr>
              <w:t>Описание:</w:t>
            </w:r>
          </w:p>
          <w:p>
            <w:pPr>
              <w:pStyle w:val="Normal"/>
              <w:widowControl w:val="false"/>
              <w:suppressAutoHyphens w:val="false"/>
              <w:rPr>
                <w:color w:themeColor="text1" w:val="000000"/>
                <w:sz w:val="22"/>
                <w:szCs w:val="22"/>
              </w:rPr>
            </w:pPr>
            <w:r>
              <w:rPr>
                <w:color w:themeColor="text1" w:val="000000"/>
                <w:sz w:val="22"/>
                <w:szCs w:val="22"/>
                <w:lang w:eastAsia="ru-RU"/>
              </w:rPr>
              <w:t>Включен в Реестр сертификатов действующих индустриальных парков Системы добровольной сертификации Ассоциации</w:t>
            </w:r>
          </w:p>
          <w:p>
            <w:pPr>
              <w:pStyle w:val="Normal"/>
              <w:widowControl w:val="false"/>
              <w:suppressAutoHyphens w:val="false"/>
              <w:rPr>
                <w:color w:themeColor="text1" w:val="000000"/>
                <w:sz w:val="22"/>
                <w:szCs w:val="22"/>
              </w:rPr>
            </w:pPr>
            <w:r>
              <w:rPr>
                <w:color w:themeColor="text1" w:val="000000"/>
                <w:sz w:val="22"/>
                <w:szCs w:val="22"/>
                <w:lang w:eastAsia="ru-RU"/>
              </w:rPr>
              <w:t>индустриальных парков</w:t>
            </w:r>
          </w:p>
          <w:p>
            <w:pPr>
              <w:pStyle w:val="Normal"/>
              <w:widowControl w:val="false"/>
              <w:suppressAutoHyphens w:val="false"/>
              <w:rPr>
                <w:color w:themeColor="text1" w:val="000000"/>
                <w:sz w:val="22"/>
                <w:szCs w:val="22"/>
              </w:rPr>
            </w:pPr>
            <w:r>
              <w:rPr>
                <w:color w:themeColor="text1" w:val="000000"/>
                <w:sz w:val="22"/>
                <w:szCs w:val="22"/>
                <w:lang w:eastAsia="ru-RU"/>
              </w:rPr>
              <w:t>(СДСАИП).</w:t>
            </w:r>
          </w:p>
          <w:p>
            <w:pPr>
              <w:pStyle w:val="Normal"/>
              <w:widowControl w:val="false"/>
              <w:suppressAutoHyphens w:val="false"/>
              <w:rPr>
                <w:color w:themeColor="text1" w:val="000000"/>
                <w:sz w:val="22"/>
                <w:szCs w:val="22"/>
              </w:rPr>
            </w:pPr>
            <w:r>
              <w:rPr>
                <w:color w:themeColor="text1" w:val="000000"/>
                <w:sz w:val="22"/>
                <w:szCs w:val="22"/>
                <w:lang w:eastAsia="ru-RU"/>
              </w:rPr>
              <w:t xml:space="preserve">Инициатор проекта: </w:t>
              <w:br/>
              <w:t xml:space="preserve">Правительство Калужской </w:t>
              <w:br/>
              <w:t>области в лице регионального</w:t>
              <w:br/>
              <w:t xml:space="preserve">министерства экономического развития и промышленности </w:t>
              <w:br/>
              <w:t>Калужской области.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Права на землю: в собственности АО «Корпорация развития </w:t>
              <w:br/>
              <w:t>Калужской области».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Назначение проекта: размещение предприятий автомобильной и фармацевтической </w:t>
              <w:br/>
              <w:t>промышленности.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Категория земель: земли </w:t>
              <w:br/>
              <w:t>промышленности.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Присвоение статуса </w:t>
              <w:br/>
              <w:t xml:space="preserve">«Индустриальный парк» - </w:t>
              <w:br/>
              <w:t>7 октября 2009 года.</w:t>
            </w:r>
          </w:p>
          <w:p>
            <w:pPr>
              <w:pStyle w:val="Normal"/>
              <w:widowControl w:val="false"/>
              <w:suppressAutoHyphens w:val="false"/>
              <w:rPr>
                <w:color w:themeColor="text1" w:val="000000"/>
                <w:sz w:val="22"/>
                <w:szCs w:val="22"/>
              </w:rPr>
            </w:pPr>
            <w:r>
              <w:rPr>
                <w:color w:themeColor="text1" w:val="000000"/>
                <w:sz w:val="22"/>
                <w:szCs w:val="22"/>
                <w:lang w:eastAsia="ru-RU"/>
              </w:rPr>
              <w:t xml:space="preserve">Общая площадь </w:t>
              <w:br/>
              <w:t>индустриального парка – 414 га.</w:t>
            </w:r>
          </w:p>
          <w:p>
            <w:pPr>
              <w:pStyle w:val="Normal"/>
              <w:widowControl w:val="false"/>
              <w:suppressAutoHyphens w:val="false"/>
              <w:rPr>
                <w:color w:themeColor="text1" w:val="000000"/>
                <w:sz w:val="22"/>
                <w:szCs w:val="22"/>
              </w:rPr>
            </w:pPr>
            <w:r>
              <w:rPr>
                <w:color w:themeColor="text1" w:val="000000"/>
                <w:sz w:val="22"/>
                <w:szCs w:val="22"/>
                <w:lang w:eastAsia="ru-RU"/>
              </w:rPr>
              <w:t>Свободно для размещения инвесторов – 13,59 га.</w:t>
            </w:r>
          </w:p>
          <w:p>
            <w:pPr>
              <w:pStyle w:val="Normal"/>
              <w:widowControl w:val="false"/>
              <w:suppressAutoHyphens w:val="false"/>
              <w:rPr>
                <w:color w:themeColor="text1" w:val="000000"/>
                <w:sz w:val="22"/>
                <w:szCs w:val="22"/>
              </w:rPr>
            </w:pPr>
            <w:bookmarkStart w:id="26" w:name="расположение"/>
            <w:r>
              <w:rPr>
                <w:b/>
                <w:bCs/>
                <w:color w:themeColor="text1" w:val="000000"/>
                <w:sz w:val="22"/>
                <w:szCs w:val="22"/>
                <w:lang w:eastAsia="ru-RU"/>
              </w:rPr>
              <w:t>Расположение</w:t>
            </w:r>
            <w:bookmarkEnd w:id="26"/>
            <w:r>
              <w:rPr>
                <w:b/>
                <w:bCs/>
                <w:color w:themeColor="text1" w:val="000000"/>
                <w:sz w:val="22"/>
                <w:szCs w:val="22"/>
                <w:lang w:eastAsia="ru-RU"/>
              </w:rPr>
              <w:t>:</w:t>
            </w:r>
          </w:p>
          <w:p>
            <w:pPr>
              <w:pStyle w:val="Normal"/>
              <w:widowControl w:val="false"/>
              <w:suppressAutoHyphens w:val="false"/>
              <w:rPr>
                <w:color w:themeColor="text1" w:val="000000"/>
                <w:sz w:val="22"/>
                <w:szCs w:val="22"/>
              </w:rPr>
            </w:pPr>
            <w:r>
              <w:rPr>
                <w:b/>
                <w:bCs/>
                <w:color w:themeColor="text1" w:val="000000"/>
                <w:sz w:val="22"/>
                <w:szCs w:val="22"/>
                <w:lang w:eastAsia="ru-RU"/>
              </w:rPr>
              <w:t xml:space="preserve">- </w:t>
            </w:r>
            <w:r>
              <w:rPr>
                <w:color w:themeColor="text1" w:val="000000"/>
                <w:sz w:val="22"/>
                <w:szCs w:val="22"/>
                <w:lang w:eastAsia="ru-RU"/>
              </w:rPr>
              <w:t>в черте Калуги;</w:t>
            </w:r>
          </w:p>
          <w:p>
            <w:pPr>
              <w:pStyle w:val="Normal"/>
              <w:widowControl w:val="false"/>
              <w:suppressAutoHyphens w:val="false"/>
              <w:rPr>
                <w:color w:themeColor="text1" w:val="000000"/>
                <w:sz w:val="22"/>
                <w:szCs w:val="22"/>
              </w:rPr>
            </w:pPr>
            <w:r>
              <w:rPr>
                <w:color w:themeColor="text1" w:val="000000"/>
                <w:sz w:val="22"/>
                <w:szCs w:val="22"/>
                <w:lang w:eastAsia="ru-RU"/>
              </w:rPr>
              <w:t>- 15 км от трассы Р-132 «Калуга-Тула-Рязань»;</w:t>
            </w:r>
          </w:p>
          <w:p>
            <w:pPr>
              <w:pStyle w:val="Normal"/>
              <w:widowControl w:val="false"/>
              <w:suppressAutoHyphens w:val="false"/>
              <w:jc w:val="both"/>
              <w:rPr>
                <w:color w:themeColor="text1" w:val="000000"/>
                <w:sz w:val="22"/>
                <w:szCs w:val="22"/>
              </w:rPr>
            </w:pPr>
            <w:r>
              <w:rPr>
                <w:color w:themeColor="text1" w:val="000000"/>
                <w:sz w:val="22"/>
                <w:szCs w:val="22"/>
                <w:lang w:eastAsia="ru-RU"/>
              </w:rPr>
              <w:t>- 25 км - трасса М3 «Украина»;</w:t>
            </w:r>
          </w:p>
          <w:p>
            <w:pPr>
              <w:pStyle w:val="Normal"/>
              <w:widowControl w:val="false"/>
              <w:suppressAutoHyphens w:val="false"/>
              <w:rPr>
                <w:color w:themeColor="text1" w:val="000000"/>
                <w:sz w:val="22"/>
                <w:szCs w:val="22"/>
              </w:rPr>
            </w:pPr>
            <w:r>
              <w:rPr>
                <w:color w:themeColor="text1" w:val="000000"/>
                <w:sz w:val="22"/>
                <w:szCs w:val="22"/>
                <w:lang w:eastAsia="ru-RU"/>
              </w:rPr>
              <w:t>- 200 м от окружной автодороги, соединяющей эти трассы;</w:t>
            </w:r>
          </w:p>
          <w:p>
            <w:pPr>
              <w:pStyle w:val="Normal"/>
              <w:widowControl w:val="false"/>
              <w:suppressAutoHyphens w:val="false"/>
              <w:rPr>
                <w:color w:themeColor="text1" w:val="000000"/>
                <w:sz w:val="22"/>
                <w:szCs w:val="22"/>
              </w:rPr>
            </w:pPr>
            <w:r>
              <w:rPr>
                <w:color w:themeColor="text1" w:val="000000"/>
                <w:sz w:val="22"/>
                <w:szCs w:val="22"/>
                <w:lang w:eastAsia="ru-RU"/>
              </w:rPr>
              <w:t xml:space="preserve">- в радиусе 50 км от парка </w:t>
              <w:br/>
              <w:t xml:space="preserve">проживает 600 тыс. человек, в </w:t>
              <w:br/>
              <w:t xml:space="preserve">радиусе 100 км более 1 млн </w:t>
              <w:br/>
              <w:t>человек;</w:t>
            </w:r>
          </w:p>
          <w:p>
            <w:pPr>
              <w:pStyle w:val="Normal"/>
              <w:widowControl w:val="false"/>
              <w:suppressAutoHyphens w:val="false"/>
              <w:rPr>
                <w:color w:themeColor="text1" w:val="000000"/>
                <w:sz w:val="22"/>
                <w:szCs w:val="22"/>
              </w:rPr>
            </w:pPr>
            <w:r>
              <w:rPr>
                <w:color w:themeColor="text1" w:val="000000"/>
                <w:sz w:val="22"/>
                <w:szCs w:val="22"/>
                <w:lang w:eastAsia="ru-RU"/>
              </w:rPr>
              <w:t xml:space="preserve">- в 3 км - международный </w:t>
              <w:br/>
              <w:t>аэропорт «Калуга»;</w:t>
            </w:r>
          </w:p>
          <w:p>
            <w:pPr>
              <w:pStyle w:val="Normal"/>
              <w:widowControl w:val="false"/>
              <w:suppressAutoHyphens w:val="false"/>
              <w:rPr>
                <w:color w:themeColor="text1" w:val="000000"/>
                <w:sz w:val="22"/>
                <w:szCs w:val="22"/>
              </w:rPr>
            </w:pPr>
            <w:r>
              <w:rPr>
                <w:color w:themeColor="text1" w:val="000000"/>
                <w:sz w:val="22"/>
                <w:szCs w:val="22"/>
                <w:lang w:eastAsia="ru-RU"/>
              </w:rPr>
              <w:t>- в 190 км - Южный речной порт, река Москва;</w:t>
            </w:r>
          </w:p>
          <w:p>
            <w:pPr>
              <w:pStyle w:val="Normal"/>
              <w:widowControl w:val="false"/>
              <w:suppressAutoHyphens w:val="false"/>
              <w:rPr>
                <w:color w:themeColor="text1" w:val="000000"/>
                <w:sz w:val="22"/>
                <w:szCs w:val="22"/>
              </w:rPr>
            </w:pPr>
            <w:r>
              <w:rPr>
                <w:color w:themeColor="text1" w:val="000000"/>
                <w:sz w:val="22"/>
                <w:szCs w:val="22"/>
                <w:lang w:eastAsia="ru-RU"/>
              </w:rPr>
              <w:t>- ж/д пути - на территории парка;</w:t>
            </w:r>
          </w:p>
          <w:p>
            <w:pPr>
              <w:pStyle w:val="Normal"/>
              <w:widowControl w:val="false"/>
              <w:suppressAutoHyphens w:val="false"/>
              <w:rPr>
                <w:color w:themeColor="text1" w:val="000000"/>
                <w:sz w:val="22"/>
                <w:szCs w:val="22"/>
              </w:rPr>
            </w:pPr>
            <w:r>
              <w:rPr>
                <w:color w:themeColor="text1" w:val="000000"/>
                <w:sz w:val="22"/>
                <w:szCs w:val="22"/>
                <w:lang w:eastAsia="ru-RU"/>
              </w:rPr>
              <w:t>- в 3 км - ж/д станция «Калуга-1»;</w:t>
            </w:r>
          </w:p>
          <w:p>
            <w:pPr>
              <w:pStyle w:val="Normal"/>
              <w:widowControl w:val="false"/>
              <w:suppressAutoHyphens w:val="false"/>
              <w:rPr>
                <w:color w:themeColor="text1" w:val="000000"/>
                <w:sz w:val="22"/>
                <w:szCs w:val="22"/>
              </w:rPr>
            </w:pPr>
            <w:r>
              <w:rPr>
                <w:color w:themeColor="text1" w:val="000000"/>
                <w:sz w:val="22"/>
                <w:szCs w:val="22"/>
                <w:lang w:eastAsia="ru-RU"/>
              </w:rPr>
              <w:t>- 30 км до транспортно-</w:t>
              <w:br/>
              <w:t>логистического центра Freight Village Rosva.</w:t>
            </w:r>
          </w:p>
          <w:p>
            <w:pPr>
              <w:pStyle w:val="Normal"/>
              <w:widowControl w:val="false"/>
              <w:suppressAutoHyphens w:val="false"/>
              <w:rPr>
                <w:color w:themeColor="text1" w:val="000000"/>
                <w:sz w:val="22"/>
                <w:szCs w:val="22"/>
              </w:rPr>
            </w:pPr>
            <w:r>
              <w:rPr>
                <w:b/>
                <w:bCs/>
                <w:color w:themeColor="text1" w:val="000000"/>
                <w:sz w:val="22"/>
                <w:szCs w:val="22"/>
                <w:lang w:eastAsia="ru-RU"/>
              </w:rPr>
              <w:t>Специфика:</w:t>
            </w:r>
          </w:p>
          <w:p>
            <w:pPr>
              <w:pStyle w:val="Normal"/>
              <w:widowControl w:val="false"/>
              <w:suppressAutoHyphens w:val="false"/>
              <w:rPr>
                <w:color w:themeColor="text1" w:val="000000"/>
                <w:sz w:val="22"/>
                <w:szCs w:val="22"/>
              </w:rPr>
            </w:pPr>
            <w:r>
              <w:rPr>
                <w:color w:themeColor="text1" w:val="000000"/>
                <w:sz w:val="22"/>
                <w:szCs w:val="22"/>
                <w:lang w:eastAsia="ru-RU"/>
              </w:rPr>
              <w:t xml:space="preserve">Развитие инфраструктуры парка осуществляется в рамках проекта «Развитие инфраструктуры </w:t>
              <w:br/>
              <w:t xml:space="preserve">индустриальных парков: </w:t>
              <w:br/>
              <w:t xml:space="preserve">формирование кластера </w:t>
              <w:br/>
              <w:t xml:space="preserve">производства автомобилей и </w:t>
              <w:br/>
              <w:t>автокомпонентов».</w:t>
            </w:r>
          </w:p>
          <w:p>
            <w:pPr>
              <w:pStyle w:val="Normal"/>
              <w:widowControl w:val="false"/>
              <w:suppressAutoHyphens w:val="false"/>
              <w:spacing w:lineRule="auto" w:line="252" w:before="0" w:after="160"/>
              <w:rPr>
                <w:color w:themeColor="text1" w:val="000000"/>
                <w:sz w:val="22"/>
                <w:szCs w:val="22"/>
              </w:rPr>
            </w:pPr>
            <w:r>
              <w:rPr>
                <w:color w:themeColor="text1" w:val="000000"/>
                <w:sz w:val="22"/>
                <w:szCs w:val="22"/>
                <w:lang w:eastAsia="ru-RU"/>
              </w:rPr>
              <w:t xml:space="preserve">Вместе с тем крупные </w:t>
              <w:br/>
              <w:t>фармпроизводители также предпочли площадку в «Грабцево».</w:t>
            </w:r>
          </w:p>
        </w:tc>
        <w:tc>
          <w:tcPr>
            <w:tcW w:w="4499" w:type="dxa"/>
            <w:tcBorders>
              <w:top w:val="single" w:sz="4" w:space="0" w:color="000000"/>
              <w:left w:val="single" w:sz="4" w:space="0" w:color="000000"/>
              <w:bottom w:val="single" w:sz="4" w:space="0" w:color="000000"/>
            </w:tcBorders>
            <w:shd w:color="auto" w:fill="auto" w:val="clear"/>
          </w:tcPr>
          <w:p>
            <w:pPr>
              <w:pStyle w:val="Normal"/>
              <w:widowControl w:val="false"/>
              <w:rPr>
                <w:color w:themeColor="text1" w:val="000000"/>
                <w:sz w:val="22"/>
                <w:szCs w:val="22"/>
              </w:rPr>
            </w:pPr>
            <w:r>
              <w:rPr>
                <w:b/>
                <w:bCs/>
                <w:color w:themeColor="text1" w:val="000000"/>
                <w:sz w:val="22"/>
                <w:szCs w:val="22"/>
                <w:lang w:eastAsia="ru-RU"/>
              </w:rPr>
              <w:t>Инженерные мощности:</w:t>
            </w:r>
          </w:p>
          <w:p>
            <w:pPr>
              <w:pStyle w:val="BodyText"/>
              <w:widowControl w:val="false"/>
              <w:spacing w:before="0" w:after="0"/>
              <w:ind w:hanging="0"/>
              <w:rPr>
                <w:color w:themeColor="text1" w:val="000000"/>
                <w:sz w:val="22"/>
                <w:szCs w:val="22"/>
              </w:rPr>
            </w:pPr>
            <w:r>
              <w:rPr>
                <w:color w:themeColor="text1" w:val="000000"/>
                <w:sz w:val="22"/>
                <w:szCs w:val="22"/>
                <w:lang w:eastAsia="ru-RU"/>
              </w:rPr>
              <w:t>- </w:t>
            </w:r>
            <w:r>
              <w:rPr>
                <w:b/>
                <w:bCs/>
                <w:color w:themeColor="text1" w:val="000000"/>
                <w:sz w:val="22"/>
                <w:szCs w:val="22"/>
                <w:lang w:eastAsia="ru-RU"/>
              </w:rPr>
              <w:t>электроэнергия</w:t>
            </w:r>
            <w:r>
              <w:rPr>
                <w:color w:themeColor="text1" w:val="000000"/>
                <w:sz w:val="22"/>
                <w:szCs w:val="22"/>
                <w:lang w:eastAsia="ru-RU"/>
              </w:rPr>
              <w:t xml:space="preserve"> (мощность </w:t>
              <w:br/>
              <w:t>82,7 МВт, свободная - 4 МВт);</w:t>
            </w:r>
          </w:p>
          <w:p>
            <w:pPr>
              <w:pStyle w:val="BodyText"/>
              <w:widowControl w:val="false"/>
              <w:spacing w:before="0" w:after="0"/>
              <w:ind w:hanging="0"/>
              <w:rPr>
                <w:color w:themeColor="text1" w:val="000000"/>
                <w:sz w:val="22"/>
                <w:szCs w:val="22"/>
              </w:rPr>
            </w:pPr>
            <w:r>
              <w:rPr>
                <w:color w:themeColor="text1" w:val="000000"/>
                <w:sz w:val="22"/>
                <w:szCs w:val="22"/>
                <w:lang w:eastAsia="ru-RU"/>
              </w:rPr>
              <w:t>- </w:t>
            </w:r>
            <w:r>
              <w:rPr>
                <w:b/>
                <w:bCs/>
                <w:color w:themeColor="text1" w:val="000000"/>
                <w:sz w:val="22"/>
                <w:szCs w:val="22"/>
                <w:lang w:eastAsia="ru-RU"/>
              </w:rPr>
              <w:t xml:space="preserve">водообеспечение: </w:t>
            </w:r>
            <w:r>
              <w:rPr>
                <w:color w:themeColor="text1" w:val="000000"/>
                <w:sz w:val="22"/>
                <w:szCs w:val="22"/>
                <w:lang w:eastAsia="ru-RU"/>
              </w:rPr>
              <w:t xml:space="preserve">индустриальный парк обеспечен сетями </w:t>
            </w:r>
            <w:r>
              <w:rPr>
                <w:b/>
                <w:bCs/>
                <w:color w:themeColor="text1" w:val="000000"/>
                <w:sz w:val="22"/>
                <w:szCs w:val="22"/>
                <w:lang w:eastAsia="ru-RU"/>
              </w:rPr>
              <w:t>водоснабжения и водоотведения</w:t>
            </w:r>
            <w:r>
              <w:rPr>
                <w:color w:themeColor="text1" w:val="000000"/>
                <w:sz w:val="22"/>
                <w:szCs w:val="22"/>
                <w:lang w:eastAsia="ru-RU"/>
              </w:rPr>
              <w:t xml:space="preserve"> в полном объеме;</w:t>
            </w:r>
          </w:p>
          <w:p>
            <w:pPr>
              <w:pStyle w:val="BodyText"/>
              <w:widowControl w:val="false"/>
              <w:spacing w:before="0" w:after="0"/>
              <w:ind w:hanging="0"/>
              <w:rPr>
                <w:color w:themeColor="text1" w:val="000000"/>
                <w:sz w:val="22"/>
                <w:szCs w:val="22"/>
              </w:rPr>
            </w:pPr>
            <w:r>
              <w:rPr>
                <w:color w:themeColor="text1" w:val="000000"/>
                <w:sz w:val="22"/>
                <w:szCs w:val="22"/>
                <w:lang w:eastAsia="ru-RU"/>
              </w:rPr>
              <w:t>- </w:t>
            </w:r>
            <w:r>
              <w:rPr>
                <w:b/>
                <w:bCs/>
                <w:color w:themeColor="text1" w:val="000000"/>
                <w:sz w:val="22"/>
                <w:szCs w:val="22"/>
                <w:lang w:eastAsia="ru-RU"/>
              </w:rPr>
              <w:t>газоснабжение</w:t>
            </w:r>
            <w:r>
              <w:rPr>
                <w:color w:themeColor="text1" w:val="000000"/>
                <w:sz w:val="22"/>
                <w:szCs w:val="22"/>
                <w:lang w:eastAsia="ru-RU"/>
              </w:rPr>
              <w:t xml:space="preserve"> (мощность </w:t>
              <w:br/>
              <w:t xml:space="preserve">10 679 куб.м/ч, свободная - </w:t>
              <w:br/>
              <w:t>2 945 куб.м/ч);</w:t>
            </w:r>
          </w:p>
          <w:p>
            <w:pPr>
              <w:pStyle w:val="BodyText"/>
              <w:widowControl w:val="false"/>
              <w:spacing w:before="0" w:after="0"/>
              <w:ind w:hanging="0"/>
              <w:rPr>
                <w:color w:themeColor="text1" w:val="000000"/>
                <w:sz w:val="22"/>
                <w:szCs w:val="22"/>
              </w:rPr>
            </w:pPr>
            <w:r>
              <w:rPr>
                <w:color w:themeColor="text1" w:val="000000"/>
                <w:sz w:val="22"/>
                <w:szCs w:val="22"/>
                <w:lang w:eastAsia="ru-RU"/>
              </w:rPr>
              <w:t xml:space="preserve">- </w:t>
            </w:r>
            <w:r>
              <w:rPr>
                <w:b/>
                <w:bCs/>
                <w:color w:themeColor="text1" w:val="000000"/>
                <w:sz w:val="22"/>
                <w:szCs w:val="22"/>
                <w:lang w:eastAsia="ru-RU"/>
              </w:rPr>
              <w:t>телекоммуникации</w:t>
            </w:r>
            <w:r>
              <w:rPr>
                <w:color w:themeColor="text1" w:val="000000"/>
                <w:sz w:val="22"/>
                <w:szCs w:val="22"/>
                <w:lang w:eastAsia="ru-RU"/>
              </w:rPr>
              <w:t>, в т.ч. высокоскоростной интернет на всей территории парка.</w:t>
            </w:r>
          </w:p>
          <w:p>
            <w:pPr>
              <w:pStyle w:val="BodyText"/>
              <w:widowControl w:val="false"/>
              <w:spacing w:before="0" w:after="0"/>
              <w:ind w:hanging="0"/>
              <w:rPr>
                <w:color w:themeColor="text1" w:val="000000"/>
                <w:sz w:val="22"/>
                <w:szCs w:val="22"/>
              </w:rPr>
            </w:pPr>
            <w:r>
              <w:rPr>
                <w:b/>
                <w:bCs/>
                <w:color w:themeColor="text1" w:val="000000"/>
                <w:sz w:val="22"/>
                <w:szCs w:val="22"/>
                <w:lang w:eastAsia="ru-RU"/>
              </w:rPr>
              <w:t>Трудовые ресурсы:</w:t>
            </w:r>
          </w:p>
          <w:p>
            <w:pPr>
              <w:pStyle w:val="BodyText"/>
              <w:widowControl w:val="false"/>
              <w:spacing w:before="0" w:after="0"/>
              <w:ind w:hanging="0"/>
              <w:rPr>
                <w:color w:themeColor="text1" w:val="000000"/>
                <w:sz w:val="22"/>
                <w:szCs w:val="22"/>
              </w:rPr>
            </w:pPr>
            <w:r>
              <w:rPr>
                <w:color w:themeColor="text1" w:val="000000"/>
                <w:sz w:val="22"/>
                <w:szCs w:val="22"/>
                <w:lang w:eastAsia="ru-RU"/>
              </w:rPr>
              <w:t xml:space="preserve">- около 60000 потенциальных работников проживают в радиусе </w:t>
              <w:br/>
              <w:t>50 км;</w:t>
            </w:r>
          </w:p>
          <w:p>
            <w:pPr>
              <w:pStyle w:val="BodyText"/>
              <w:widowControl w:val="false"/>
              <w:spacing w:before="0" w:after="0"/>
              <w:ind w:hanging="0"/>
              <w:rPr>
                <w:color w:themeColor="text1" w:val="000000"/>
                <w:sz w:val="22"/>
                <w:szCs w:val="22"/>
              </w:rPr>
            </w:pPr>
            <w:r>
              <w:rPr>
                <w:color w:themeColor="text1" w:val="000000"/>
                <w:sz w:val="22"/>
                <w:szCs w:val="22"/>
                <w:lang w:eastAsia="ru-RU"/>
              </w:rPr>
              <w:t xml:space="preserve">- население Калужской области </w:t>
              <w:br/>
              <w:t>1 002 575 чел.</w:t>
            </w:r>
          </w:p>
          <w:p>
            <w:pPr>
              <w:pStyle w:val="BodyText"/>
              <w:widowControl w:val="false"/>
              <w:spacing w:before="0" w:after="0"/>
              <w:ind w:hanging="0"/>
              <w:rPr>
                <w:color w:themeColor="text1" w:val="000000"/>
                <w:sz w:val="22"/>
                <w:szCs w:val="22"/>
              </w:rPr>
            </w:pPr>
            <w:r>
              <w:rPr>
                <w:color w:themeColor="text1" w:val="000000"/>
                <w:sz w:val="22"/>
                <w:szCs w:val="22"/>
                <w:lang w:eastAsia="ru-RU"/>
              </w:rPr>
              <w:t>Качественная социальная инфраструктура: в непосредственной близости от парка находится жилой комплекс, построенный в рамках программы «Жилье для</w:t>
            </w:r>
            <w:bookmarkStart w:id="27" w:name="заявка1"/>
            <w:bookmarkEnd w:id="27"/>
            <w:r>
              <w:rPr>
                <w:color w:themeColor="text1" w:val="000000"/>
                <w:sz w:val="22"/>
                <w:szCs w:val="22"/>
                <w:lang w:eastAsia="ru-RU"/>
              </w:rPr>
              <w:t xml:space="preserve"> профессионалов», на территории парка расположена четырехзвездочная гостиница «Амбассадор», а также конференц-залы, деловые зоны, столовые и кафе.</w:t>
            </w:r>
          </w:p>
          <w:p>
            <w:pPr>
              <w:pStyle w:val="Normal"/>
              <w:widowControl w:val="false"/>
              <w:rPr>
                <w:color w:themeColor="text1" w:val="000000"/>
                <w:sz w:val="22"/>
                <w:szCs w:val="22"/>
              </w:rPr>
            </w:pPr>
            <w:r>
              <w:rPr>
                <w:color w:themeColor="text1" w:val="000000"/>
                <w:sz w:val="22"/>
                <w:szCs w:val="22"/>
              </w:rPr>
            </w:r>
          </w:p>
        </w:tc>
        <w:tc>
          <w:tcPr>
            <w:tcW w:w="4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rPr>
                <w:color w:themeColor="text1" w:val="000000"/>
                <w:sz w:val="22"/>
                <w:szCs w:val="22"/>
              </w:rPr>
            </w:pPr>
            <w:r>
              <w:rPr>
                <w:b/>
                <w:bCs/>
                <w:color w:themeColor="text1" w:val="000000"/>
                <w:sz w:val="22"/>
                <w:szCs w:val="22"/>
                <w:lang w:eastAsia="ru-RU"/>
              </w:rPr>
              <w:t>Резиденты:</w:t>
            </w:r>
          </w:p>
          <w:p>
            <w:pPr>
              <w:pStyle w:val="Normal"/>
              <w:widowControl w:val="false"/>
              <w:suppressAutoHyphens w:val="false"/>
              <w:rPr>
                <w:color w:themeColor="text1" w:val="000000"/>
                <w:sz w:val="22"/>
                <w:szCs w:val="22"/>
              </w:rPr>
            </w:pPr>
            <w:r>
              <w:rPr>
                <w:color w:themeColor="text1" w:val="000000"/>
                <w:sz w:val="22"/>
                <w:szCs w:val="22"/>
                <w:lang w:eastAsia="ru-RU"/>
              </w:rPr>
              <w:t>На территории индустриального парка размещено</w:t>
              <w:br/>
              <w:t>13 предприятий.</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«АГР» - производство автомобилей;</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«АГР КС» - производство двигателей внутреннего сгорания автомобилей;</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Филиал АО «МС Автомотив» - производство и окраска бамперов, производство передних модулей, решеток, радиаторов и каркасов;</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«Шасси Системс РУС» - производство деталей подвески автомобилей;</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«СМРК Аутомотив Текнолоджи Рус» - производство обшивки для дверей автомобилей;</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«Гестамп-Северсталь-Калуга» - производство штампованных деталей для кузовов легковых автомобилей;</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«Япп Рус Автомобильные системы» - производство пластиковых топливных баков;</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«СГК» - сервисный металлоцентр;</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xml:space="preserve">- ООО «Фуяо Стекло Рус» - производство </w:t>
              <w:br/>
              <w:t>автомобильного стекла;</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xml:space="preserve">- ЗАО «Берлин-Фарма» - фармацевтическое </w:t>
              <w:br/>
              <w:t>производство;</w:t>
            </w:r>
          </w:p>
          <w:p>
            <w:pPr>
              <w:pStyle w:val="Normal"/>
              <w:widowControl w:val="false"/>
              <w:suppressAutoHyphens w:val="false"/>
              <w:ind w:hanging="0" w:left="34"/>
              <w:rPr>
                <w:color w:themeColor="text1" w:val="000000"/>
                <w:sz w:val="22"/>
                <w:szCs w:val="22"/>
                <w:lang w:eastAsia="ru-RU"/>
              </w:rPr>
            </w:pPr>
            <w:r>
              <w:rPr>
                <w:color w:themeColor="text1" w:val="000000"/>
                <w:sz w:val="22"/>
                <w:szCs w:val="22"/>
                <w:lang w:eastAsia="ru-RU"/>
              </w:rPr>
              <w:t>- ООО «Ново Нордиск Продакшн Саппорт» (филиал ООО «Ново Нордиск» в г. Калуге) - производство инсулина;</w:t>
            </w:r>
          </w:p>
          <w:p>
            <w:pPr>
              <w:pStyle w:val="Normal"/>
              <w:widowControl w:val="false"/>
              <w:suppressAutoHyphens w:val="false"/>
              <w:ind w:hanging="0" w:left="34"/>
              <w:rPr>
                <w:color w:themeColor="text1" w:val="000000"/>
                <w:sz w:val="22"/>
                <w:szCs w:val="22"/>
                <w:lang w:eastAsia="ru-RU"/>
              </w:rPr>
            </w:pPr>
            <w:r>
              <w:rPr>
                <w:color w:themeColor="text1" w:val="000000"/>
                <w:sz w:val="22"/>
                <w:szCs w:val="22"/>
                <w:lang w:eastAsia="ru-RU"/>
              </w:rPr>
              <w:t>- ООО «Яндекс ДЦ Калуга» - центр обработки данных;</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 ООО «КАЛУГАСПЕЦАВТО» - производство металлоконструкций.</w:t>
            </w:r>
          </w:p>
          <w:p>
            <w:pPr>
              <w:pStyle w:val="Normal"/>
              <w:widowControl w:val="false"/>
              <w:suppressAutoHyphens w:val="false"/>
              <w:ind w:hanging="0" w:left="34"/>
              <w:rPr>
                <w:color w:themeColor="text1" w:val="000000"/>
                <w:sz w:val="22"/>
                <w:szCs w:val="22"/>
              </w:rPr>
            </w:pPr>
            <w:r>
              <w:rPr>
                <w:color w:themeColor="text1" w:val="000000"/>
                <w:sz w:val="22"/>
                <w:szCs w:val="22"/>
                <w:lang w:eastAsia="ru-RU"/>
              </w:rPr>
              <w:t>В непосредственной близости к индустриальному парку находится АО «Международный аэропорт «Калуга», который функционирует с 2015 года.</w:t>
            </w:r>
          </w:p>
          <w:p>
            <w:pPr>
              <w:pStyle w:val="Normal"/>
              <w:widowControl w:val="false"/>
              <w:suppressAutoHyphens w:val="false"/>
              <w:rPr>
                <w:color w:themeColor="text1" w:val="000000"/>
                <w:sz w:val="22"/>
                <w:szCs w:val="22"/>
              </w:rPr>
            </w:pPr>
            <w:r>
              <w:rPr>
                <w:color w:themeColor="text1" w:val="000000"/>
                <w:sz w:val="22"/>
                <w:szCs w:val="22"/>
                <w:lang w:eastAsia="ru-RU"/>
              </w:rPr>
              <w:t>На территории индустриального парка</w:t>
              <w:br/>
              <w:t>расположена автономная некоммерческая организация Центр Экстренной Медицинской Помощи «Антониус Медвизион» - оказание медицинских услуг, которая работает с 2015 года.</w:t>
            </w:r>
          </w:p>
          <w:p>
            <w:pPr>
              <w:pStyle w:val="Normal"/>
              <w:widowControl w:val="false"/>
              <w:suppressAutoHyphens w:val="false"/>
              <w:rPr>
                <w:color w:themeColor="text1" w:val="000000"/>
                <w:sz w:val="22"/>
                <w:szCs w:val="22"/>
              </w:rPr>
            </w:pPr>
            <w:r>
              <w:rPr>
                <w:rStyle w:val="Strong"/>
                <w:caps/>
                <w:color w:themeColor="text1" w:val="000000"/>
                <w:spacing w:val="-10"/>
                <w:sz w:val="22"/>
                <w:szCs w:val="22"/>
                <w:lang w:eastAsia="ru-RU"/>
              </w:rPr>
              <w:t xml:space="preserve">«А-парк»: спецпроект для размещения </w:t>
              <w:br/>
              <w:t>небольших компаний</w:t>
            </w:r>
          </w:p>
          <w:p>
            <w:pPr>
              <w:pStyle w:val="BodyText"/>
              <w:widowControl w:val="false"/>
              <w:suppressAutoHyphens w:val="false"/>
              <w:spacing w:before="0" w:after="0"/>
              <w:ind w:firstLine="34"/>
              <w:rPr>
                <w:color w:themeColor="text1" w:val="000000"/>
                <w:sz w:val="22"/>
                <w:szCs w:val="22"/>
              </w:rPr>
            </w:pPr>
            <w:r>
              <w:rPr>
                <w:color w:themeColor="text1" w:val="000000"/>
                <w:sz w:val="22"/>
                <w:szCs w:val="22"/>
                <w:lang w:eastAsia="ru-RU"/>
              </w:rPr>
              <w:t>Расположен на территории ИП «Грабцево».</w:t>
            </w:r>
          </w:p>
          <w:p>
            <w:pPr>
              <w:pStyle w:val="BodyText"/>
              <w:widowControl w:val="false"/>
              <w:suppressAutoHyphens w:val="false"/>
              <w:spacing w:before="0" w:after="0"/>
              <w:ind w:firstLine="34"/>
              <w:rPr>
                <w:color w:themeColor="text1" w:val="000000"/>
                <w:sz w:val="22"/>
                <w:szCs w:val="22"/>
              </w:rPr>
            </w:pPr>
            <w:r>
              <w:rPr>
                <w:color w:themeColor="text1" w:val="000000"/>
                <w:sz w:val="22"/>
                <w:szCs w:val="22"/>
                <w:lang w:eastAsia="ru-RU"/>
              </w:rPr>
              <w:t>Площадь - 20 га.</w:t>
            </w:r>
          </w:p>
          <w:p>
            <w:pPr>
              <w:pStyle w:val="BodyText"/>
              <w:widowControl w:val="false"/>
              <w:suppressAutoHyphens w:val="false"/>
              <w:spacing w:before="0" w:after="0"/>
              <w:ind w:firstLine="34"/>
              <w:rPr>
                <w:color w:themeColor="text1" w:val="000000"/>
                <w:sz w:val="22"/>
                <w:szCs w:val="22"/>
              </w:rPr>
            </w:pPr>
            <w:r>
              <w:rPr>
                <w:b/>
                <w:bCs/>
                <w:color w:themeColor="text1" w:val="000000"/>
                <w:sz w:val="22"/>
                <w:szCs w:val="22"/>
                <w:lang w:eastAsia="ru-RU"/>
              </w:rPr>
              <w:t>Арендаторы:</w:t>
            </w:r>
          </w:p>
          <w:p>
            <w:pPr>
              <w:pStyle w:val="BodyText"/>
              <w:widowControl w:val="false"/>
              <w:suppressAutoHyphens w:val="false"/>
              <w:spacing w:before="0" w:after="0"/>
              <w:ind w:hanging="0"/>
              <w:jc w:val="left"/>
              <w:rPr>
                <w:color w:themeColor="text1" w:val="000000"/>
                <w:sz w:val="22"/>
                <w:szCs w:val="22"/>
              </w:rPr>
            </w:pPr>
            <w:r>
              <w:rPr>
                <w:color w:themeColor="text1" w:val="000000"/>
                <w:sz w:val="22"/>
                <w:szCs w:val="22"/>
                <w:lang w:eastAsia="ru-RU"/>
              </w:rPr>
              <w:t xml:space="preserve">- ООО «Шасси Системс РУС» - производство </w:t>
              <w:br/>
              <w:t xml:space="preserve">деталей подвески автомобилей работает с </w:t>
              <w:br/>
              <w:t>2010 года;</w:t>
            </w:r>
          </w:p>
          <w:p>
            <w:pPr>
              <w:pStyle w:val="BodyText"/>
              <w:widowControl w:val="false"/>
              <w:suppressAutoHyphens w:val="false"/>
              <w:spacing w:before="0" w:after="0"/>
              <w:ind w:hanging="0"/>
              <w:jc w:val="left"/>
              <w:rPr>
                <w:color w:themeColor="text1" w:val="000000"/>
                <w:sz w:val="22"/>
                <w:szCs w:val="22"/>
              </w:rPr>
            </w:pPr>
            <w:r>
              <w:rPr>
                <w:color w:themeColor="text1" w:val="000000"/>
                <w:sz w:val="22"/>
                <w:szCs w:val="22"/>
                <w:lang w:eastAsia="ru-RU"/>
              </w:rPr>
              <w:t xml:space="preserve">- ООО «СМРК Аутомотив Текнолоджи Рус» - </w:t>
              <w:br/>
              <w:t xml:space="preserve">с 2010 года производит обшивки для дверей </w:t>
              <w:br/>
              <w:t xml:space="preserve">автомобилей. Продукция востребована в </w:t>
              <w:br/>
              <w:t xml:space="preserve">основном предприятиями калужского </w:t>
              <w:br/>
              <w:t>автокластера.</w:t>
            </w:r>
          </w:p>
        </w:tc>
      </w:tr>
      <w:tr>
        <w:trPr>
          <w:trHeight w:val="789" w:hRule="atLeast"/>
        </w:trPr>
        <w:tc>
          <w:tcPr>
            <w:tcW w:w="248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52" w:before="0" w:after="160"/>
              <w:rPr>
                <w:color w:themeColor="text1" w:val="000000"/>
                <w:sz w:val="22"/>
                <w:szCs w:val="22"/>
              </w:rPr>
            </w:pPr>
            <w:r>
              <w:rPr>
                <w:b/>
                <w:bCs/>
                <w:color w:themeColor="text1" w:val="000000"/>
                <w:sz w:val="22"/>
                <w:szCs w:val="22"/>
              </w:rPr>
              <w:t>Индустриальный парк «Росва»</w:t>
            </w:r>
          </w:p>
        </w:tc>
        <w:tc>
          <w:tcPr>
            <w:tcW w:w="3925"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false"/>
              <w:rPr>
                <w:color w:themeColor="text1" w:val="000000"/>
                <w:sz w:val="22"/>
                <w:szCs w:val="22"/>
              </w:rPr>
            </w:pPr>
            <w:r>
              <w:rPr>
                <w:b/>
                <w:bCs/>
                <w:color w:themeColor="text1" w:val="000000"/>
                <w:sz w:val="22"/>
                <w:szCs w:val="22"/>
                <w:lang w:eastAsia="ru-RU"/>
              </w:rPr>
              <w:t>Описание:</w:t>
            </w:r>
          </w:p>
          <w:p>
            <w:pPr>
              <w:pStyle w:val="Normal"/>
              <w:widowControl w:val="false"/>
              <w:suppressAutoHyphens w:val="false"/>
              <w:rPr>
                <w:color w:themeColor="text1" w:val="000000"/>
                <w:sz w:val="22"/>
                <w:szCs w:val="22"/>
              </w:rPr>
            </w:pPr>
            <w:r>
              <w:rPr>
                <w:color w:themeColor="text1" w:val="000000"/>
                <w:sz w:val="22"/>
                <w:szCs w:val="22"/>
                <w:lang w:eastAsia="ru-RU"/>
              </w:rPr>
              <w:t xml:space="preserve">Включен в Реестр </w:t>
              <w:br/>
              <w:t xml:space="preserve">сертификатов действующих </w:t>
              <w:br/>
              <w:t xml:space="preserve">индустриальных парков </w:t>
              <w:br/>
              <w:t xml:space="preserve">Системы добровольной </w:t>
              <w:br/>
              <w:t xml:space="preserve">сертификации Ассоциации </w:t>
              <w:br/>
              <w:t>индус</w:t>
            </w:r>
            <w:r>
              <w:rPr>
                <w:color w:themeColor="text1" w:val="000000"/>
                <w:sz w:val="22"/>
                <w:szCs w:val="22"/>
                <w:highlight w:val="white"/>
                <w:lang w:eastAsia="ru-RU"/>
              </w:rPr>
              <w:t xml:space="preserve">триальных парков </w:t>
              <w:br/>
              <w:t>(СДСАИП).</w:t>
            </w:r>
          </w:p>
          <w:p>
            <w:pPr>
              <w:pStyle w:val="Normal"/>
              <w:widowControl w:val="false"/>
              <w:suppressAutoHyphens w:val="false"/>
              <w:rPr>
                <w:color w:themeColor="text1" w:val="000000"/>
                <w:sz w:val="22"/>
                <w:szCs w:val="22"/>
              </w:rPr>
            </w:pPr>
            <w:r>
              <w:rPr>
                <w:color w:themeColor="text1" w:val="000000"/>
                <w:sz w:val="22"/>
                <w:szCs w:val="22"/>
                <w:lang w:eastAsia="ru-RU"/>
              </w:rPr>
              <w:t xml:space="preserve">Инициатор проекта: </w:t>
              <w:br/>
              <w:t xml:space="preserve">Правительство Калужской </w:t>
              <w:br/>
              <w:t>области в лице регионального министерства экономического развития и промышленности Калужской области.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Назначение проекта: </w:t>
              <w:br/>
              <w:t xml:space="preserve">размещение предприятий </w:t>
              <w:br/>
              <w:t xml:space="preserve">различной отраслевой </w:t>
              <w:br/>
              <w:t>направленности.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Категория земель: земли </w:t>
              <w:br/>
              <w:t>населенных пунктов и земли промышленности.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Присвоение статуса </w:t>
              <w:br/>
              <w:t xml:space="preserve">«Индустриальный парк» - </w:t>
              <w:br/>
              <w:t>10 марта 2009 года.</w:t>
            </w:r>
          </w:p>
          <w:p>
            <w:pPr>
              <w:pStyle w:val="Normal"/>
              <w:widowControl w:val="false"/>
              <w:suppressAutoHyphens w:val="false"/>
              <w:rPr>
                <w:color w:themeColor="text1" w:val="000000"/>
                <w:sz w:val="22"/>
                <w:szCs w:val="22"/>
              </w:rPr>
            </w:pPr>
            <w:r>
              <w:rPr>
                <w:color w:themeColor="text1" w:val="000000"/>
                <w:sz w:val="22"/>
                <w:szCs w:val="22"/>
                <w:lang w:eastAsia="ru-RU"/>
              </w:rPr>
              <w:t>Общая площадь</w:t>
            </w:r>
          </w:p>
          <w:p>
            <w:pPr>
              <w:pStyle w:val="Normal"/>
              <w:widowControl w:val="false"/>
              <w:suppressAutoHyphens w:val="false"/>
              <w:rPr>
                <w:color w:themeColor="text1" w:val="000000"/>
                <w:sz w:val="22"/>
                <w:szCs w:val="22"/>
              </w:rPr>
            </w:pPr>
            <w:r>
              <w:rPr>
                <w:color w:themeColor="text1" w:val="000000"/>
                <w:sz w:val="22"/>
                <w:szCs w:val="22"/>
                <w:lang w:eastAsia="ru-RU"/>
              </w:rPr>
              <w:t>индустриального парка - 748 га.</w:t>
            </w:r>
          </w:p>
          <w:p>
            <w:pPr>
              <w:pStyle w:val="Normal"/>
              <w:widowControl w:val="false"/>
              <w:suppressAutoHyphens w:val="false"/>
              <w:rPr>
                <w:color w:themeColor="text1" w:val="000000"/>
                <w:sz w:val="22"/>
                <w:szCs w:val="22"/>
              </w:rPr>
            </w:pPr>
            <w:r>
              <w:rPr>
                <w:color w:themeColor="text1" w:val="000000"/>
                <w:sz w:val="22"/>
                <w:szCs w:val="22"/>
                <w:lang w:eastAsia="ru-RU"/>
              </w:rPr>
              <w:t xml:space="preserve">Свободно для размещения </w:t>
              <w:br/>
              <w:t>инвесторов - 76,7 га.</w:t>
            </w:r>
          </w:p>
          <w:p>
            <w:pPr>
              <w:pStyle w:val="Normal"/>
              <w:widowControl w:val="false"/>
              <w:suppressAutoHyphens w:val="false"/>
              <w:jc w:val="both"/>
              <w:rPr>
                <w:color w:themeColor="text1" w:val="000000"/>
                <w:sz w:val="22"/>
                <w:szCs w:val="22"/>
              </w:rPr>
            </w:pPr>
            <w:r>
              <w:rPr>
                <w:b/>
                <w:bCs/>
                <w:color w:themeColor="text1" w:val="000000"/>
                <w:sz w:val="22"/>
                <w:szCs w:val="22"/>
                <w:lang w:eastAsia="ru-RU"/>
              </w:rPr>
              <w:t>Расположение:</w:t>
            </w:r>
          </w:p>
          <w:p>
            <w:pPr>
              <w:pStyle w:val="Normal"/>
              <w:widowControl w:val="false"/>
              <w:suppressAutoHyphens w:val="false"/>
              <w:rPr>
                <w:color w:themeColor="text1" w:val="000000"/>
                <w:sz w:val="22"/>
                <w:szCs w:val="22"/>
              </w:rPr>
            </w:pPr>
            <w:r>
              <w:rPr>
                <w:b/>
                <w:bCs/>
                <w:color w:themeColor="text1" w:val="000000"/>
                <w:sz w:val="22"/>
                <w:szCs w:val="22"/>
                <w:lang w:eastAsia="ru-RU"/>
              </w:rPr>
              <w:t xml:space="preserve">- </w:t>
            </w:r>
            <w:r>
              <w:rPr>
                <w:color w:themeColor="text1" w:val="000000"/>
                <w:sz w:val="22"/>
                <w:szCs w:val="22"/>
                <w:lang w:eastAsia="ru-RU"/>
              </w:rPr>
              <w:t xml:space="preserve">в 23 км юго-западнее </w:t>
              <w:br/>
              <w:t>г. Калуги в 2 км от трассы М3 «Украина».</w:t>
            </w:r>
          </w:p>
          <w:p>
            <w:pPr>
              <w:pStyle w:val="Normal"/>
              <w:widowControl w:val="false"/>
              <w:rPr>
                <w:color w:themeColor="text1" w:val="000000"/>
                <w:sz w:val="22"/>
                <w:szCs w:val="22"/>
              </w:rPr>
            </w:pPr>
            <w:r>
              <w:rPr>
                <w:color w:themeColor="text1" w:val="000000"/>
                <w:sz w:val="22"/>
                <w:szCs w:val="22"/>
              </w:rPr>
            </w:r>
          </w:p>
          <w:p>
            <w:pPr>
              <w:pStyle w:val="Normal"/>
              <w:widowControl w:val="false"/>
              <w:spacing w:before="0" w:after="160"/>
              <w:rPr>
                <w:color w:themeColor="text1" w:val="000000"/>
                <w:sz w:val="22"/>
                <w:szCs w:val="22"/>
              </w:rPr>
            </w:pPr>
            <w:r>
              <w:rPr>
                <w:color w:themeColor="text1" w:val="000000"/>
                <w:sz w:val="22"/>
                <w:szCs w:val="22"/>
              </w:rPr>
            </w:r>
          </w:p>
        </w:tc>
        <w:tc>
          <w:tcPr>
            <w:tcW w:w="449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false"/>
              <w:rPr>
                <w:color w:themeColor="text1" w:val="000000"/>
                <w:sz w:val="22"/>
                <w:szCs w:val="22"/>
              </w:rPr>
            </w:pPr>
            <w:r>
              <w:rPr>
                <w:b/>
                <w:bCs/>
                <w:color w:themeColor="text1" w:val="000000"/>
                <w:sz w:val="22"/>
                <w:szCs w:val="22"/>
                <w:lang w:eastAsia="ru-RU"/>
              </w:rPr>
              <w:t>Электроснабжение:</w:t>
            </w:r>
          </w:p>
          <w:p>
            <w:pPr>
              <w:pStyle w:val="Normal"/>
              <w:widowControl w:val="false"/>
              <w:suppressAutoHyphens w:val="false"/>
              <w:rPr>
                <w:color w:themeColor="text1" w:val="000000"/>
                <w:sz w:val="22"/>
                <w:szCs w:val="22"/>
              </w:rPr>
            </w:pPr>
            <w:r>
              <w:rPr>
                <w:color w:themeColor="text1" w:val="000000"/>
                <w:sz w:val="22"/>
                <w:szCs w:val="22"/>
                <w:lang w:eastAsia="ru-RU"/>
              </w:rPr>
              <w:t xml:space="preserve">- осуществлено строительство </w:t>
              <w:br/>
              <w:t xml:space="preserve">ВЛ-110 кВ для обеспечения </w:t>
              <w:br/>
              <w:t xml:space="preserve">электроэнергией завод ПCMA </w:t>
              <w:br/>
              <w:t>мощностью 20 МВт;</w:t>
            </w:r>
          </w:p>
          <w:p>
            <w:pPr>
              <w:pStyle w:val="Normal"/>
              <w:widowControl w:val="false"/>
              <w:suppressAutoHyphens w:val="false"/>
              <w:rPr>
                <w:color w:themeColor="text1" w:val="000000"/>
                <w:sz w:val="22"/>
                <w:szCs w:val="22"/>
              </w:rPr>
            </w:pPr>
            <w:r>
              <w:rPr>
                <w:color w:themeColor="text1" w:val="000000"/>
                <w:sz w:val="22"/>
                <w:szCs w:val="22"/>
                <w:lang w:eastAsia="ru-RU"/>
              </w:rPr>
              <w:t>- построено РП мощностью 10 МВт для обеспечения электроэнергией имеющихся и потенциальных инвесторов Восточной площадки индустриального парка;</w:t>
            </w:r>
          </w:p>
          <w:p>
            <w:pPr>
              <w:pStyle w:val="Normal"/>
              <w:widowControl w:val="false"/>
              <w:suppressAutoHyphens w:val="false"/>
              <w:rPr>
                <w:color w:themeColor="text1" w:val="000000"/>
                <w:sz w:val="22"/>
                <w:szCs w:val="22"/>
              </w:rPr>
            </w:pPr>
            <w:r>
              <w:rPr>
                <w:color w:themeColor="text1" w:val="000000"/>
                <w:sz w:val="22"/>
                <w:szCs w:val="22"/>
                <w:lang w:eastAsia="ru-RU"/>
              </w:rPr>
              <w:t>- построена РП мощностью 10 МВт для обеспечения электроэнергией потенциальных инвесторов Западной площадки;</w:t>
            </w:r>
          </w:p>
          <w:p>
            <w:pPr>
              <w:pStyle w:val="Normal"/>
              <w:widowControl w:val="false"/>
              <w:suppressAutoHyphens w:val="false"/>
              <w:rPr>
                <w:color w:themeColor="text1" w:val="000000"/>
                <w:sz w:val="22"/>
                <w:szCs w:val="22"/>
              </w:rPr>
            </w:pPr>
            <w:r>
              <w:rPr>
                <w:color w:themeColor="text1" w:val="000000"/>
                <w:sz w:val="22"/>
                <w:szCs w:val="22"/>
                <w:lang w:eastAsia="ru-RU"/>
              </w:rPr>
              <w:t xml:space="preserve">- завершено строительство </w:t>
              <w:br/>
              <w:t>кабельной линии для обеспечения электроэнергией в объеме 10 МВт компании Continental.</w:t>
            </w:r>
          </w:p>
          <w:p>
            <w:pPr>
              <w:pStyle w:val="Normal"/>
              <w:widowControl w:val="false"/>
              <w:suppressAutoHyphens w:val="false"/>
              <w:rPr>
                <w:b/>
                <w:bCs/>
              </w:rPr>
            </w:pPr>
            <w:r>
              <w:rPr>
                <w:b/>
                <w:bCs/>
                <w:color w:themeColor="text1" w:val="000000"/>
                <w:sz w:val="22"/>
                <w:szCs w:val="22"/>
                <w:lang w:eastAsia="ru-RU"/>
              </w:rPr>
              <w:t>Газоснабжение:</w:t>
            </w:r>
          </w:p>
          <w:p>
            <w:pPr>
              <w:pStyle w:val="Normal"/>
              <w:widowControl w:val="false"/>
              <w:suppressAutoHyphens w:val="false"/>
              <w:rPr>
                <w:color w:themeColor="text1" w:val="000000"/>
                <w:sz w:val="22"/>
                <w:szCs w:val="22"/>
              </w:rPr>
            </w:pPr>
            <w:r>
              <w:rPr>
                <w:color w:themeColor="text1" w:val="000000"/>
                <w:sz w:val="22"/>
                <w:szCs w:val="22"/>
                <w:lang w:eastAsia="ru-RU"/>
              </w:rPr>
              <w:t>- построен газопровод мощностью 90 млн м³/год протяженностью 2,6 км;</w:t>
            </w:r>
          </w:p>
          <w:p>
            <w:pPr>
              <w:pStyle w:val="Normal"/>
              <w:widowControl w:val="false"/>
              <w:suppressAutoHyphens w:val="false"/>
              <w:rPr>
                <w:color w:themeColor="text1" w:val="000000"/>
                <w:sz w:val="22"/>
                <w:szCs w:val="22"/>
              </w:rPr>
            </w:pPr>
            <w:r>
              <w:rPr>
                <w:color w:themeColor="text1" w:val="000000"/>
                <w:sz w:val="22"/>
                <w:szCs w:val="22"/>
                <w:lang w:eastAsia="ru-RU"/>
              </w:rPr>
              <w:t>- построены сети газоснабжения для компании «Кордиант» и инвесторов, разместивших свое производство на Восточной площадке;</w:t>
            </w:r>
          </w:p>
          <w:p>
            <w:pPr>
              <w:pStyle w:val="Normal"/>
              <w:widowControl w:val="false"/>
              <w:suppressAutoHyphens w:val="false"/>
              <w:rPr>
                <w:color w:themeColor="text1" w:val="000000"/>
                <w:sz w:val="22"/>
                <w:szCs w:val="22"/>
              </w:rPr>
            </w:pPr>
            <w:r>
              <w:rPr>
                <w:color w:themeColor="text1" w:val="000000"/>
                <w:sz w:val="22"/>
                <w:szCs w:val="22"/>
                <w:lang w:eastAsia="ru-RU"/>
              </w:rPr>
              <w:t>- завершено строительство газопровода мощностью 14 тыс. куб.м/час и протяженностью</w:t>
              <w:br/>
              <w:t>491 м. на Западной площадке;</w:t>
            </w:r>
          </w:p>
          <w:p>
            <w:pPr>
              <w:pStyle w:val="Normal"/>
              <w:widowControl w:val="false"/>
              <w:suppressAutoHyphens w:val="false"/>
              <w:rPr>
                <w:color w:themeColor="text1" w:val="000000"/>
                <w:sz w:val="22"/>
                <w:szCs w:val="22"/>
              </w:rPr>
            </w:pPr>
            <w:r>
              <w:rPr>
                <w:color w:themeColor="text1" w:val="000000"/>
                <w:sz w:val="22"/>
                <w:szCs w:val="22"/>
                <w:lang w:eastAsia="ru-RU"/>
              </w:rPr>
              <w:t>- завершен I этап строительства газопровода мощностью 2,5 тыс. м³/час протяженностью 986 м. на Северной площадке;</w:t>
            </w:r>
          </w:p>
          <w:p>
            <w:pPr>
              <w:pStyle w:val="Normal"/>
              <w:widowControl w:val="false"/>
              <w:suppressAutoHyphens w:val="false"/>
              <w:rPr>
                <w:color w:themeColor="text1" w:val="000000"/>
                <w:sz w:val="22"/>
                <w:szCs w:val="22"/>
              </w:rPr>
            </w:pPr>
            <w:r>
              <w:rPr>
                <w:color w:themeColor="text1" w:val="000000"/>
                <w:sz w:val="22"/>
                <w:szCs w:val="22"/>
                <w:lang w:eastAsia="ru-RU"/>
              </w:rPr>
              <w:t xml:space="preserve">- завершен II этап строительства </w:t>
              <w:br/>
              <w:t>газопровода мощностью 1500 куб.м/час протяженностью 1928 м. на Северной площадке.</w:t>
            </w:r>
          </w:p>
          <w:p>
            <w:pPr>
              <w:pStyle w:val="Normal"/>
              <w:widowControl w:val="false"/>
              <w:suppressAutoHyphens w:val="false"/>
              <w:rPr>
                <w:color w:themeColor="text1" w:val="000000"/>
                <w:sz w:val="22"/>
                <w:szCs w:val="22"/>
              </w:rPr>
            </w:pPr>
            <w:r>
              <w:rPr>
                <w:b/>
                <w:bCs/>
                <w:color w:themeColor="text1" w:val="000000"/>
                <w:sz w:val="22"/>
                <w:szCs w:val="22"/>
                <w:lang w:eastAsia="ru-RU"/>
              </w:rPr>
              <w:t>Водоснабжение и водоотведение:</w:t>
            </w:r>
          </w:p>
          <w:p>
            <w:pPr>
              <w:pStyle w:val="Normal"/>
              <w:widowControl w:val="false"/>
              <w:suppressAutoHyphens w:val="false"/>
              <w:rPr>
                <w:color w:themeColor="text1" w:val="000000"/>
                <w:sz w:val="22"/>
                <w:szCs w:val="22"/>
              </w:rPr>
            </w:pPr>
            <w:r>
              <w:rPr>
                <w:color w:themeColor="text1" w:val="000000"/>
                <w:sz w:val="22"/>
                <w:szCs w:val="22"/>
                <w:lang w:eastAsia="ru-RU"/>
              </w:rPr>
              <w:t>- осуществлено строительство сетей водоснабжения и водоотведения для резидентов парка.</w:t>
            </w:r>
          </w:p>
          <w:p>
            <w:pPr>
              <w:pStyle w:val="Normal"/>
              <w:widowControl w:val="false"/>
              <w:suppressAutoHyphens w:val="false"/>
              <w:rPr>
                <w:color w:themeColor="text1" w:val="000000"/>
                <w:sz w:val="22"/>
                <w:szCs w:val="22"/>
                <w:lang w:eastAsia="ru-RU"/>
              </w:rPr>
            </w:pPr>
            <w:r>
              <w:rPr>
                <w:color w:themeColor="text1" w:val="000000"/>
                <w:sz w:val="22"/>
                <w:szCs w:val="22"/>
                <w:lang w:eastAsia="ru-RU"/>
              </w:rPr>
              <w:t>Завершено строительство станции водоподготовки производительностью 1000 м³/сутки.</w:t>
            </w:r>
          </w:p>
          <w:p>
            <w:pPr>
              <w:pStyle w:val="Normal"/>
              <w:widowControl w:val="false"/>
              <w:suppressAutoHyphens w:val="false"/>
              <w:rPr>
                <w:color w:themeColor="text1" w:val="000000"/>
                <w:sz w:val="22"/>
                <w:szCs w:val="22"/>
              </w:rPr>
            </w:pPr>
            <w:r>
              <w:rPr>
                <w:b/>
                <w:bCs/>
                <w:color w:themeColor="text1" w:val="000000"/>
                <w:sz w:val="22"/>
                <w:szCs w:val="22"/>
                <w:lang w:eastAsia="ru-RU"/>
              </w:rPr>
              <w:t>Ливневая канализация:</w:t>
            </w:r>
          </w:p>
          <w:p>
            <w:pPr>
              <w:pStyle w:val="Normal"/>
              <w:widowControl w:val="false"/>
              <w:suppressAutoHyphens w:val="false"/>
              <w:rPr>
                <w:color w:themeColor="text1" w:val="000000"/>
                <w:sz w:val="22"/>
                <w:szCs w:val="22"/>
              </w:rPr>
            </w:pPr>
            <w:r>
              <w:rPr>
                <w:color w:themeColor="text1" w:val="000000"/>
                <w:sz w:val="22"/>
                <w:szCs w:val="22"/>
                <w:lang w:eastAsia="ru-RU"/>
              </w:rPr>
              <w:t>- построены габионные очистные фильтрующие сооружения ливневого стока.</w:t>
            </w:r>
          </w:p>
          <w:p>
            <w:pPr>
              <w:pStyle w:val="Normal"/>
              <w:widowControl w:val="false"/>
              <w:suppressAutoHyphens w:val="false"/>
              <w:rPr>
                <w:color w:themeColor="text1" w:val="000000"/>
                <w:sz w:val="22"/>
                <w:szCs w:val="22"/>
              </w:rPr>
            </w:pPr>
            <w:r>
              <w:rPr>
                <w:b/>
                <w:bCs/>
                <w:color w:themeColor="text1" w:val="000000"/>
                <w:sz w:val="22"/>
                <w:szCs w:val="22"/>
                <w:lang w:eastAsia="ru-RU"/>
              </w:rPr>
              <w:t>Автодорога:</w:t>
            </w:r>
          </w:p>
          <w:p>
            <w:pPr>
              <w:pStyle w:val="Normal"/>
              <w:widowControl w:val="false"/>
              <w:suppressAutoHyphens w:val="false"/>
              <w:rPr>
                <w:color w:themeColor="text1" w:val="000000"/>
                <w:sz w:val="22"/>
                <w:szCs w:val="22"/>
              </w:rPr>
            </w:pPr>
            <w:r>
              <w:rPr>
                <w:color w:themeColor="text1" w:val="000000"/>
                <w:sz w:val="22"/>
                <w:szCs w:val="22"/>
                <w:lang w:eastAsia="ru-RU"/>
              </w:rPr>
              <w:t>- построены автомобильные дороги IV категории протяженностью 5,2 км;</w:t>
            </w:r>
          </w:p>
          <w:p>
            <w:pPr>
              <w:pStyle w:val="Normal"/>
              <w:widowControl w:val="false"/>
              <w:suppressAutoHyphens w:val="false"/>
              <w:rPr>
                <w:color w:themeColor="text1" w:val="000000"/>
                <w:sz w:val="22"/>
                <w:szCs w:val="22"/>
              </w:rPr>
            </w:pPr>
            <w:r>
              <w:rPr>
                <w:color w:themeColor="text1" w:val="000000"/>
                <w:sz w:val="22"/>
                <w:szCs w:val="22"/>
                <w:lang w:eastAsia="ru-RU"/>
              </w:rPr>
              <w:t>- построены внутриплощадочные проезды протяженностью 3,4 км.</w:t>
            </w:r>
          </w:p>
          <w:p>
            <w:pPr>
              <w:pStyle w:val="Normal"/>
              <w:widowControl w:val="false"/>
              <w:suppressAutoHyphens w:val="false"/>
              <w:rPr>
                <w:color w:themeColor="text1" w:val="000000"/>
                <w:sz w:val="22"/>
                <w:szCs w:val="22"/>
              </w:rPr>
            </w:pPr>
            <w:r>
              <w:rPr>
                <w:b/>
                <w:bCs/>
                <w:color w:themeColor="text1" w:val="000000"/>
                <w:sz w:val="22"/>
                <w:szCs w:val="22"/>
                <w:lang w:eastAsia="ru-RU"/>
              </w:rPr>
              <w:t>Железная дорога:</w:t>
            </w:r>
          </w:p>
          <w:p>
            <w:pPr>
              <w:pStyle w:val="Normal"/>
              <w:widowControl w:val="false"/>
              <w:suppressAutoHyphens w:val="false"/>
              <w:rPr>
                <w:color w:themeColor="text1" w:val="000000"/>
                <w:sz w:val="22"/>
                <w:szCs w:val="22"/>
              </w:rPr>
            </w:pPr>
            <w:r>
              <w:rPr>
                <w:color w:themeColor="text1" w:val="000000"/>
                <w:sz w:val="22"/>
                <w:szCs w:val="22"/>
                <w:lang w:eastAsia="ru-RU"/>
              </w:rPr>
              <w:t>- построена железная дорога к заводу «Пежо Ситроен Мицубиси Автомобили Рус» протяженностью около 10 км;</w:t>
            </w:r>
          </w:p>
          <w:p>
            <w:pPr>
              <w:pStyle w:val="Normal"/>
              <w:widowControl w:val="false"/>
              <w:suppressAutoHyphens w:val="false"/>
              <w:rPr>
                <w:color w:themeColor="text1" w:val="000000"/>
                <w:sz w:val="22"/>
                <w:szCs w:val="22"/>
              </w:rPr>
            </w:pPr>
            <w:r>
              <w:rPr>
                <w:color w:themeColor="text1" w:val="000000"/>
                <w:sz w:val="22"/>
                <w:szCs w:val="22"/>
                <w:lang w:eastAsia="ru-RU"/>
              </w:rPr>
              <w:t xml:space="preserve">- завершена реконструкция железнодорожных путей для обеспечения потребностей </w:t>
              <w:br/>
              <w:t>инвесторов Западной площадки (завода FuchsOil) и компании Continental общей</w:t>
              <w:br/>
              <w:t>протяженностью 6,5 км.</w:t>
            </w:r>
          </w:p>
          <w:p>
            <w:pPr>
              <w:pStyle w:val="Normal"/>
              <w:widowControl w:val="false"/>
              <w:suppressAutoHyphens w:val="false"/>
              <w:rPr>
                <w:color w:themeColor="text1" w:val="000000"/>
                <w:sz w:val="22"/>
                <w:szCs w:val="22"/>
              </w:rPr>
            </w:pPr>
            <w:r>
              <w:rPr>
                <w:b/>
                <w:bCs/>
                <w:color w:themeColor="text1" w:val="000000"/>
                <w:sz w:val="22"/>
                <w:szCs w:val="22"/>
                <w:shd w:fill="FFFFFF" w:val="clear"/>
                <w:lang w:eastAsia="ru-RU"/>
              </w:rPr>
              <w:t>Связь:</w:t>
            </w:r>
          </w:p>
          <w:p>
            <w:pPr>
              <w:pStyle w:val="Normal"/>
              <w:widowControl w:val="false"/>
              <w:suppressAutoHyphens w:val="false"/>
              <w:spacing w:lineRule="auto" w:line="252" w:before="0" w:after="160"/>
              <w:rPr>
                <w:color w:themeColor="text1" w:val="000000"/>
                <w:sz w:val="22"/>
                <w:szCs w:val="22"/>
              </w:rPr>
            </w:pPr>
            <w:r>
              <w:rPr>
                <w:color w:themeColor="text1" w:val="000000"/>
                <w:sz w:val="22"/>
                <w:szCs w:val="22"/>
                <w:highlight w:val="white"/>
                <w:lang w:eastAsia="ru-RU"/>
              </w:rPr>
              <w:t>- телефонная связь и </w:t>
              <w:br/>
              <w:t>высокоскоростной интернет на всей территории парка.</w:t>
            </w:r>
          </w:p>
        </w:tc>
        <w:tc>
          <w:tcPr>
            <w:tcW w:w="4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rPr>
                <w:color w:themeColor="text1" w:val="000000"/>
                <w:sz w:val="22"/>
                <w:szCs w:val="22"/>
              </w:rPr>
            </w:pPr>
            <w:r>
              <w:rPr>
                <w:b/>
                <w:bCs/>
                <w:color w:themeColor="text1" w:val="000000"/>
                <w:sz w:val="22"/>
                <w:szCs w:val="22"/>
                <w:lang w:eastAsia="ru-RU"/>
              </w:rPr>
              <w:t>Резиденты:</w:t>
            </w:r>
          </w:p>
          <w:p>
            <w:pPr>
              <w:pStyle w:val="Normal"/>
              <w:widowControl w:val="false"/>
              <w:suppressAutoHyphens w:val="false"/>
              <w:rPr>
                <w:color w:themeColor="text1" w:val="000000"/>
                <w:sz w:val="22"/>
                <w:szCs w:val="22"/>
              </w:rPr>
            </w:pPr>
            <w:r>
              <w:rPr>
                <w:color w:themeColor="text1" w:val="000000"/>
                <w:sz w:val="22"/>
                <w:szCs w:val="22"/>
                <w:lang w:eastAsia="ru-RU"/>
              </w:rPr>
              <w:t xml:space="preserve">На территории индустриального парка работают </w:t>
              <w:br/>
              <w:t>8 предприятий:</w:t>
            </w:r>
          </w:p>
          <w:p>
            <w:pPr>
              <w:pStyle w:val="ListParagraph"/>
              <w:widowControl w:val="false"/>
              <w:suppressAutoHyphens w:val="false"/>
              <w:ind w:hanging="0" w:left="34"/>
              <w:rPr>
                <w:color w:themeColor="text1" w:val="000000"/>
                <w:sz w:val="22"/>
                <w:szCs w:val="22"/>
              </w:rPr>
            </w:pPr>
            <w:r>
              <w:rPr>
                <w:color w:themeColor="text1" w:val="000000"/>
                <w:sz w:val="22"/>
                <w:szCs w:val="22"/>
                <w:lang w:val="ru-RU" w:eastAsia="ru-RU"/>
              </w:rPr>
              <w:t>- </w:t>
            </w:r>
            <w:r>
              <w:rPr>
                <w:color w:themeColor="text1" w:val="000000"/>
                <w:sz w:val="22"/>
                <w:szCs w:val="22"/>
                <w:lang w:eastAsia="ru-RU"/>
              </w:rPr>
              <w:t>ООО «Пежо Ситроен Мицубиси Автомобили Рус» - производство автомобилей;</w:t>
            </w:r>
          </w:p>
          <w:p>
            <w:pPr>
              <w:pStyle w:val="ListParagraph"/>
              <w:widowControl w:val="false"/>
              <w:suppressAutoHyphens w:val="false"/>
              <w:ind w:hanging="0" w:left="34"/>
              <w:rPr>
                <w:color w:themeColor="text1" w:val="000000"/>
                <w:sz w:val="22"/>
                <w:szCs w:val="22"/>
              </w:rPr>
            </w:pPr>
            <w:r>
              <w:rPr>
                <w:color w:themeColor="text1" w:val="000000"/>
                <w:sz w:val="22"/>
                <w:szCs w:val="22"/>
                <w:lang w:val="ru-RU" w:eastAsia="ru-RU"/>
              </w:rPr>
              <w:t>- </w:t>
            </w:r>
            <w:r>
              <w:rPr>
                <w:color w:themeColor="text1" w:val="000000"/>
                <w:sz w:val="22"/>
                <w:szCs w:val="22"/>
                <w:lang w:eastAsia="ru-RU"/>
              </w:rPr>
              <w:t xml:space="preserve">ООО «Русские газовые турбины» - ремонт и техническое обслуживание компонентов газовых </w:t>
              <w:br/>
              <w:t>турбин;</w:t>
            </w:r>
          </w:p>
          <w:p>
            <w:pPr>
              <w:pStyle w:val="ListParagraph"/>
              <w:widowControl w:val="false"/>
              <w:suppressAutoHyphens w:val="false"/>
              <w:ind w:hanging="0" w:left="34"/>
              <w:rPr>
                <w:color w:themeColor="text1" w:val="000000"/>
                <w:sz w:val="22"/>
                <w:szCs w:val="22"/>
                <w:lang w:eastAsia="ru-RU"/>
              </w:rPr>
            </w:pPr>
            <w:r>
              <w:rPr>
                <w:color w:themeColor="text1" w:val="000000"/>
                <w:sz w:val="22"/>
                <w:szCs w:val="22"/>
                <w:lang w:val="ru-RU" w:eastAsia="ru-RU"/>
              </w:rPr>
              <w:t>- </w:t>
            </w:r>
            <w:r>
              <w:rPr>
                <w:color w:themeColor="text1" w:val="000000"/>
                <w:sz w:val="22"/>
                <w:szCs w:val="22"/>
                <w:lang w:eastAsia="ru-RU"/>
              </w:rPr>
              <w:t xml:space="preserve">ООО «ФУКС ОЙЛ» - производство </w:t>
              <w:br/>
              <w:t xml:space="preserve">смазочных (моторных, тракторных, </w:t>
              <w:br/>
              <w:t>трансмиссионных, компрессорных) масел, а также смазочно-охлаждающих, гидравлических и закалочных жидкостей;</w:t>
            </w:r>
          </w:p>
          <w:p>
            <w:pPr>
              <w:pStyle w:val="ListParagraph"/>
              <w:widowControl w:val="false"/>
              <w:suppressAutoHyphens w:val="false"/>
              <w:ind w:hanging="0" w:left="34"/>
              <w:rPr>
                <w:color w:themeColor="text1" w:val="000000"/>
                <w:sz w:val="22"/>
                <w:szCs w:val="22"/>
              </w:rPr>
            </w:pPr>
            <w:r>
              <w:rPr>
                <w:color w:themeColor="text1" w:val="000000"/>
                <w:sz w:val="22"/>
                <w:szCs w:val="22"/>
                <w:lang w:val="ru-RU" w:eastAsia="ru-RU"/>
              </w:rPr>
              <w:t>- А</w:t>
            </w:r>
            <w:r>
              <w:rPr>
                <w:color w:themeColor="text1" w:val="000000"/>
                <w:sz w:val="22"/>
                <w:szCs w:val="22"/>
                <w:lang w:eastAsia="ru-RU"/>
              </w:rPr>
              <w:t>О «</w:t>
            </w:r>
            <w:r>
              <w:rPr>
                <w:color w:themeColor="text1" w:val="000000"/>
                <w:sz w:val="22"/>
                <w:szCs w:val="22"/>
                <w:lang w:val="ru-RU" w:eastAsia="ru-RU"/>
              </w:rPr>
              <w:t>Кордиант</w:t>
            </w:r>
            <w:r>
              <w:rPr>
                <w:color w:themeColor="text1" w:val="000000"/>
                <w:sz w:val="22"/>
                <w:szCs w:val="22"/>
                <w:lang w:eastAsia="ru-RU"/>
              </w:rPr>
              <w:t>»</w:t>
            </w:r>
            <w:r>
              <w:rPr>
                <w:color w:themeColor="text1" w:val="000000"/>
                <w:sz w:val="22"/>
                <w:szCs w:val="22"/>
                <w:lang w:val="ru-RU" w:eastAsia="ru-RU"/>
              </w:rPr>
              <w:t xml:space="preserve"> в г. Калуга»</w:t>
            </w:r>
            <w:r>
              <w:rPr>
                <w:color w:themeColor="text1" w:val="000000"/>
                <w:sz w:val="22"/>
                <w:szCs w:val="22"/>
                <w:lang w:eastAsia="ru-RU"/>
              </w:rPr>
              <w:t xml:space="preserve"> - производство автомобильных шин для легковых </w:t>
              <w:br/>
              <w:t>автомобилей и легкого коммерческого транспорта;</w:t>
            </w:r>
          </w:p>
          <w:p>
            <w:pPr>
              <w:pStyle w:val="ListParagraph"/>
              <w:widowControl w:val="false"/>
              <w:suppressAutoHyphens w:val="false"/>
              <w:ind w:hanging="0" w:left="34"/>
              <w:rPr>
                <w:color w:themeColor="text1" w:val="000000"/>
                <w:sz w:val="22"/>
                <w:szCs w:val="22"/>
              </w:rPr>
            </w:pPr>
            <w:r>
              <w:rPr>
                <w:color w:themeColor="text1" w:val="000000"/>
                <w:sz w:val="22"/>
                <w:szCs w:val="22"/>
                <w:lang w:val="ru-RU" w:eastAsia="ru-RU"/>
              </w:rPr>
              <w:t>- ООО</w:t>
            </w:r>
            <w:r>
              <w:rPr>
                <w:color w:themeColor="text1" w:val="000000"/>
                <w:sz w:val="22"/>
                <w:szCs w:val="22"/>
                <w:lang w:eastAsia="ru-RU"/>
              </w:rPr>
              <w:t xml:space="preserve"> «</w:t>
            </w:r>
            <w:r>
              <w:rPr>
                <w:color w:themeColor="text1" w:val="000000"/>
                <w:sz w:val="22"/>
                <w:szCs w:val="22"/>
                <w:lang w:val="ru-RU" w:eastAsia="ru-RU"/>
              </w:rPr>
              <w:t>Метеор автокомпоненты Калуга</w:t>
            </w:r>
            <w:r>
              <w:rPr>
                <w:color w:themeColor="text1" w:val="000000"/>
                <w:sz w:val="22"/>
                <w:szCs w:val="22"/>
                <w:lang w:eastAsia="ru-RU"/>
              </w:rPr>
              <w:t xml:space="preserve">» - производство трубопроводов для систем кондиционирования и деталей гидроусилителя </w:t>
              <w:br/>
              <w:t>рулевого управления автомобилей;</w:t>
            </w:r>
          </w:p>
          <w:p>
            <w:pPr>
              <w:pStyle w:val="ListParagraph"/>
              <w:widowControl w:val="false"/>
              <w:suppressAutoHyphens w:val="false"/>
              <w:ind w:hanging="0" w:left="34"/>
              <w:rPr>
                <w:color w:themeColor="text1" w:val="000000"/>
                <w:sz w:val="22"/>
                <w:szCs w:val="22"/>
              </w:rPr>
            </w:pPr>
            <w:r>
              <w:rPr>
                <w:color w:themeColor="text1" w:val="000000"/>
                <w:sz w:val="22"/>
                <w:szCs w:val="22"/>
                <w:lang w:val="ru-RU" w:eastAsia="ru-RU"/>
              </w:rPr>
              <w:t>- </w:t>
            </w:r>
            <w:r>
              <w:rPr>
                <w:color w:themeColor="text1" w:val="000000"/>
                <w:sz w:val="22"/>
                <w:szCs w:val="22"/>
                <w:lang w:eastAsia="ru-RU"/>
              </w:rPr>
              <w:t xml:space="preserve">АО «Биотехнологический комплекс «Росва» </w:t>
              <w:br/>
              <w:t>- комплекс глубокой переработки пшеницы (производство клейковины, глюкозно-фруктозного</w:t>
            </w:r>
            <w:r>
              <w:rPr>
                <w:color w:themeColor="text1" w:val="000000"/>
                <w:sz w:val="22"/>
                <w:szCs w:val="22"/>
                <w:lang w:val="ru-RU" w:eastAsia="ru-RU"/>
              </w:rPr>
              <w:t xml:space="preserve"> </w:t>
            </w:r>
            <w:r>
              <w:rPr>
                <w:color w:themeColor="text1" w:val="000000"/>
                <w:sz w:val="22"/>
                <w:szCs w:val="22"/>
                <w:lang w:eastAsia="ru-RU"/>
              </w:rPr>
              <w:t>сиропа, коммерческого крахмала, кормовых добавок, моногидрата глюкозы, сорбита и аскорбиновой кислоты);</w:t>
            </w:r>
          </w:p>
          <w:p>
            <w:pPr>
              <w:pStyle w:val="ListParagraph"/>
              <w:widowControl w:val="false"/>
              <w:suppressAutoHyphens w:val="false"/>
              <w:ind w:hanging="0" w:left="34"/>
              <w:rPr>
                <w:color w:themeColor="text1" w:val="000000"/>
                <w:sz w:val="22"/>
                <w:szCs w:val="22"/>
              </w:rPr>
            </w:pPr>
            <w:r>
              <w:rPr>
                <w:color w:themeColor="text1" w:val="000000"/>
                <w:sz w:val="22"/>
                <w:szCs w:val="22"/>
                <w:lang w:val="ru-RU" w:eastAsia="ru-RU"/>
              </w:rPr>
              <w:t>- </w:t>
            </w:r>
            <w:r>
              <w:rPr>
                <w:color w:themeColor="text1" w:val="000000"/>
                <w:sz w:val="22"/>
                <w:szCs w:val="22"/>
                <w:lang w:eastAsia="ru-RU"/>
              </w:rPr>
              <w:t>ООО «Сибирский элемент Рента-К» - производство бетона и сухих смесей;</w:t>
            </w:r>
          </w:p>
          <w:p>
            <w:pPr>
              <w:pStyle w:val="ListParagraph"/>
              <w:widowControl w:val="false"/>
              <w:suppressAutoHyphens w:val="false"/>
              <w:ind w:hanging="0" w:left="34"/>
              <w:rPr>
                <w:color w:themeColor="text1" w:val="000000"/>
                <w:sz w:val="22"/>
                <w:szCs w:val="22"/>
              </w:rPr>
            </w:pPr>
            <w:r>
              <w:rPr>
                <w:color w:themeColor="text1" w:val="000000"/>
                <w:sz w:val="22"/>
                <w:szCs w:val="22"/>
                <w:lang w:val="ru-RU" w:eastAsia="ru-RU"/>
              </w:rPr>
              <w:t>- </w:t>
            </w:r>
            <w:r>
              <w:rPr>
                <w:color w:themeColor="text1" w:val="000000"/>
                <w:sz w:val="22"/>
                <w:szCs w:val="22"/>
                <w:lang w:eastAsia="ru-RU"/>
              </w:rPr>
              <w:t xml:space="preserve">ООО «Компания Технострой» - создание </w:t>
              <w:br/>
              <w:t xml:space="preserve">автотранспортного предприятия с новейшей </w:t>
              <w:br/>
              <w:t>спецтехникой для обслуживания промышленных предприятий.</w:t>
            </w:r>
          </w:p>
          <w:p>
            <w:pPr>
              <w:pStyle w:val="Normal"/>
              <w:widowControl w:val="false"/>
              <w:suppressAutoHyphens w:val="false"/>
              <w:rPr>
                <w:color w:themeColor="text1" w:val="000000"/>
                <w:sz w:val="22"/>
                <w:szCs w:val="22"/>
              </w:rPr>
            </w:pPr>
            <w:r>
              <w:rPr>
                <w:color w:themeColor="text1" w:val="000000"/>
                <w:sz w:val="22"/>
                <w:szCs w:val="22"/>
                <w:lang w:eastAsia="ru-RU"/>
              </w:rPr>
              <w:t>В настоящее время в индустриальном парке «Росва» реализован крупный проект по строительству транспортно-логистического центра «Росва» в составе F</w:t>
            </w:r>
            <w:r>
              <w:rPr>
                <w:color w:themeColor="text1" w:val="000000"/>
                <w:sz w:val="22"/>
                <w:szCs w:val="22"/>
                <w:lang w:val="en-US" w:eastAsia="ru-RU"/>
              </w:rPr>
              <w:t>right</w:t>
            </w:r>
            <w:r>
              <w:rPr>
                <w:color w:themeColor="text1" w:val="000000"/>
                <w:sz w:val="22"/>
                <w:szCs w:val="22"/>
                <w:lang w:eastAsia="ru-RU"/>
              </w:rPr>
              <w:t xml:space="preserve"> </w:t>
            </w:r>
            <w:r>
              <w:rPr>
                <w:color w:themeColor="text1" w:val="000000"/>
                <w:sz w:val="22"/>
                <w:szCs w:val="22"/>
                <w:lang w:val="en-US" w:eastAsia="ru-RU"/>
              </w:rPr>
              <w:t>Village</w:t>
            </w:r>
            <w:r>
              <w:rPr>
                <w:color w:themeColor="text1" w:val="000000"/>
                <w:sz w:val="22"/>
                <w:szCs w:val="22"/>
                <w:lang w:eastAsia="ru-RU"/>
              </w:rPr>
              <w:t xml:space="preserve"> </w:t>
            </w:r>
            <w:r>
              <w:rPr>
                <w:color w:themeColor="text1" w:val="000000"/>
                <w:sz w:val="22"/>
                <w:szCs w:val="22"/>
                <w:lang w:val="en-US" w:eastAsia="ru-RU"/>
              </w:rPr>
              <w:t>RU</w:t>
            </w:r>
            <w:r>
              <w:rPr>
                <w:color w:themeColor="text1" w:val="000000"/>
                <w:sz w:val="22"/>
                <w:szCs w:val="22"/>
                <w:lang w:eastAsia="ru-RU"/>
              </w:rPr>
              <w:t>.</w:t>
            </w:r>
          </w:p>
          <w:p>
            <w:pPr>
              <w:pStyle w:val="Normal"/>
              <w:widowControl w:val="false"/>
              <w:suppressAutoHyphens w:val="false"/>
              <w:rPr>
                <w:color w:themeColor="text1" w:val="000000"/>
                <w:sz w:val="22"/>
                <w:szCs w:val="22"/>
              </w:rPr>
            </w:pPr>
            <w:r>
              <w:rPr>
                <w:b/>
                <w:bCs/>
                <w:color w:themeColor="text1" w:val="000000"/>
                <w:sz w:val="22"/>
                <w:szCs w:val="22"/>
                <w:lang w:eastAsia="ru-RU"/>
              </w:rPr>
              <w:t>F</w:t>
            </w:r>
            <w:r>
              <w:rPr>
                <w:b/>
                <w:bCs/>
                <w:color w:themeColor="text1" w:val="000000"/>
                <w:sz w:val="22"/>
                <w:szCs w:val="22"/>
                <w:lang w:val="en-US" w:eastAsia="ru-RU"/>
              </w:rPr>
              <w:t>right</w:t>
            </w:r>
            <w:r>
              <w:rPr>
                <w:b/>
                <w:bCs/>
                <w:color w:themeColor="text1" w:val="000000"/>
                <w:sz w:val="22"/>
                <w:szCs w:val="22"/>
                <w:lang w:eastAsia="ru-RU"/>
              </w:rPr>
              <w:t xml:space="preserve"> </w:t>
            </w:r>
            <w:r>
              <w:rPr>
                <w:b/>
                <w:bCs/>
                <w:color w:themeColor="text1" w:val="000000"/>
                <w:sz w:val="22"/>
                <w:szCs w:val="22"/>
                <w:lang w:val="en-US" w:eastAsia="ru-RU"/>
              </w:rPr>
              <w:t>Village</w:t>
            </w:r>
            <w:r>
              <w:rPr>
                <w:color w:themeColor="text1" w:val="000000"/>
                <w:sz w:val="22"/>
                <w:szCs w:val="22"/>
                <w:lang w:eastAsia="ru-RU"/>
              </w:rPr>
              <w:t xml:space="preserve"> располагается в индустриальном парке «Росва», в центре скопления непосредственных потребителей услуг - современных производственных комплексов, крупнейшим из которых является ООО «Пежо Ситроен Мицубиси Автомобили Рус», и включает в себя следующие объекты:</w:t>
            </w:r>
          </w:p>
          <w:p>
            <w:pPr>
              <w:pStyle w:val="Normal"/>
              <w:widowControl w:val="false"/>
              <w:suppressAutoHyphens w:val="false"/>
              <w:rPr>
                <w:color w:themeColor="text1" w:val="000000"/>
                <w:sz w:val="22"/>
                <w:szCs w:val="22"/>
              </w:rPr>
            </w:pPr>
            <w:r>
              <w:rPr>
                <w:color w:themeColor="text1" w:val="000000"/>
                <w:sz w:val="22"/>
                <w:szCs w:val="22"/>
                <w:lang w:eastAsia="ru-RU"/>
              </w:rPr>
              <w:t>1. Автомобильный терминал общей площадью около 10 га (начал свою работу 6 июня 2011 года), состоящий из:</w:t>
            </w:r>
          </w:p>
          <w:p>
            <w:pPr>
              <w:pStyle w:val="Normal"/>
              <w:widowControl w:val="false"/>
              <w:suppressAutoHyphens w:val="false"/>
              <w:rPr>
                <w:color w:themeColor="text1" w:val="000000"/>
                <w:sz w:val="22"/>
                <w:szCs w:val="22"/>
              </w:rPr>
            </w:pPr>
            <w:r>
              <w:rPr>
                <w:color w:themeColor="text1" w:val="000000"/>
                <w:sz w:val="22"/>
                <w:szCs w:val="22"/>
                <w:lang w:eastAsia="ru-RU"/>
              </w:rPr>
              <w:t>- 25 000 кв.м открытых площадей;</w:t>
            </w:r>
          </w:p>
          <w:p>
            <w:pPr>
              <w:pStyle w:val="Normal"/>
              <w:widowControl w:val="false"/>
              <w:suppressAutoHyphens w:val="false"/>
              <w:rPr>
                <w:color w:themeColor="text1" w:val="000000"/>
                <w:sz w:val="22"/>
                <w:szCs w:val="22"/>
              </w:rPr>
            </w:pPr>
            <w:r>
              <w:rPr>
                <w:color w:themeColor="text1" w:val="000000"/>
                <w:sz w:val="22"/>
                <w:szCs w:val="22"/>
                <w:lang w:eastAsia="ru-RU"/>
              </w:rPr>
              <w:t>- 2 склада временного хранения общей площадью 4000 кв.м;</w:t>
            </w:r>
          </w:p>
          <w:p>
            <w:pPr>
              <w:pStyle w:val="Normal"/>
              <w:widowControl w:val="false"/>
              <w:suppressAutoHyphens w:val="false"/>
              <w:rPr>
                <w:color w:themeColor="text1" w:val="000000"/>
                <w:sz w:val="22"/>
                <w:szCs w:val="22"/>
              </w:rPr>
            </w:pPr>
            <w:r>
              <w:rPr>
                <w:color w:themeColor="text1" w:val="000000"/>
                <w:sz w:val="22"/>
                <w:szCs w:val="22"/>
                <w:lang w:eastAsia="ru-RU"/>
              </w:rPr>
              <w:t>- административно-бытовой корпус площадью 1500 кв.м;</w:t>
            </w:r>
          </w:p>
          <w:p>
            <w:pPr>
              <w:pStyle w:val="Normal"/>
              <w:widowControl w:val="false"/>
              <w:suppressAutoHyphens w:val="false"/>
              <w:rPr>
                <w:color w:themeColor="text1" w:val="000000"/>
                <w:sz w:val="22"/>
                <w:szCs w:val="22"/>
              </w:rPr>
            </w:pPr>
            <w:r>
              <w:rPr>
                <w:color w:themeColor="text1" w:val="000000"/>
                <w:sz w:val="22"/>
                <w:szCs w:val="22"/>
                <w:lang w:eastAsia="ru-RU"/>
              </w:rPr>
              <w:t>- зона таможенного контроля на 500 автомобилей;</w:t>
            </w:r>
          </w:p>
          <w:p>
            <w:pPr>
              <w:pStyle w:val="Normal"/>
              <w:widowControl w:val="false"/>
              <w:suppressAutoHyphens w:val="false"/>
              <w:rPr>
                <w:color w:themeColor="text1" w:val="000000"/>
                <w:sz w:val="22"/>
                <w:szCs w:val="22"/>
              </w:rPr>
            </w:pPr>
            <w:r>
              <w:rPr>
                <w:color w:themeColor="text1" w:val="000000"/>
                <w:sz w:val="22"/>
                <w:szCs w:val="22"/>
                <w:lang w:eastAsia="ru-RU"/>
              </w:rPr>
              <w:t>- подъездные автомобильные дороги;</w:t>
            </w:r>
          </w:p>
          <w:p>
            <w:pPr>
              <w:pStyle w:val="Normal"/>
              <w:widowControl w:val="false"/>
              <w:suppressAutoHyphens w:val="false"/>
              <w:rPr>
                <w:color w:themeColor="text1" w:val="000000"/>
                <w:sz w:val="22"/>
                <w:szCs w:val="22"/>
              </w:rPr>
            </w:pPr>
            <w:r>
              <w:rPr>
                <w:color w:themeColor="text1" w:val="000000"/>
                <w:sz w:val="22"/>
                <w:szCs w:val="22"/>
                <w:lang w:eastAsia="ru-RU"/>
              </w:rPr>
              <w:t>- автомобильный терминал оборудован специальной грузоподъемной техникой, весовым оборудованием, системой контроля радиоактивности и досмотровым рентгеновским комплексом.</w:t>
            </w:r>
          </w:p>
          <w:p>
            <w:pPr>
              <w:pStyle w:val="Normal"/>
              <w:widowControl w:val="false"/>
              <w:suppressAutoHyphens w:val="false"/>
              <w:rPr>
                <w:color w:themeColor="text1" w:val="000000"/>
                <w:sz w:val="22"/>
                <w:szCs w:val="22"/>
              </w:rPr>
            </w:pPr>
            <w:r>
              <w:rPr>
                <w:color w:themeColor="text1" w:val="000000"/>
                <w:sz w:val="22"/>
                <w:szCs w:val="22"/>
                <w:lang w:eastAsia="ru-RU"/>
              </w:rPr>
              <w:t>Территория терминала разделена на 2 зоны: Калужский таможенный пост Калужской таможни, Акцизный пост Центральной акцизной таможни.</w:t>
            </w:r>
          </w:p>
          <w:p>
            <w:pPr>
              <w:pStyle w:val="Normal"/>
              <w:widowControl w:val="false"/>
              <w:suppressAutoHyphens w:val="false"/>
              <w:rPr>
                <w:color w:themeColor="text1" w:val="000000"/>
                <w:sz w:val="22"/>
                <w:szCs w:val="22"/>
              </w:rPr>
            </w:pPr>
            <w:r>
              <w:rPr>
                <w:color w:themeColor="text1" w:val="000000"/>
                <w:sz w:val="22"/>
                <w:szCs w:val="22"/>
                <w:lang w:eastAsia="ru-RU"/>
              </w:rPr>
              <w:t>2. Контейнерный терминал общей площадью</w:t>
              <w:br/>
              <w:t>3,0 га (принял первый контейнерный поезд</w:t>
              <w:br/>
              <w:t>20 июня 2013 года):</w:t>
            </w:r>
          </w:p>
          <w:p>
            <w:pPr>
              <w:pStyle w:val="Normal"/>
              <w:widowControl w:val="false"/>
              <w:suppressAutoHyphens w:val="false"/>
              <w:rPr>
                <w:color w:themeColor="text1" w:val="000000"/>
                <w:sz w:val="22"/>
                <w:szCs w:val="22"/>
              </w:rPr>
            </w:pPr>
            <w:r>
              <w:rPr>
                <w:color w:themeColor="text1" w:val="000000"/>
                <w:sz w:val="22"/>
                <w:szCs w:val="22"/>
                <w:lang w:eastAsia="ru-RU"/>
              </w:rPr>
              <w:t>- площадка для хранения контейнеров;</w:t>
            </w:r>
          </w:p>
          <w:p>
            <w:pPr>
              <w:pStyle w:val="Normal"/>
              <w:widowControl w:val="false"/>
              <w:suppressAutoHyphens w:val="false"/>
              <w:rPr>
                <w:color w:themeColor="text1" w:val="000000"/>
                <w:sz w:val="22"/>
                <w:szCs w:val="22"/>
              </w:rPr>
            </w:pPr>
            <w:r>
              <w:rPr>
                <w:color w:themeColor="text1" w:val="000000"/>
                <w:sz w:val="22"/>
                <w:szCs w:val="22"/>
                <w:lang w:eastAsia="ru-RU"/>
              </w:rPr>
              <w:t>- навес для досмотра контейнеров;</w:t>
            </w:r>
          </w:p>
          <w:p>
            <w:pPr>
              <w:pStyle w:val="Normal"/>
              <w:widowControl w:val="false"/>
              <w:suppressAutoHyphens w:val="false"/>
              <w:rPr>
                <w:color w:themeColor="text1" w:val="000000"/>
                <w:sz w:val="22"/>
                <w:szCs w:val="22"/>
              </w:rPr>
            </w:pPr>
            <w:r>
              <w:rPr>
                <w:color w:themeColor="text1" w:val="000000"/>
                <w:sz w:val="22"/>
                <w:szCs w:val="22"/>
                <w:lang w:eastAsia="ru-RU"/>
              </w:rPr>
              <w:t>- административно-бытовой корпус с наличием таможенного органа;</w:t>
            </w:r>
          </w:p>
          <w:p>
            <w:pPr>
              <w:pStyle w:val="Normal"/>
              <w:widowControl w:val="false"/>
              <w:suppressAutoHyphens w:val="false"/>
              <w:rPr>
                <w:color w:themeColor="text1" w:val="000000"/>
                <w:sz w:val="22"/>
                <w:szCs w:val="22"/>
              </w:rPr>
            </w:pPr>
            <w:r>
              <w:rPr>
                <w:color w:themeColor="text1" w:val="000000"/>
                <w:sz w:val="22"/>
                <w:szCs w:val="22"/>
                <w:lang w:eastAsia="ru-RU"/>
              </w:rPr>
              <w:t>- подъездные автодороги;</w:t>
            </w:r>
          </w:p>
          <w:p>
            <w:pPr>
              <w:pStyle w:val="Normal"/>
              <w:widowControl w:val="false"/>
              <w:suppressAutoHyphens w:val="false"/>
              <w:rPr>
                <w:color w:themeColor="text1" w:val="000000"/>
                <w:sz w:val="22"/>
                <w:szCs w:val="22"/>
              </w:rPr>
            </w:pPr>
            <w:r>
              <w:rPr>
                <w:color w:themeColor="text1" w:val="000000"/>
                <w:sz w:val="22"/>
                <w:szCs w:val="22"/>
                <w:lang w:eastAsia="ru-RU"/>
              </w:rPr>
              <w:t>- перегрузочная техника - ричстакеры Kalmar.</w:t>
            </w:r>
          </w:p>
          <w:p>
            <w:pPr>
              <w:pStyle w:val="Normal"/>
              <w:widowControl w:val="false"/>
              <w:suppressAutoHyphens w:val="false"/>
              <w:rPr/>
            </w:pPr>
            <w:r>
              <w:rPr>
                <w:color w:themeColor="text1" w:val="000000"/>
                <w:sz w:val="22"/>
                <w:szCs w:val="22"/>
                <w:lang w:eastAsia="ru-RU"/>
              </w:rPr>
              <w:t>3. Контейнерный терминал прилегает к Железнодорожному грузовому парку (6 ж/д путей необщего пользования общей протяженностью порядка</w:t>
            </w:r>
          </w:p>
          <w:p>
            <w:pPr>
              <w:pStyle w:val="Normal"/>
              <w:widowControl w:val="false"/>
              <w:suppressAutoHyphens w:val="false"/>
              <w:rPr/>
            </w:pPr>
            <w:r>
              <w:rPr>
                <w:color w:themeColor="text1" w:val="000000"/>
                <w:sz w:val="22"/>
                <w:szCs w:val="22"/>
                <w:lang w:eastAsia="ru-RU"/>
              </w:rPr>
              <w:t>8 км), примыкающему к ст. Воротынск</w:t>
              <w:br/>
              <w:t>МЖД подъездным железнодорожным путем</w:t>
            </w:r>
          </w:p>
          <w:p>
            <w:pPr>
              <w:pStyle w:val="Normal"/>
              <w:widowControl w:val="false"/>
              <w:suppressAutoHyphens w:val="false"/>
              <w:rPr>
                <w:color w:themeColor="text1" w:val="000000"/>
                <w:sz w:val="22"/>
                <w:szCs w:val="22"/>
              </w:rPr>
            </w:pPr>
            <w:r>
              <w:rPr>
                <w:color w:themeColor="text1" w:val="000000"/>
                <w:sz w:val="22"/>
                <w:szCs w:val="22"/>
                <w:lang w:eastAsia="ru-RU"/>
              </w:rPr>
              <w:t>протяженности около 4 км.</w:t>
            </w:r>
          </w:p>
        </w:tc>
      </w:tr>
      <w:tr>
        <w:trPr/>
        <w:tc>
          <w:tcPr>
            <w:tcW w:w="248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52" w:before="0" w:after="160"/>
              <w:rPr>
                <w:color w:themeColor="text1" w:val="000000"/>
                <w:sz w:val="22"/>
                <w:szCs w:val="22"/>
              </w:rPr>
            </w:pPr>
            <w:r>
              <w:rPr>
                <w:b/>
                <w:bCs/>
                <w:color w:themeColor="text1" w:val="000000"/>
                <w:sz w:val="22"/>
                <w:szCs w:val="22"/>
              </w:rPr>
              <w:t>Индустриальный парк «Калуга-Юг»</w:t>
            </w:r>
          </w:p>
        </w:tc>
        <w:tc>
          <w:tcPr>
            <w:tcW w:w="3925" w:type="dxa"/>
            <w:tcBorders>
              <w:top w:val="single" w:sz="4" w:space="0" w:color="000000"/>
              <w:left w:val="single" w:sz="4" w:space="0" w:color="000000"/>
              <w:bottom w:val="single" w:sz="4" w:space="0" w:color="000000"/>
            </w:tcBorders>
            <w:shd w:color="auto" w:fill="auto" w:val="clear"/>
          </w:tcPr>
          <w:p>
            <w:pPr>
              <w:pStyle w:val="Normal"/>
              <w:widowControl w:val="false"/>
              <w:rPr>
                <w:color w:themeColor="text1" w:val="000000"/>
                <w:sz w:val="22"/>
                <w:szCs w:val="22"/>
              </w:rPr>
            </w:pPr>
            <w:r>
              <w:rPr>
                <w:b/>
                <w:bCs/>
                <w:color w:themeColor="text1" w:val="000000"/>
                <w:sz w:val="22"/>
                <w:szCs w:val="22"/>
              </w:rPr>
              <w:t>Описание:</w:t>
            </w:r>
          </w:p>
          <w:p>
            <w:pPr>
              <w:pStyle w:val="Normal"/>
              <w:widowControl w:val="false"/>
              <w:suppressAutoHyphens w:val="false"/>
              <w:rPr>
                <w:color w:themeColor="text1" w:val="000000"/>
                <w:sz w:val="22"/>
                <w:szCs w:val="22"/>
              </w:rPr>
            </w:pPr>
            <w:r>
              <w:rPr>
                <w:color w:themeColor="text1" w:val="000000"/>
                <w:sz w:val="22"/>
                <w:szCs w:val="22"/>
                <w:highlight w:val="white"/>
                <w:lang w:eastAsia="ru-RU"/>
              </w:rPr>
              <w:t>Вклю</w:t>
            </w:r>
            <w:r>
              <w:rPr>
                <w:color w:themeColor="text1" w:val="000000"/>
                <w:sz w:val="22"/>
                <w:szCs w:val="22"/>
                <w:lang w:eastAsia="ru-RU"/>
              </w:rPr>
              <w:t xml:space="preserve">чен в Реестр </w:t>
              <w:br/>
              <w:t xml:space="preserve">сертификатов действующих </w:t>
              <w:br/>
              <w:t xml:space="preserve">индустриальных парков </w:t>
              <w:br/>
              <w:t xml:space="preserve">Системы добровольной </w:t>
              <w:br/>
              <w:t xml:space="preserve">сертификации Ассоциации </w:t>
              <w:br/>
              <w:t xml:space="preserve">индустриальных парков </w:t>
              <w:br/>
              <w:t>(СДСАИП).</w:t>
            </w:r>
          </w:p>
          <w:p>
            <w:pPr>
              <w:pStyle w:val="Normal"/>
              <w:widowControl w:val="false"/>
              <w:suppressAutoHyphens w:val="false"/>
              <w:rPr>
                <w:color w:themeColor="text1" w:val="000000"/>
                <w:sz w:val="22"/>
                <w:szCs w:val="22"/>
              </w:rPr>
            </w:pPr>
            <w:r>
              <w:rPr>
                <w:color w:themeColor="text1" w:val="000000"/>
                <w:sz w:val="22"/>
                <w:szCs w:val="22"/>
                <w:lang w:eastAsia="ru-RU"/>
              </w:rPr>
              <w:t xml:space="preserve">Инициатор проекта: </w:t>
              <w:br/>
              <w:t xml:space="preserve">Правительство Калужской </w:t>
              <w:br/>
              <w:t>области в лице регионального</w:t>
              <w:br/>
              <w:t>министерства экономического развития и промышленности Калужской области.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Назначение проекта: </w:t>
              <w:br/>
              <w:t xml:space="preserve">размещение предприятий </w:t>
              <w:br/>
              <w:t xml:space="preserve">различной отраслевой </w:t>
              <w:br/>
              <w:t>направленности.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Категория земель: земли </w:t>
              <w:br/>
              <w:t>населенных пунктов.</w:t>
            </w:r>
          </w:p>
          <w:p>
            <w:pPr>
              <w:pStyle w:val="Normal"/>
              <w:widowControl w:val="false"/>
              <w:suppressAutoHyphens w:val="false"/>
              <w:rPr>
                <w:color w:themeColor="text1" w:val="000000"/>
                <w:sz w:val="22"/>
                <w:szCs w:val="22"/>
              </w:rPr>
            </w:pPr>
            <w:r>
              <w:rPr>
                <w:color w:themeColor="text1" w:val="000000"/>
                <w:sz w:val="22"/>
                <w:szCs w:val="22"/>
                <w:lang w:eastAsia="ru-RU"/>
              </w:rPr>
              <w:t xml:space="preserve">Присвоение статуса </w:t>
              <w:br/>
              <w:t xml:space="preserve">«Индустриальный парк» - </w:t>
              <w:br/>
              <w:t>7 октября 2009 года.</w:t>
            </w:r>
          </w:p>
          <w:p>
            <w:pPr>
              <w:pStyle w:val="Normal"/>
              <w:widowControl w:val="false"/>
              <w:suppressAutoHyphens w:val="false"/>
              <w:rPr>
                <w:color w:themeColor="text1" w:val="000000"/>
                <w:sz w:val="22"/>
                <w:szCs w:val="22"/>
              </w:rPr>
            </w:pPr>
            <w:r>
              <w:rPr>
                <w:color w:themeColor="text1" w:val="000000"/>
                <w:sz w:val="22"/>
                <w:szCs w:val="22"/>
                <w:lang w:eastAsia="ru-RU"/>
              </w:rPr>
              <w:t xml:space="preserve">Общая площадь </w:t>
              <w:br/>
              <w:t xml:space="preserve">индустриального парка - </w:t>
              <w:br/>
              <w:t>115 га.</w:t>
            </w:r>
          </w:p>
          <w:p>
            <w:pPr>
              <w:pStyle w:val="Normal"/>
              <w:widowControl w:val="false"/>
              <w:suppressAutoHyphens w:val="false"/>
              <w:rPr>
                <w:color w:themeColor="text1" w:val="000000"/>
                <w:sz w:val="22"/>
                <w:szCs w:val="22"/>
              </w:rPr>
            </w:pPr>
            <w:r>
              <w:rPr>
                <w:color w:themeColor="text1" w:val="000000"/>
                <w:sz w:val="22"/>
                <w:szCs w:val="22"/>
                <w:lang w:eastAsia="ru-RU"/>
              </w:rPr>
              <w:t xml:space="preserve">Свободно для размещения </w:t>
              <w:br/>
              <w:t>инвесторов - 0 га.</w:t>
            </w:r>
          </w:p>
          <w:p>
            <w:pPr>
              <w:pStyle w:val="Normal"/>
              <w:widowControl w:val="false"/>
              <w:suppressAutoHyphens w:val="false"/>
              <w:rPr>
                <w:color w:themeColor="text1" w:val="000000"/>
                <w:sz w:val="22"/>
                <w:szCs w:val="22"/>
              </w:rPr>
            </w:pPr>
            <w:r>
              <w:rPr>
                <w:b/>
                <w:bCs/>
                <w:color w:themeColor="text1" w:val="000000"/>
                <w:sz w:val="22"/>
                <w:szCs w:val="22"/>
                <w:lang w:eastAsia="ru-RU"/>
              </w:rPr>
              <w:t>Расположение:</w:t>
            </w:r>
          </w:p>
          <w:p>
            <w:pPr>
              <w:pStyle w:val="Normal"/>
              <w:widowControl w:val="false"/>
              <w:suppressAutoHyphens w:val="false"/>
              <w:rPr>
                <w:color w:themeColor="text1" w:val="000000"/>
                <w:sz w:val="22"/>
                <w:szCs w:val="22"/>
              </w:rPr>
            </w:pPr>
            <w:r>
              <w:rPr>
                <w:b/>
                <w:bCs/>
                <w:color w:themeColor="text1" w:val="000000"/>
                <w:sz w:val="22"/>
                <w:szCs w:val="22"/>
                <w:lang w:eastAsia="ru-RU"/>
              </w:rPr>
              <w:t xml:space="preserve">- </w:t>
            </w:r>
            <w:r>
              <w:rPr>
                <w:color w:themeColor="text1" w:val="000000"/>
                <w:sz w:val="22"/>
                <w:szCs w:val="22"/>
                <w:lang w:eastAsia="ru-RU"/>
              </w:rPr>
              <w:t xml:space="preserve">в черте города, на южной </w:t>
              <w:br/>
              <w:t>границе Калуги;</w:t>
            </w:r>
          </w:p>
          <w:p>
            <w:pPr>
              <w:pStyle w:val="Normal"/>
              <w:widowControl w:val="false"/>
              <w:suppressAutoHyphens w:val="false"/>
              <w:rPr>
                <w:color w:themeColor="text1" w:val="000000"/>
                <w:sz w:val="22"/>
                <w:szCs w:val="22"/>
              </w:rPr>
            </w:pPr>
            <w:r>
              <w:rPr>
                <w:color w:themeColor="text1" w:val="000000"/>
                <w:sz w:val="22"/>
                <w:szCs w:val="22"/>
                <w:lang w:eastAsia="ru-RU"/>
              </w:rPr>
              <w:t>- вдоль трассы Р-132 «Вязьма - Юхнов - Калуга - Тула - Венев - Михайлов - Рязань»;</w:t>
            </w:r>
          </w:p>
          <w:p>
            <w:pPr>
              <w:pStyle w:val="Normal"/>
              <w:widowControl w:val="false"/>
              <w:suppressAutoHyphens w:val="false"/>
              <w:rPr>
                <w:color w:themeColor="text1" w:val="000000"/>
                <w:sz w:val="22"/>
                <w:szCs w:val="22"/>
              </w:rPr>
            </w:pPr>
            <w:r>
              <w:rPr>
                <w:color w:themeColor="text1" w:val="000000"/>
                <w:sz w:val="22"/>
                <w:szCs w:val="22"/>
                <w:lang w:eastAsia="ru-RU"/>
              </w:rPr>
              <w:t>- 18 км от трассы М-3 «Москва-Киев»;</w:t>
            </w:r>
          </w:p>
          <w:p>
            <w:pPr>
              <w:pStyle w:val="Normal"/>
              <w:widowControl w:val="false"/>
              <w:suppressAutoHyphens w:val="false"/>
              <w:rPr>
                <w:color w:themeColor="text1" w:val="000000"/>
                <w:sz w:val="22"/>
                <w:szCs w:val="22"/>
              </w:rPr>
            </w:pPr>
            <w:r>
              <w:rPr>
                <w:color w:themeColor="text1" w:val="000000"/>
                <w:sz w:val="22"/>
                <w:szCs w:val="22"/>
                <w:lang w:eastAsia="ru-RU"/>
              </w:rPr>
              <w:t>- 22 км до международного аэропорта «Калуга»;</w:t>
            </w:r>
          </w:p>
          <w:p>
            <w:pPr>
              <w:pStyle w:val="Normal"/>
              <w:widowControl w:val="false"/>
              <w:suppressAutoHyphens w:val="false"/>
              <w:rPr>
                <w:color w:themeColor="text1" w:val="000000"/>
                <w:sz w:val="22"/>
                <w:szCs w:val="22"/>
              </w:rPr>
            </w:pPr>
            <w:r>
              <w:rPr>
                <w:color w:themeColor="text1" w:val="000000"/>
                <w:sz w:val="22"/>
                <w:szCs w:val="22"/>
                <w:lang w:eastAsia="ru-RU"/>
              </w:rPr>
              <w:t>- 160 км до международного аэропорта «Внуково»;</w:t>
            </w:r>
          </w:p>
          <w:p>
            <w:pPr>
              <w:pStyle w:val="Normal"/>
              <w:widowControl w:val="false"/>
              <w:suppressAutoHyphens w:val="false"/>
              <w:rPr>
                <w:color w:themeColor="text1" w:val="000000"/>
                <w:sz w:val="22"/>
                <w:szCs w:val="22"/>
              </w:rPr>
            </w:pPr>
            <w:r>
              <w:rPr>
                <w:color w:themeColor="text1" w:val="000000"/>
                <w:sz w:val="22"/>
                <w:szCs w:val="22"/>
                <w:shd w:fill="FFFFFF" w:val="clear"/>
                <w:lang w:eastAsia="ru-RU"/>
              </w:rPr>
              <w:t>- 190 км до Южного речного порта, река Москва.</w:t>
            </w:r>
          </w:p>
        </w:tc>
        <w:tc>
          <w:tcPr>
            <w:tcW w:w="449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false"/>
              <w:rPr>
                <w:color w:themeColor="text1" w:val="000000"/>
                <w:sz w:val="22"/>
                <w:szCs w:val="22"/>
              </w:rPr>
            </w:pPr>
            <w:r>
              <w:rPr>
                <w:b/>
                <w:bCs/>
                <w:color w:themeColor="text1" w:val="000000"/>
                <w:sz w:val="22"/>
                <w:szCs w:val="22"/>
                <w:lang w:eastAsia="ru-RU"/>
              </w:rPr>
              <w:t>Инженерные мощности:</w:t>
            </w:r>
          </w:p>
          <w:p>
            <w:pPr>
              <w:pStyle w:val="Normal"/>
              <w:widowControl w:val="false"/>
              <w:suppressAutoHyphens w:val="false"/>
              <w:rPr>
                <w:color w:themeColor="text1" w:val="000000"/>
                <w:sz w:val="22"/>
                <w:szCs w:val="22"/>
              </w:rPr>
            </w:pPr>
            <w:r>
              <w:rPr>
                <w:color w:themeColor="text1" w:val="000000"/>
                <w:sz w:val="22"/>
                <w:szCs w:val="22"/>
                <w:lang w:eastAsia="ru-RU"/>
              </w:rPr>
              <w:t xml:space="preserve">- </w:t>
            </w:r>
            <w:r>
              <w:rPr>
                <w:b/>
                <w:bCs/>
                <w:color w:themeColor="text1" w:val="000000"/>
                <w:sz w:val="22"/>
                <w:szCs w:val="22"/>
                <w:lang w:eastAsia="ru-RU"/>
              </w:rPr>
              <w:t>электроэнергия</w:t>
            </w:r>
            <w:r>
              <w:rPr>
                <w:color w:themeColor="text1" w:val="000000"/>
                <w:sz w:val="22"/>
                <w:szCs w:val="22"/>
                <w:lang w:eastAsia="ru-RU"/>
              </w:rPr>
              <w:t xml:space="preserve"> - на территории </w:t>
              <w:br/>
              <w:t>индустриального парка построены</w:t>
              <w:br/>
              <w:t>2 распределительные подстанции: РП «Промзона» и РП «Калуга-Юг». Мощность 34,92 МВт, свободная - 15,5 МВт;</w:t>
            </w:r>
          </w:p>
          <w:p>
            <w:pPr>
              <w:pStyle w:val="Normal"/>
              <w:widowControl w:val="false"/>
              <w:suppressAutoHyphens w:val="false"/>
              <w:rPr>
                <w:color w:themeColor="text1" w:val="000000"/>
                <w:sz w:val="22"/>
                <w:szCs w:val="22"/>
              </w:rPr>
            </w:pPr>
            <w:r>
              <w:rPr>
                <w:color w:themeColor="text1" w:val="000000"/>
                <w:sz w:val="22"/>
                <w:szCs w:val="22"/>
                <w:lang w:eastAsia="ru-RU"/>
              </w:rPr>
              <w:t xml:space="preserve">- </w:t>
            </w:r>
            <w:r>
              <w:rPr>
                <w:b/>
                <w:bCs/>
                <w:color w:themeColor="text1" w:val="000000"/>
                <w:sz w:val="22"/>
                <w:szCs w:val="22"/>
                <w:lang w:eastAsia="ru-RU"/>
              </w:rPr>
              <w:t xml:space="preserve">водообеспечение </w:t>
            </w:r>
            <w:r>
              <w:rPr>
                <w:color w:themeColor="text1" w:val="000000"/>
                <w:sz w:val="22"/>
                <w:szCs w:val="22"/>
                <w:lang w:eastAsia="ru-RU"/>
              </w:rPr>
              <w:t>- 2034,76 куб.м/сутки, свободная мощность - 450,52 куб.м/сутки;</w:t>
            </w:r>
          </w:p>
          <w:p>
            <w:pPr>
              <w:pStyle w:val="Normal"/>
              <w:widowControl w:val="false"/>
              <w:suppressAutoHyphens w:val="false"/>
              <w:rPr>
                <w:color w:themeColor="text1" w:val="000000"/>
                <w:sz w:val="22"/>
                <w:szCs w:val="22"/>
              </w:rPr>
            </w:pPr>
            <w:r>
              <w:rPr>
                <w:color w:themeColor="text1" w:val="000000"/>
                <w:sz w:val="22"/>
                <w:szCs w:val="22"/>
                <w:lang w:eastAsia="ru-RU"/>
              </w:rPr>
              <w:t xml:space="preserve">- </w:t>
            </w:r>
            <w:r>
              <w:rPr>
                <w:b/>
                <w:bCs/>
                <w:color w:themeColor="text1" w:val="000000"/>
                <w:sz w:val="22"/>
                <w:szCs w:val="22"/>
                <w:lang w:eastAsia="ru-RU"/>
              </w:rPr>
              <w:t>газоснабжение</w:t>
            </w:r>
            <w:r>
              <w:rPr>
                <w:color w:themeColor="text1" w:val="000000"/>
                <w:sz w:val="22"/>
                <w:szCs w:val="22"/>
                <w:lang w:eastAsia="ru-RU"/>
              </w:rPr>
              <w:t xml:space="preserve"> - построен газопровод для обеспечения газоснабжением инвесторов </w:t>
              <w:br/>
              <w:t>индустриального парка. Мощность 7150 куб.м/ч, свободная - 1050 куб.м/ч;</w:t>
            </w:r>
          </w:p>
          <w:p>
            <w:pPr>
              <w:pStyle w:val="Normal"/>
              <w:widowControl w:val="false"/>
              <w:suppressAutoHyphens w:val="false"/>
              <w:rPr>
                <w:color w:themeColor="text1" w:val="000000"/>
                <w:sz w:val="22"/>
                <w:szCs w:val="22"/>
              </w:rPr>
            </w:pPr>
            <w:r>
              <w:rPr>
                <w:color w:themeColor="text1" w:val="000000"/>
                <w:sz w:val="22"/>
                <w:szCs w:val="22"/>
                <w:lang w:eastAsia="ru-RU"/>
              </w:rPr>
              <w:t>-</w:t>
            </w:r>
            <w:r>
              <w:rPr>
                <w:b/>
                <w:bCs/>
                <w:color w:themeColor="text1" w:val="000000"/>
                <w:sz w:val="22"/>
                <w:szCs w:val="22"/>
                <w:lang w:eastAsia="ru-RU"/>
              </w:rPr>
              <w:t xml:space="preserve"> телекоммуникации</w:t>
            </w:r>
            <w:r>
              <w:rPr>
                <w:color w:themeColor="text1" w:val="000000"/>
                <w:sz w:val="22"/>
                <w:szCs w:val="22"/>
                <w:lang w:eastAsia="ru-RU"/>
              </w:rPr>
              <w:t>, в т.ч. высокоскоростной интернет на всей территории парка;</w:t>
            </w:r>
          </w:p>
          <w:p>
            <w:pPr>
              <w:pStyle w:val="Normal"/>
              <w:widowControl w:val="false"/>
              <w:suppressAutoHyphens w:val="false"/>
              <w:rPr>
                <w:color w:themeColor="text1" w:val="000000"/>
                <w:sz w:val="22"/>
                <w:szCs w:val="22"/>
                <w:lang w:eastAsia="ru-RU"/>
              </w:rPr>
            </w:pPr>
            <w:r>
              <w:rPr>
                <w:color w:themeColor="text1" w:val="000000"/>
                <w:sz w:val="22"/>
                <w:szCs w:val="22"/>
                <w:lang w:eastAsia="ru-RU"/>
              </w:rPr>
              <w:t>- для действующих предприятий и потенциальных инвесторов построены</w:t>
            </w:r>
          </w:p>
          <w:p>
            <w:pPr>
              <w:pStyle w:val="Normal"/>
              <w:widowControl w:val="false"/>
              <w:suppressAutoHyphens w:val="false"/>
              <w:rPr>
                <w:color w:themeColor="text1" w:val="000000"/>
                <w:sz w:val="22"/>
                <w:szCs w:val="22"/>
              </w:rPr>
            </w:pPr>
            <w:r>
              <w:rPr>
                <w:color w:themeColor="text1" w:val="000000"/>
                <w:sz w:val="22"/>
                <w:szCs w:val="22"/>
                <w:lang w:eastAsia="ru-RU"/>
              </w:rPr>
              <w:t xml:space="preserve">- </w:t>
            </w:r>
            <w:r>
              <w:rPr>
                <w:b/>
                <w:bCs/>
                <w:color w:themeColor="text1" w:val="000000"/>
                <w:sz w:val="22"/>
                <w:szCs w:val="22"/>
                <w:lang w:eastAsia="ru-RU"/>
              </w:rPr>
              <w:t>напорно-ливневая канализация и пруд-накопитель ливневых стоков</w:t>
            </w:r>
            <w:r>
              <w:rPr>
                <w:color w:themeColor="text1" w:val="000000"/>
                <w:sz w:val="22"/>
                <w:szCs w:val="22"/>
                <w:lang w:eastAsia="ru-RU"/>
              </w:rPr>
              <w:t>;</w:t>
            </w:r>
          </w:p>
          <w:p>
            <w:pPr>
              <w:pStyle w:val="Normal"/>
              <w:widowControl w:val="false"/>
              <w:suppressAutoHyphens w:val="false"/>
              <w:rPr>
                <w:color w:themeColor="text1" w:val="000000"/>
                <w:sz w:val="22"/>
                <w:szCs w:val="22"/>
                <w:lang w:eastAsia="ru-RU"/>
              </w:rPr>
            </w:pPr>
            <w:r>
              <w:rPr>
                <w:color w:themeColor="text1" w:val="000000"/>
                <w:sz w:val="22"/>
                <w:szCs w:val="22"/>
                <w:lang w:eastAsia="ru-RU"/>
              </w:rPr>
              <w:t xml:space="preserve">- </w:t>
            </w:r>
            <w:r>
              <w:rPr>
                <w:b/>
                <w:bCs/>
                <w:color w:themeColor="text1" w:val="000000"/>
                <w:sz w:val="22"/>
                <w:szCs w:val="22"/>
                <w:lang w:eastAsia="ru-RU"/>
              </w:rPr>
              <w:t>теплоснабжение</w:t>
            </w:r>
            <w:r>
              <w:rPr>
                <w:color w:themeColor="text1" w:val="000000"/>
                <w:sz w:val="22"/>
                <w:szCs w:val="22"/>
                <w:lang w:eastAsia="ru-RU"/>
              </w:rPr>
              <w:t xml:space="preserve"> - на территории парка существует возможность подключения к сетям теплоснабжения.</w:t>
            </w:r>
          </w:p>
          <w:p>
            <w:pPr>
              <w:pStyle w:val="Normal"/>
              <w:widowControl w:val="false"/>
              <w:suppressAutoHyphens w:val="false"/>
              <w:rPr>
                <w:color w:themeColor="text1" w:val="000000"/>
                <w:sz w:val="22"/>
                <w:szCs w:val="22"/>
              </w:rPr>
            </w:pPr>
            <w:r>
              <w:rPr>
                <w:color w:themeColor="text1" w:val="000000"/>
                <w:sz w:val="22"/>
                <w:szCs w:val="22"/>
              </w:rPr>
            </w:r>
          </w:p>
          <w:p>
            <w:pPr>
              <w:pStyle w:val="Normal"/>
              <w:widowControl w:val="false"/>
              <w:suppressAutoHyphens w:val="false"/>
              <w:rPr>
                <w:color w:themeColor="text1" w:val="000000"/>
                <w:sz w:val="22"/>
                <w:szCs w:val="22"/>
              </w:rPr>
            </w:pPr>
            <w:r>
              <w:rPr>
                <w:b/>
                <w:bCs/>
                <w:color w:themeColor="text1" w:val="000000"/>
                <w:sz w:val="22"/>
                <w:szCs w:val="22"/>
                <w:lang w:eastAsia="ru-RU"/>
              </w:rPr>
              <w:t>Трудовые ресурсы:</w:t>
            </w:r>
          </w:p>
          <w:p>
            <w:pPr>
              <w:pStyle w:val="Normal"/>
              <w:widowControl w:val="false"/>
              <w:suppressAutoHyphens w:val="false"/>
              <w:rPr>
                <w:color w:themeColor="text1" w:val="000000"/>
                <w:sz w:val="22"/>
                <w:szCs w:val="22"/>
              </w:rPr>
            </w:pPr>
            <w:r>
              <w:rPr>
                <w:color w:themeColor="text1" w:val="000000"/>
                <w:sz w:val="22"/>
                <w:szCs w:val="22"/>
                <w:lang w:eastAsia="ru-RU"/>
              </w:rPr>
              <w:t>- около 600000 потенциальных работников проживают в радиусе 50 км;</w:t>
            </w:r>
          </w:p>
          <w:p>
            <w:pPr>
              <w:pStyle w:val="Normal"/>
              <w:widowControl w:val="false"/>
              <w:suppressAutoHyphens w:val="false"/>
              <w:rPr>
                <w:color w:themeColor="text1" w:val="000000"/>
                <w:sz w:val="22"/>
                <w:szCs w:val="22"/>
              </w:rPr>
            </w:pPr>
            <w:r>
              <w:rPr>
                <w:color w:themeColor="text1" w:val="000000"/>
                <w:sz w:val="22"/>
                <w:szCs w:val="22"/>
                <w:lang w:eastAsia="ru-RU"/>
              </w:rPr>
              <w:t>- 3000 человек - ориентировочный уровень незанятого трудоспособного населения.</w:t>
            </w:r>
          </w:p>
          <w:p>
            <w:pPr>
              <w:pStyle w:val="Normal"/>
              <w:widowControl w:val="false"/>
              <w:suppressAutoHyphens w:val="false"/>
              <w:rPr>
                <w:color w:themeColor="text1" w:val="000000"/>
                <w:sz w:val="22"/>
                <w:szCs w:val="22"/>
              </w:rPr>
            </w:pPr>
            <w:r>
              <w:rPr>
                <w:b/>
                <w:bCs/>
                <w:color w:themeColor="text1" w:val="000000"/>
                <w:sz w:val="22"/>
                <w:szCs w:val="22"/>
                <w:lang w:eastAsia="ru-RU"/>
              </w:rPr>
              <w:t>Автодорога:</w:t>
            </w:r>
          </w:p>
          <w:p>
            <w:pPr>
              <w:pStyle w:val="Normal"/>
              <w:widowControl w:val="false"/>
              <w:suppressAutoHyphens w:val="false"/>
              <w:rPr>
                <w:color w:themeColor="text1" w:val="000000"/>
                <w:sz w:val="22"/>
                <w:szCs w:val="22"/>
              </w:rPr>
            </w:pPr>
            <w:r>
              <w:rPr>
                <w:color w:themeColor="text1" w:val="000000"/>
                <w:sz w:val="22"/>
                <w:szCs w:val="22"/>
                <w:lang w:eastAsia="ru-RU"/>
              </w:rPr>
              <w:t>- построена подъездная автодорога IV категории с примыканием к федеральной автодороге «Калуга - Тула» протяженностью около 1 км;</w:t>
            </w:r>
          </w:p>
          <w:p>
            <w:pPr>
              <w:pStyle w:val="Normal"/>
              <w:widowControl w:val="false"/>
              <w:suppressAutoHyphens w:val="false"/>
              <w:rPr>
                <w:color w:themeColor="text1" w:val="000000"/>
                <w:sz w:val="22"/>
                <w:szCs w:val="22"/>
              </w:rPr>
            </w:pPr>
            <w:r>
              <w:rPr>
                <w:color w:themeColor="text1" w:val="000000"/>
                <w:sz w:val="22"/>
                <w:szCs w:val="22"/>
                <w:lang w:eastAsia="ru-RU"/>
              </w:rPr>
              <w:t>- построена автомобильная дорога № 5 с разворотным кольцом протяженностью около 1,7 км;</w:t>
            </w:r>
          </w:p>
          <w:p>
            <w:pPr>
              <w:pStyle w:val="Normal"/>
              <w:widowControl w:val="false"/>
              <w:suppressAutoHyphens w:val="false"/>
              <w:rPr>
                <w:color w:themeColor="text1" w:val="000000"/>
                <w:sz w:val="22"/>
                <w:szCs w:val="22"/>
              </w:rPr>
            </w:pPr>
            <w:r>
              <w:rPr>
                <w:color w:themeColor="text1" w:val="000000"/>
                <w:sz w:val="22"/>
                <w:szCs w:val="22"/>
                <w:lang w:eastAsia="ru-RU"/>
              </w:rPr>
              <w:t>- для действующих предприятий и потенциальных инвесторов построена автомобильная дорога №2, протяженностью 400 м;</w:t>
            </w:r>
          </w:p>
          <w:p>
            <w:pPr>
              <w:pStyle w:val="Normal"/>
              <w:widowControl w:val="false"/>
              <w:suppressAutoHyphens w:val="false"/>
              <w:rPr>
                <w:color w:themeColor="text1" w:val="000000"/>
                <w:sz w:val="22"/>
                <w:szCs w:val="22"/>
              </w:rPr>
            </w:pPr>
            <w:r>
              <w:rPr>
                <w:color w:themeColor="text1" w:val="000000"/>
                <w:sz w:val="22"/>
                <w:szCs w:val="22"/>
                <w:lang w:eastAsia="ru-RU"/>
              </w:rPr>
              <w:t>- завершено строительство автомобильных дорог № 3 и № 4.</w:t>
            </w:r>
          </w:p>
          <w:p>
            <w:pPr>
              <w:pStyle w:val="Normal"/>
              <w:widowControl w:val="false"/>
              <w:suppressAutoHyphens w:val="false"/>
              <w:rPr>
                <w:color w:themeColor="text1" w:val="000000"/>
                <w:sz w:val="22"/>
                <w:szCs w:val="22"/>
              </w:rPr>
            </w:pPr>
            <w:r>
              <w:rPr>
                <w:b/>
                <w:bCs/>
                <w:color w:themeColor="text1" w:val="000000"/>
                <w:sz w:val="22"/>
                <w:szCs w:val="22"/>
                <w:lang w:eastAsia="ru-RU"/>
              </w:rPr>
              <w:t>Связь:</w:t>
            </w:r>
          </w:p>
          <w:p>
            <w:pPr>
              <w:pStyle w:val="Normal"/>
              <w:widowControl w:val="false"/>
              <w:suppressAutoHyphens w:val="false"/>
              <w:rPr>
                <w:color w:themeColor="text1" w:val="000000"/>
                <w:sz w:val="22"/>
                <w:szCs w:val="22"/>
              </w:rPr>
            </w:pPr>
            <w:r>
              <w:rPr>
                <w:color w:themeColor="text1" w:val="000000"/>
                <w:sz w:val="22"/>
                <w:szCs w:val="22"/>
                <w:lang w:eastAsia="ru-RU"/>
              </w:rPr>
              <w:t>- телефонная связь и высокоскоростной интернет на всей территории парка.</w:t>
            </w:r>
          </w:p>
          <w:p>
            <w:pPr>
              <w:pStyle w:val="Normal"/>
              <w:widowControl w:val="false"/>
              <w:suppressAutoHyphens w:val="false"/>
              <w:rPr>
                <w:color w:themeColor="text1" w:val="000000"/>
                <w:sz w:val="22"/>
                <w:szCs w:val="22"/>
              </w:rPr>
            </w:pPr>
            <w:r>
              <w:rPr>
                <w:b/>
                <w:bCs/>
                <w:color w:themeColor="text1" w:val="000000"/>
                <w:sz w:val="22"/>
                <w:szCs w:val="22"/>
                <w:lang w:eastAsia="ru-RU"/>
              </w:rPr>
              <w:t>Социальная инфраструктура:</w:t>
            </w:r>
          </w:p>
          <w:p>
            <w:pPr>
              <w:pStyle w:val="Normal"/>
              <w:widowControl w:val="false"/>
              <w:suppressAutoHyphens w:val="false"/>
              <w:rPr>
                <w:color w:themeColor="text1" w:val="000000"/>
                <w:sz w:val="22"/>
                <w:szCs w:val="22"/>
              </w:rPr>
            </w:pPr>
            <w:r>
              <w:rPr>
                <w:color w:themeColor="text1" w:val="000000"/>
                <w:sz w:val="22"/>
                <w:szCs w:val="22"/>
                <w:lang w:eastAsia="ru-RU"/>
              </w:rPr>
              <w:t xml:space="preserve">- в непосредственной близости от индустриального парка «Калуга-Юг» реализуется проект строительства жилья «Европейский квартал». Продуманное расположение домов, широкие проезды и тротуары, большие </w:t>
              <w:br/>
              <w:t>площадки для игр и спорта, газоны, парковочные площадки - все спланировано для максимального удобства жителей и отвечает современным представлениям о достойном жилье.</w:t>
            </w:r>
          </w:p>
          <w:p>
            <w:pPr>
              <w:pStyle w:val="Normal"/>
              <w:widowControl w:val="false"/>
              <w:suppressAutoHyphens w:val="false"/>
              <w:rPr>
                <w:color w:themeColor="text1" w:val="000000"/>
                <w:sz w:val="22"/>
                <w:szCs w:val="22"/>
              </w:rPr>
            </w:pPr>
            <w:r>
              <w:rPr>
                <w:color w:themeColor="text1" w:val="000000"/>
                <w:sz w:val="22"/>
                <w:szCs w:val="22"/>
                <w:lang w:eastAsia="ru-RU"/>
              </w:rPr>
              <w:t>- на территории комплекса для детей резидентов парка «Калуга-Юг» и жителей «Европейского квартала» с декабря 2017 года действует детский сад.</w:t>
            </w:r>
          </w:p>
        </w:tc>
        <w:tc>
          <w:tcPr>
            <w:tcW w:w="49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false"/>
              <w:jc w:val="both"/>
              <w:rPr>
                <w:color w:themeColor="text1" w:val="000000"/>
                <w:sz w:val="22"/>
                <w:szCs w:val="22"/>
              </w:rPr>
            </w:pPr>
            <w:bookmarkStart w:id="28" w:name="2"/>
            <w:r>
              <w:rPr>
                <w:b/>
                <w:bCs/>
                <w:color w:themeColor="text1" w:val="000000"/>
                <w:sz w:val="22"/>
                <w:szCs w:val="22"/>
                <w:lang w:eastAsia="ru-RU"/>
              </w:rPr>
              <w:t>Резиденты</w:t>
            </w:r>
            <w:bookmarkEnd w:id="28"/>
            <w:r>
              <w:rPr>
                <w:b/>
                <w:bCs/>
                <w:color w:themeColor="text1" w:val="000000"/>
                <w:sz w:val="22"/>
                <w:szCs w:val="22"/>
                <w:lang w:eastAsia="ru-RU"/>
              </w:rPr>
              <w:t>:</w:t>
            </w:r>
          </w:p>
          <w:p>
            <w:pPr>
              <w:pStyle w:val="Normal"/>
              <w:widowControl w:val="false"/>
              <w:suppressAutoHyphens w:val="false"/>
              <w:rPr>
                <w:color w:themeColor="text1" w:val="000000"/>
                <w:sz w:val="22"/>
                <w:szCs w:val="22"/>
                <w:lang w:eastAsia="ru-RU"/>
              </w:rPr>
            </w:pPr>
            <w:r>
              <w:rPr>
                <w:color w:themeColor="text1" w:val="000000"/>
                <w:sz w:val="22"/>
                <w:szCs w:val="22"/>
                <w:lang w:eastAsia="ru-RU"/>
              </w:rPr>
              <w:t>На территории индустриального парка размещено 6 предприятий:</w:t>
            </w:r>
          </w:p>
          <w:p>
            <w:pPr>
              <w:pStyle w:val="Normal"/>
              <w:widowControl w:val="false"/>
              <w:suppressAutoHyphens w:val="false"/>
              <w:rPr>
                <w:color w:themeColor="text1" w:val="000000"/>
                <w:sz w:val="22"/>
                <w:szCs w:val="22"/>
              </w:rPr>
            </w:pPr>
            <w:r>
              <w:rPr>
                <w:color w:themeColor="text1" w:val="000000"/>
                <w:sz w:val="22"/>
                <w:szCs w:val="22"/>
                <w:lang w:eastAsia="ru-RU"/>
              </w:rPr>
              <w:t>- АО «Автомобильное моторное общество» - производство грузовых автомобилей;</w:t>
            </w:r>
          </w:p>
          <w:p>
            <w:pPr>
              <w:pStyle w:val="Normal"/>
              <w:widowControl w:val="false"/>
              <w:suppressAutoHyphens w:val="false"/>
              <w:rPr>
                <w:color w:themeColor="text1" w:val="000000"/>
                <w:sz w:val="22"/>
                <w:szCs w:val="22"/>
              </w:rPr>
            </w:pPr>
            <w:r>
              <w:rPr>
                <w:color w:themeColor="text1" w:val="000000"/>
                <w:sz w:val="22"/>
                <w:szCs w:val="22"/>
                <w:lang w:eastAsia="ru-RU"/>
              </w:rPr>
              <w:t>- ООО «Мако Фурнитура» - производство фурнитуры для пластиковых окон;</w:t>
            </w:r>
          </w:p>
          <w:p>
            <w:pPr>
              <w:pStyle w:val="Normal"/>
              <w:widowControl w:val="false"/>
              <w:suppressAutoHyphens w:val="false"/>
              <w:rPr>
                <w:color w:themeColor="text1" w:val="000000"/>
                <w:sz w:val="22"/>
                <w:szCs w:val="22"/>
              </w:rPr>
            </w:pPr>
            <w:r>
              <w:rPr>
                <w:color w:themeColor="text1" w:val="000000"/>
                <w:sz w:val="22"/>
                <w:szCs w:val="22"/>
                <w:lang w:eastAsia="ru-RU"/>
              </w:rPr>
              <w:t>- ООО «Меркатор Калуга» - производство навесного оборудования и спецтехники;</w:t>
            </w:r>
          </w:p>
          <w:p>
            <w:pPr>
              <w:pStyle w:val="Normal"/>
              <w:widowControl w:val="false"/>
              <w:suppressAutoHyphens w:val="false"/>
              <w:rPr>
                <w:color w:themeColor="text1" w:val="000000"/>
                <w:sz w:val="22"/>
                <w:szCs w:val="22"/>
              </w:rPr>
            </w:pPr>
            <w:r>
              <w:rPr>
                <w:color w:themeColor="text1" w:val="000000"/>
                <w:sz w:val="22"/>
                <w:szCs w:val="22"/>
                <w:lang w:eastAsia="ru-RU"/>
              </w:rPr>
              <w:t xml:space="preserve">- АО «Рекаст» - производство бумажных сотовых </w:t>
              <w:br/>
              <w:t>заполнителей;</w:t>
            </w:r>
          </w:p>
          <w:p>
            <w:pPr>
              <w:pStyle w:val="Normal"/>
              <w:widowControl w:val="false"/>
              <w:suppressAutoHyphens w:val="false"/>
              <w:rPr>
                <w:color w:themeColor="text1" w:val="000000"/>
                <w:sz w:val="22"/>
                <w:szCs w:val="22"/>
              </w:rPr>
            </w:pPr>
            <w:r>
              <w:rPr>
                <w:color w:themeColor="text1" w:val="000000"/>
                <w:sz w:val="22"/>
                <w:szCs w:val="22"/>
                <w:lang w:eastAsia="ru-RU"/>
              </w:rPr>
              <w:t>- ООО «Мануфактуры Боско» - швейная фабрика;</w:t>
            </w:r>
          </w:p>
          <w:p>
            <w:pPr>
              <w:pStyle w:val="Normal"/>
              <w:widowControl w:val="false"/>
              <w:suppressAutoHyphens w:val="false"/>
              <w:rPr>
                <w:color w:themeColor="text1" w:val="000000"/>
                <w:sz w:val="22"/>
                <w:szCs w:val="22"/>
              </w:rPr>
            </w:pPr>
            <w:r>
              <w:rPr>
                <w:color w:themeColor="text1" w:val="000000"/>
                <w:sz w:val="22"/>
                <w:szCs w:val="22"/>
                <w:lang w:eastAsia="ru-RU"/>
              </w:rPr>
              <w:t xml:space="preserve">- ООО «ПКФ Технакон» - производство электротехнической продукции. Строительство </w:t>
              <w:br/>
              <w:t>логистического-складского комплекса.</w:t>
            </w:r>
          </w:p>
          <w:p>
            <w:pPr>
              <w:pStyle w:val="Normal"/>
              <w:widowControl w:val="false"/>
              <w:suppressAutoHyphens w:val="false"/>
              <w:rPr>
                <w:color w:themeColor="text1" w:val="000000"/>
                <w:sz w:val="22"/>
                <w:szCs w:val="22"/>
              </w:rPr>
            </w:pPr>
            <w:r>
              <w:rPr>
                <w:color w:themeColor="text1" w:val="000000"/>
                <w:sz w:val="22"/>
                <w:szCs w:val="22"/>
              </w:rPr>
            </w:r>
          </w:p>
        </w:tc>
      </w:tr>
    </w:tbl>
    <w:p>
      <w:pPr>
        <w:sectPr>
          <w:headerReference w:type="default" r:id="rId40"/>
          <w:headerReference w:type="first" r:id="rId41"/>
          <w:footerReference w:type="default" r:id="rId42"/>
          <w:footerReference w:type="first" r:id="rId43"/>
          <w:footnotePr>
            <w:numFmt w:val="decimal"/>
          </w:footnotePr>
          <w:type w:val="nextPage"/>
          <w:pgSz w:orient="landscape" w:w="16838" w:h="11906"/>
          <w:pgMar w:left="1418" w:right="1134" w:gutter="0" w:header="1134" w:top="1695" w:footer="0" w:bottom="624"/>
          <w:pgNumType w:fmt="decimal"/>
          <w:formProt w:val="false"/>
          <w:titlePg/>
          <w:textDirection w:val="lrTb"/>
          <w:docGrid w:type="default" w:linePitch="360" w:charSpace="0"/>
        </w:sectPr>
      </w:pPr>
    </w:p>
    <w:p>
      <w:pPr>
        <w:pStyle w:val="Normal"/>
        <w:spacing w:before="60" w:after="60"/>
        <w:ind w:firstLine="709"/>
        <w:jc w:val="both"/>
        <w:rPr>
          <w:b/>
          <w:bCs/>
          <w:color w:themeColor="text1" w:val="000000"/>
        </w:rPr>
      </w:pPr>
      <w:r>
        <w:rPr>
          <w:b/>
          <w:bCs/>
          <w:color w:themeColor="text1" w:val="000000"/>
        </w:rPr>
        <w:t>Агропромышленный комплекс</w:t>
      </w:r>
    </w:p>
    <w:p>
      <w:pPr>
        <w:pStyle w:val="Normal"/>
        <w:ind w:firstLine="709"/>
        <w:jc w:val="both"/>
        <w:rPr>
          <w:color w:themeColor="text1" w:val="000000"/>
        </w:rPr>
      </w:pPr>
      <w:r>
        <w:rPr>
          <w:color w:themeColor="text1" w:val="000000"/>
        </w:rPr>
        <w:t>Природно-климатические и ресурсные предпосылки на территории городского округа благоприятны для развития молочного скотоводства, сельскохозяйственные предприятия располагают достаточными площадями под кормовыми культурами и пастбищами. Общая земельная площадь, занимаемая сельхозпредприятиями городского округа, составляет 6,7 тысяч гектаров, в том числе сельскохозяйственных угодий - более 6,1 тысяч гектаров, из них пашни - почти 5,3 тысяч гектаров.</w:t>
      </w:r>
    </w:p>
    <w:p>
      <w:pPr>
        <w:pStyle w:val="Normal"/>
        <w:ind w:firstLine="709"/>
        <w:jc w:val="both"/>
        <w:rPr>
          <w:color w:themeColor="text1" w:val="000000"/>
        </w:rPr>
      </w:pPr>
      <w:r>
        <w:rPr>
          <w:color w:themeColor="text1" w:val="000000"/>
        </w:rPr>
        <w:t>Агропромышленный комплекс городского округа включает в себя разнообразные предприятия сельскохозяйственного назначения и предприятия по переработке сельскохозяйственной продукции. Всего на территории округа действует 17 предприятий сельскохозяйственного назначения различных форм собственности, а также 25 предприятий переработки сельскохозяйственной продукции, обеспечивающих устойчивое развитие аграрного сектора.</w:t>
      </w:r>
    </w:p>
    <w:p>
      <w:pPr>
        <w:pStyle w:val="Normal"/>
        <w:ind w:firstLine="709"/>
        <w:jc w:val="both"/>
        <w:rPr>
          <w:color w:themeColor="text1" w:val="000000"/>
        </w:rPr>
      </w:pPr>
      <w:r>
        <w:rPr>
          <w:color w:themeColor="text1" w:val="000000"/>
        </w:rPr>
        <w:t>На сельскохозяйственных предприятиях городского округа поголовье крупного рогатого скота составляет 1284 голов.</w:t>
      </w:r>
    </w:p>
    <w:p>
      <w:pPr>
        <w:pStyle w:val="Normal"/>
        <w:ind w:firstLine="709"/>
        <w:jc w:val="right"/>
        <w:rPr>
          <w:color w:themeColor="text1" w:val="000000"/>
        </w:rPr>
      </w:pPr>
      <w:r>
        <w:rPr>
          <w:color w:themeColor="text1" w:val="000000"/>
        </w:rPr>
        <w:t>Таблица 5.2.8.</w:t>
      </w:r>
    </w:p>
    <w:p>
      <w:pPr>
        <w:pStyle w:val="Normal"/>
        <w:tabs>
          <w:tab w:val="clear" w:pos="397"/>
          <w:tab w:val="left" w:pos="9781" w:leader="none"/>
        </w:tabs>
        <w:ind w:hanging="0" w:left="-709" w:right="-567"/>
        <w:jc w:val="center"/>
        <w:rPr>
          <w:color w:themeColor="text1" w:val="000000"/>
        </w:rPr>
      </w:pPr>
      <w:r>
        <w:rPr>
          <w:color w:themeColor="text1" w:val="000000"/>
        </w:rPr>
        <w:t>Перечень и характеристика объектов сельскохозяйственного назначения на территории городского округа</w:t>
      </w:r>
    </w:p>
    <w:tbl>
      <w:tblPr>
        <w:tblW w:w="1078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67"/>
        <w:gridCol w:w="2264"/>
        <w:gridCol w:w="2043"/>
        <w:gridCol w:w="1872"/>
        <w:gridCol w:w="1045"/>
        <w:gridCol w:w="1407"/>
        <w:gridCol w:w="1582"/>
      </w:tblGrid>
      <w:tr>
        <w:trPr>
          <w:tblHeader w:val="true"/>
        </w:trPr>
        <w:tc>
          <w:tcPr>
            <w:tcW w:w="56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tabs>
                <w:tab w:val="clear" w:pos="397"/>
                <w:tab w:val="left" w:pos="540" w:leader="none"/>
                <w:tab w:val="left" w:pos="720" w:leader="none"/>
              </w:tabs>
              <w:jc w:val="center"/>
              <w:rPr>
                <w:b/>
                <w:color w:themeColor="text1" w:val="000000"/>
                <w:sz w:val="22"/>
                <w:szCs w:val="22"/>
              </w:rPr>
            </w:pPr>
            <w:r>
              <w:rPr>
                <w:b/>
                <w:color w:themeColor="text1" w:val="000000"/>
                <w:sz w:val="22"/>
                <w:szCs w:val="22"/>
              </w:rPr>
              <w:t xml:space="preserve">№ </w:t>
            </w:r>
            <w:r>
              <w:rPr>
                <w:b/>
                <w:color w:themeColor="text1" w:val="000000"/>
                <w:sz w:val="22"/>
                <w:szCs w:val="22"/>
              </w:rPr>
              <w:t>п/п</w:t>
            </w:r>
          </w:p>
        </w:tc>
        <w:tc>
          <w:tcPr>
            <w:tcW w:w="226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tabs>
                <w:tab w:val="clear" w:pos="397"/>
                <w:tab w:val="left" w:pos="540" w:leader="none"/>
                <w:tab w:val="left" w:pos="720" w:leader="none"/>
              </w:tabs>
              <w:jc w:val="center"/>
              <w:rPr>
                <w:b/>
                <w:color w:themeColor="text1" w:val="000000"/>
                <w:sz w:val="22"/>
                <w:szCs w:val="22"/>
              </w:rPr>
            </w:pPr>
            <w:r>
              <w:rPr>
                <w:b/>
                <w:color w:themeColor="text1" w:val="000000"/>
                <w:sz w:val="22"/>
                <w:szCs w:val="22"/>
              </w:rPr>
              <w:t>Наименование объекта с/х назначения</w:t>
            </w:r>
          </w:p>
        </w:tc>
        <w:tc>
          <w:tcPr>
            <w:tcW w:w="2043"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tabs>
                <w:tab w:val="clear" w:pos="397"/>
                <w:tab w:val="left" w:pos="540" w:leader="none"/>
                <w:tab w:val="left" w:pos="720" w:leader="none"/>
              </w:tabs>
              <w:jc w:val="center"/>
              <w:rPr>
                <w:b/>
                <w:color w:themeColor="text1" w:val="000000"/>
                <w:sz w:val="22"/>
                <w:szCs w:val="22"/>
              </w:rPr>
            </w:pPr>
            <w:r>
              <w:rPr>
                <w:b/>
                <w:color w:themeColor="text1" w:val="000000"/>
                <w:sz w:val="22"/>
                <w:szCs w:val="22"/>
              </w:rPr>
              <w:t>Местоположение</w:t>
            </w:r>
          </w:p>
        </w:tc>
        <w:tc>
          <w:tcPr>
            <w:tcW w:w="187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tabs>
                <w:tab w:val="clear" w:pos="397"/>
                <w:tab w:val="left" w:pos="540" w:leader="none"/>
                <w:tab w:val="left" w:pos="720" w:leader="none"/>
              </w:tabs>
              <w:jc w:val="center"/>
              <w:rPr>
                <w:b/>
                <w:color w:themeColor="text1" w:val="000000"/>
                <w:sz w:val="22"/>
                <w:szCs w:val="22"/>
              </w:rPr>
            </w:pPr>
            <w:r>
              <w:rPr>
                <w:b/>
                <w:color w:themeColor="text1" w:val="000000"/>
                <w:sz w:val="22"/>
                <w:szCs w:val="22"/>
              </w:rPr>
              <w:t>Специализация (основной вид деятельности)</w:t>
            </w:r>
          </w:p>
        </w:tc>
        <w:tc>
          <w:tcPr>
            <w:tcW w:w="104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tabs>
                <w:tab w:val="clear" w:pos="397"/>
                <w:tab w:val="left" w:pos="540" w:leader="none"/>
                <w:tab w:val="left" w:pos="720" w:leader="none"/>
              </w:tabs>
              <w:jc w:val="center"/>
              <w:rPr>
                <w:b/>
                <w:color w:themeColor="text1" w:val="000000"/>
                <w:sz w:val="22"/>
                <w:szCs w:val="22"/>
              </w:rPr>
            </w:pPr>
            <w:r>
              <w:rPr>
                <w:b/>
                <w:color w:themeColor="text1" w:val="000000"/>
                <w:sz w:val="22"/>
                <w:szCs w:val="22"/>
              </w:rPr>
              <w:t>Поголовье на 01.01.2023, гол.</w:t>
            </w:r>
          </w:p>
        </w:tc>
        <w:tc>
          <w:tcPr>
            <w:tcW w:w="140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tabs>
                <w:tab w:val="clear" w:pos="397"/>
                <w:tab w:val="left" w:pos="540" w:leader="none"/>
                <w:tab w:val="left" w:pos="720" w:leader="none"/>
              </w:tabs>
              <w:jc w:val="center"/>
              <w:rPr>
                <w:b/>
                <w:color w:themeColor="text1" w:val="000000"/>
                <w:sz w:val="22"/>
                <w:szCs w:val="22"/>
              </w:rPr>
            </w:pPr>
            <w:r>
              <w:rPr>
                <w:b/>
                <w:color w:themeColor="text1" w:val="000000"/>
                <w:sz w:val="22"/>
                <w:szCs w:val="22"/>
              </w:rPr>
              <w:t>Наличие крупных складских комплексов</w:t>
            </w:r>
          </w:p>
        </w:tc>
        <w:tc>
          <w:tcPr>
            <w:tcW w:w="158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tabs>
                <w:tab w:val="clear" w:pos="397"/>
                <w:tab w:val="left" w:pos="540" w:leader="none"/>
                <w:tab w:val="left" w:pos="720" w:leader="none"/>
              </w:tabs>
              <w:jc w:val="center"/>
              <w:rPr>
                <w:b/>
                <w:color w:themeColor="text1" w:val="000000"/>
                <w:sz w:val="22"/>
                <w:szCs w:val="22"/>
              </w:rPr>
            </w:pPr>
            <w:r>
              <w:rPr>
                <w:b/>
                <w:color w:themeColor="text1" w:val="000000"/>
                <w:sz w:val="22"/>
                <w:szCs w:val="22"/>
              </w:rPr>
              <w:t>Численность работающих на 01.01.2023</w:t>
            </w:r>
          </w:p>
        </w:tc>
      </w:tr>
      <w:tr>
        <w:trPr>
          <w:trHeight w:val="791" w:hRule="atLeast"/>
          <w:cantSplit w:val="true"/>
        </w:trPr>
        <w:tc>
          <w:tcPr>
            <w:tcW w:w="56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w:t>
            </w:r>
          </w:p>
        </w:tc>
        <w:tc>
          <w:tcPr>
            <w:tcW w:w="22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АО «Совхоз «Росва»</w:t>
            </w:r>
          </w:p>
        </w:tc>
        <w:tc>
          <w:tcPr>
            <w:tcW w:w="2043"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п. Росва, д. Спас</w:t>
            </w:r>
          </w:p>
        </w:tc>
        <w:tc>
          <w:tcPr>
            <w:tcW w:w="1872"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Молочное скотоводство (производство молока)</w:t>
            </w:r>
          </w:p>
        </w:tc>
        <w:tc>
          <w:tcPr>
            <w:tcW w:w="1045"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КРС - 821</w:t>
            </w:r>
          </w:p>
        </w:tc>
        <w:tc>
          <w:tcPr>
            <w:tcW w:w="140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имеется</w:t>
            </w:r>
          </w:p>
        </w:tc>
        <w:tc>
          <w:tcPr>
            <w:tcW w:w="1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69</w:t>
            </w:r>
          </w:p>
        </w:tc>
      </w:tr>
      <w:tr>
        <w:trPr>
          <w:trHeight w:val="956" w:hRule="atLeast"/>
        </w:trPr>
        <w:tc>
          <w:tcPr>
            <w:tcW w:w="56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2</w:t>
            </w:r>
          </w:p>
        </w:tc>
        <w:tc>
          <w:tcPr>
            <w:tcW w:w="22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textAlignment w:val="center"/>
              <w:rPr>
                <w:color w:themeColor="text1" w:val="000000"/>
                <w:sz w:val="22"/>
                <w:szCs w:val="22"/>
              </w:rPr>
            </w:pPr>
            <w:r>
              <w:rPr>
                <w:color w:themeColor="text1" w:val="000000"/>
                <w:sz w:val="22"/>
                <w:szCs w:val="22"/>
              </w:rPr>
              <w:t>ООО «Козельские овощи»</w:t>
            </w:r>
          </w:p>
        </w:tc>
        <w:tc>
          <w:tcPr>
            <w:tcW w:w="2043"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textAlignment w:val="center"/>
              <w:rPr>
                <w:color w:themeColor="text1" w:val="000000"/>
                <w:sz w:val="22"/>
                <w:szCs w:val="22"/>
              </w:rPr>
            </w:pPr>
            <w:r>
              <w:rPr>
                <w:color w:themeColor="text1" w:val="000000"/>
                <w:sz w:val="22"/>
                <w:szCs w:val="22"/>
              </w:rPr>
              <w:t>Земельные участки вблизи д. Шопино,</w:t>
            </w:r>
          </w:p>
          <w:p>
            <w:pPr>
              <w:pStyle w:val="Normal"/>
              <w:widowControl w:val="false"/>
              <w:tabs>
                <w:tab w:val="clear" w:pos="397"/>
                <w:tab w:val="left" w:pos="540" w:leader="none"/>
                <w:tab w:val="left" w:pos="720" w:leader="none"/>
              </w:tabs>
              <w:jc w:val="center"/>
              <w:textAlignment w:val="center"/>
              <w:rPr>
                <w:color w:themeColor="text1" w:val="000000"/>
                <w:sz w:val="22"/>
                <w:szCs w:val="22"/>
              </w:rPr>
            </w:pPr>
            <w:r>
              <w:rPr>
                <w:color w:themeColor="text1" w:val="000000"/>
                <w:sz w:val="22"/>
                <w:szCs w:val="22"/>
              </w:rPr>
              <w:t>д. Шахты, д. Желыбино</w:t>
            </w:r>
          </w:p>
        </w:tc>
        <w:tc>
          <w:tcPr>
            <w:tcW w:w="1872"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Овощеводство</w:t>
            </w:r>
          </w:p>
        </w:tc>
        <w:tc>
          <w:tcPr>
            <w:tcW w:w="1045"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5</w:t>
            </w:r>
          </w:p>
        </w:tc>
      </w:tr>
      <w:tr>
        <w:trPr>
          <w:trHeight w:val="897"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3</w:t>
            </w:r>
          </w:p>
        </w:tc>
        <w:tc>
          <w:tcPr>
            <w:tcW w:w="2264" w:type="dxa"/>
            <w:tcBorders>
              <w:left w:val="single" w:sz="4" w:space="0" w:color="000000"/>
              <w:bottom w:val="single" w:sz="4" w:space="0" w:color="000000"/>
            </w:tcBorders>
            <w:shd w:color="auto" w:fill="auto" w:val="clear"/>
            <w:vAlign w:val="center"/>
          </w:tcPr>
          <w:p>
            <w:pPr>
              <w:pStyle w:val="Normal"/>
              <w:widowControl w:val="false"/>
              <w:spacing w:lineRule="auto" w:line="252"/>
              <w:jc w:val="center"/>
              <w:rPr>
                <w:color w:themeColor="text1" w:val="000000"/>
                <w:sz w:val="22"/>
                <w:szCs w:val="22"/>
              </w:rPr>
            </w:pPr>
            <w:r>
              <w:rPr>
                <w:color w:themeColor="text1" w:val="000000"/>
                <w:sz w:val="22"/>
                <w:szCs w:val="22"/>
              </w:rPr>
              <w:t>ОАО «Галантус»</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textAlignment w:val="center"/>
              <w:rPr>
                <w:color w:themeColor="text1" w:val="000000"/>
                <w:sz w:val="22"/>
                <w:szCs w:val="22"/>
              </w:rPr>
            </w:pPr>
            <w:r>
              <w:rPr>
                <w:color w:themeColor="text1" w:val="000000"/>
                <w:sz w:val="22"/>
                <w:szCs w:val="22"/>
              </w:rPr>
              <w:t>248010, г. Калуга, ул. Телевизионная д. 2а</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Растениеводство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имеется</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88</w:t>
            </w:r>
          </w:p>
        </w:tc>
      </w:tr>
      <w:tr>
        <w:trPr>
          <w:trHeight w:val="850"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4</w:t>
            </w:r>
          </w:p>
        </w:tc>
        <w:tc>
          <w:tcPr>
            <w:tcW w:w="2264" w:type="dxa"/>
            <w:tcBorders>
              <w:left w:val="single" w:sz="4" w:space="0" w:color="000000"/>
              <w:bottom w:val="single" w:sz="4" w:space="0" w:color="000000"/>
            </w:tcBorders>
            <w:shd w:color="auto" w:fill="auto" w:val="clear"/>
            <w:vAlign w:val="center"/>
          </w:tcPr>
          <w:p>
            <w:pPr>
              <w:pStyle w:val="Normal"/>
              <w:widowControl w:val="false"/>
              <w:spacing w:lineRule="auto" w:line="252"/>
              <w:jc w:val="center"/>
              <w:textAlignment w:val="center"/>
              <w:rPr>
                <w:color w:themeColor="text1" w:val="000000"/>
                <w:sz w:val="22"/>
                <w:szCs w:val="22"/>
              </w:rPr>
            </w:pPr>
            <w:r>
              <w:rPr>
                <w:color w:themeColor="text1" w:val="000000"/>
                <w:sz w:val="22"/>
                <w:szCs w:val="22"/>
              </w:rPr>
              <w:t xml:space="preserve">ИП </w:t>
            </w:r>
            <w:r>
              <w:rPr>
                <w:color w:themeColor="text1" w:val="000000"/>
                <w:sz w:val="22"/>
                <w:szCs w:val="22"/>
                <w:lang w:eastAsia="ru-RU"/>
              </w:rPr>
              <w:t>Митрофанов О.Г.</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pacing w:lineRule="auto" w:line="252"/>
              <w:jc w:val="center"/>
              <w:textAlignment w:val="center"/>
              <w:rPr>
                <w:color w:themeColor="text1" w:val="000000"/>
                <w:sz w:val="22"/>
                <w:szCs w:val="22"/>
              </w:rPr>
            </w:pPr>
            <w:r>
              <w:rPr>
                <w:color w:themeColor="text1" w:val="000000"/>
                <w:sz w:val="22"/>
                <w:szCs w:val="22"/>
              </w:rPr>
              <w:t>248033, г. Калуга, ул. Академическая</w:t>
            </w:r>
          </w:p>
          <w:p>
            <w:pPr>
              <w:pStyle w:val="Normal"/>
              <w:widowControl w:val="false"/>
              <w:tabs>
                <w:tab w:val="clear" w:pos="397"/>
                <w:tab w:val="left" w:pos="540" w:leader="none"/>
                <w:tab w:val="left" w:pos="720" w:leader="none"/>
              </w:tabs>
              <w:spacing w:lineRule="auto" w:line="252"/>
              <w:jc w:val="center"/>
              <w:textAlignment w:val="center"/>
              <w:rPr>
                <w:color w:themeColor="text1" w:val="000000"/>
                <w:sz w:val="22"/>
                <w:szCs w:val="22"/>
              </w:rPr>
            </w:pPr>
            <w:r>
              <w:rPr>
                <w:color w:themeColor="text1" w:val="000000"/>
                <w:sz w:val="22"/>
                <w:szCs w:val="22"/>
              </w:rPr>
              <w:t>д. 8</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Растениеводство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имеется</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37</w:t>
            </w:r>
          </w:p>
        </w:tc>
      </w:tr>
      <w:tr>
        <w:trPr>
          <w:trHeight w:val="912"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5</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ООО «Группа компаний РОСТ»</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Земельные участки вблизи д. Георгиевское, д.</w:t>
            </w:r>
            <w:r>
              <w:rPr>
                <w:color w:themeColor="text1" w:val="000000"/>
                <w:sz w:val="22"/>
                <w:szCs w:val="22"/>
                <w:lang w:val="en-US"/>
              </w:rPr>
              <w:t> </w:t>
            </w:r>
            <w:r>
              <w:rPr>
                <w:color w:themeColor="text1" w:val="000000"/>
                <w:sz w:val="22"/>
                <w:szCs w:val="22"/>
              </w:rPr>
              <w:t>Чижовка</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Растениеводство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2</w:t>
            </w:r>
          </w:p>
        </w:tc>
      </w:tr>
      <w:tr>
        <w:trPr>
          <w:trHeight w:val="853"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6</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ООО «Плодоовощное хозяйство - Монастырское подворье»</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д. Шопино, д. Рождественно</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с/х деятельность приостановлена</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имеется</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2</w:t>
            </w:r>
          </w:p>
        </w:tc>
      </w:tr>
      <w:tr>
        <w:trPr>
          <w:trHeight w:val="878" w:hRule="atLeast"/>
        </w:trPr>
        <w:tc>
          <w:tcPr>
            <w:tcW w:w="56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7</w:t>
            </w:r>
          </w:p>
        </w:tc>
        <w:tc>
          <w:tcPr>
            <w:tcW w:w="22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ООО «Григоровка»</w:t>
            </w:r>
          </w:p>
        </w:tc>
        <w:tc>
          <w:tcPr>
            <w:tcW w:w="2043"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д. Григоровка, д. Ильинка</w:t>
            </w:r>
          </w:p>
        </w:tc>
        <w:tc>
          <w:tcPr>
            <w:tcW w:w="1872"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с/х деятельность приостановлена</w:t>
            </w:r>
          </w:p>
        </w:tc>
        <w:tc>
          <w:tcPr>
            <w:tcW w:w="1045"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имеется</w:t>
            </w:r>
          </w:p>
        </w:tc>
        <w:tc>
          <w:tcPr>
            <w:tcW w:w="1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993"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8</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ИП Глава К(Ф)Х Тарасенков Виктор Григорьевич</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д. Ильинка</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Молочное скотоводство (производство молока)</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КРС - 453</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28</w:t>
            </w:r>
          </w:p>
        </w:tc>
      </w:tr>
      <w:tr>
        <w:trPr>
          <w:trHeight w:val="903"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9</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ИП Глава К(Ф)Х Рвачев Евгений Анатольевич</w:t>
            </w:r>
          </w:p>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д.</w:t>
            </w:r>
            <w:r>
              <w:rPr>
                <w:color w:themeColor="text1" w:val="000000"/>
                <w:sz w:val="22"/>
                <w:szCs w:val="22"/>
                <w:lang w:val="en-US"/>
              </w:rPr>
              <w:t> </w:t>
            </w:r>
            <w:r>
              <w:rPr>
                <w:color w:themeColor="text1" w:val="000000"/>
                <w:sz w:val="22"/>
                <w:szCs w:val="22"/>
              </w:rPr>
              <w:t>Нижняя Вырка</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Разведение МРС</w:t>
            </w:r>
          </w:p>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(овцеводство)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Овцы - 612</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731"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10</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ИП Глава К(Ф)Х Кузминьчук Николай Александрович</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д. Матюнино</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Смешанное сельское хозяйство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Птица - 27</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672"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11</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ИП Глава К(Ф)Х Козьминых Юлия Александровна</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д.</w:t>
            </w:r>
            <w:r>
              <w:rPr>
                <w:color w:themeColor="text1" w:val="000000"/>
                <w:sz w:val="22"/>
                <w:szCs w:val="22"/>
                <w:lang w:val="en-US"/>
              </w:rPr>
              <w:t> </w:t>
            </w:r>
            <w:r>
              <w:rPr>
                <w:color w:themeColor="text1" w:val="000000"/>
                <w:sz w:val="22"/>
                <w:szCs w:val="22"/>
              </w:rPr>
              <w:t>Григоровка</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Козоводство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Козы - 50</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928"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12</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ИП Глава К(Ф)Х Борисовский Виктор Васильевич</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ул.</w:t>
            </w:r>
            <w:r>
              <w:rPr>
                <w:color w:themeColor="text1" w:val="000000"/>
                <w:sz w:val="22"/>
                <w:szCs w:val="22"/>
                <w:lang w:val="en-US"/>
              </w:rPr>
              <w:t> </w:t>
            </w:r>
            <w:r>
              <w:rPr>
                <w:color w:themeColor="text1" w:val="000000"/>
                <w:sz w:val="22"/>
                <w:szCs w:val="22"/>
              </w:rPr>
              <w:t>Гвардейская Октябрьский округ</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Овощеводство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Свиньи- 1</w:t>
            </w:r>
          </w:p>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Птица - 15</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787"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13</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ИП Глава К(Ф)Х Халилзаде Джават Адиль оглы</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д. Марьино</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Мясное скотоводство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КРС - 10</w:t>
            </w:r>
          </w:p>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Овцы - 160</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1265"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14</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ИП К(Ф)Х Ефременко Александр Васильевич</w:t>
            </w:r>
          </w:p>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«Казачий луг»</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п. Анненки (ул. Беговая, д.7, д.9, д.11)</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Кролиководство, растениеводство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Кроли-ки - 50</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956"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15</w:t>
            </w:r>
          </w:p>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ИП Глава К(Ф)Х Ивасюк Николай Михайлович</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п. Анненки</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Растениеводство (производство посадочного материала - саженцы)</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1265" w:hRule="atLeast"/>
        </w:trPr>
        <w:tc>
          <w:tcPr>
            <w:tcW w:w="56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16</w:t>
            </w:r>
          </w:p>
        </w:tc>
        <w:tc>
          <w:tcPr>
            <w:tcW w:w="2264"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ИП Глава К(Ф)Х Салата Дмитрий Вячеславович</w:t>
            </w:r>
          </w:p>
        </w:tc>
        <w:tc>
          <w:tcPr>
            <w:tcW w:w="2043"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д. Матюнино</w:t>
            </w:r>
          </w:p>
        </w:tc>
        <w:tc>
          <w:tcPr>
            <w:tcW w:w="1872"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с/х деятельность приостановлена</w:t>
            </w:r>
          </w:p>
        </w:tc>
        <w:tc>
          <w:tcPr>
            <w:tcW w:w="1045"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r>
        <w:trPr>
          <w:trHeight w:val="1265" w:hRule="atLeast"/>
        </w:trPr>
        <w:tc>
          <w:tcPr>
            <w:tcW w:w="56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17</w:t>
            </w:r>
          </w:p>
        </w:tc>
        <w:tc>
          <w:tcPr>
            <w:tcW w:w="2264"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ind w:hanging="0" w:right="-113"/>
              <w:jc w:val="center"/>
              <w:rPr>
                <w:color w:themeColor="text1" w:val="000000"/>
                <w:sz w:val="22"/>
                <w:szCs w:val="22"/>
              </w:rPr>
            </w:pPr>
            <w:r>
              <w:rPr>
                <w:color w:themeColor="text1" w:val="000000"/>
                <w:sz w:val="22"/>
                <w:szCs w:val="22"/>
              </w:rPr>
              <w:t>ИП Мухамедьярова-Алексанрова Надежда Михайловна</w:t>
            </w:r>
          </w:p>
        </w:tc>
        <w:tc>
          <w:tcPr>
            <w:tcW w:w="2043"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п. Шопино</w:t>
            </w:r>
          </w:p>
        </w:tc>
        <w:tc>
          <w:tcPr>
            <w:tcW w:w="1872"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Растениеводство</w:t>
            </w:r>
          </w:p>
        </w:tc>
        <w:tc>
          <w:tcPr>
            <w:tcW w:w="1045"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w:t>
            </w:r>
          </w:p>
        </w:tc>
        <w:tc>
          <w:tcPr>
            <w:tcW w:w="1407" w:type="dxa"/>
            <w:tcBorders>
              <w:left w:val="single" w:sz="4" w:space="0" w:color="000000"/>
              <w:bottom w:val="single" w:sz="4" w:space="0" w:color="000000"/>
            </w:tcBorders>
            <w:shd w:color="auto" w:fill="auto" w:val="clear"/>
            <w:vAlign w:val="center"/>
          </w:tcPr>
          <w:p>
            <w:pPr>
              <w:pStyle w:val="Normal"/>
              <w:widowControl w:val="false"/>
              <w:tabs>
                <w:tab w:val="clear" w:pos="397"/>
                <w:tab w:val="left" w:pos="540" w:leader="none"/>
                <w:tab w:val="left" w:pos="720" w:leader="none"/>
              </w:tabs>
              <w:jc w:val="center"/>
              <w:rPr>
                <w:color w:themeColor="text1" w:val="000000"/>
                <w:sz w:val="22"/>
                <w:szCs w:val="22"/>
              </w:rPr>
            </w:pPr>
            <w:r>
              <w:rPr>
                <w:color w:themeColor="text1" w:val="000000"/>
                <w:sz w:val="22"/>
                <w:szCs w:val="22"/>
              </w:rPr>
              <w:t>-</w:t>
            </w:r>
          </w:p>
        </w:tc>
        <w:tc>
          <w:tcPr>
            <w:tcW w:w="1582" w:type="dxa"/>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397"/>
                <w:tab w:val="left" w:pos="540" w:leader="none"/>
                <w:tab w:val="left" w:pos="720" w:leader="none"/>
              </w:tabs>
              <w:snapToGrid w:val="false"/>
              <w:jc w:val="center"/>
              <w:rPr>
                <w:color w:themeColor="text1" w:val="000000"/>
                <w:sz w:val="22"/>
                <w:szCs w:val="22"/>
              </w:rPr>
            </w:pPr>
            <w:r>
              <w:rPr>
                <w:color w:themeColor="text1" w:val="000000"/>
                <w:sz w:val="22"/>
                <w:szCs w:val="22"/>
              </w:rPr>
              <w:t>1</w:t>
            </w:r>
          </w:p>
        </w:tc>
      </w:tr>
    </w:tbl>
    <w:p>
      <w:pPr>
        <w:pStyle w:val="Normal"/>
        <w:jc w:val="center"/>
        <w:rPr>
          <w:b/>
          <w:bCs/>
          <w:color w:themeColor="text1" w:val="000000"/>
        </w:rPr>
      </w:pPr>
      <w:r>
        <w:rPr>
          <w:b/>
          <w:bCs/>
          <w:color w:themeColor="text1" w:val="000000"/>
        </w:rPr>
      </w:r>
    </w:p>
    <w:p>
      <w:pPr>
        <w:pStyle w:val="Normal"/>
        <w:ind w:firstLine="709"/>
        <w:jc w:val="right"/>
        <w:rPr>
          <w:color w:themeColor="text1" w:val="000000"/>
        </w:rPr>
      </w:pPr>
      <w:r>
        <w:rPr>
          <w:color w:themeColor="text1" w:val="000000"/>
        </w:rPr>
        <w:t>Таблица 5.2.9.</w:t>
      </w:r>
    </w:p>
    <w:p>
      <w:pPr>
        <w:pStyle w:val="Normal"/>
        <w:ind w:firstLine="709"/>
        <w:jc w:val="center"/>
        <w:rPr>
          <w:color w:themeColor="text1" w:val="000000"/>
        </w:rPr>
      </w:pPr>
      <w:r>
        <w:rPr>
          <w:color w:themeColor="text1" w:val="000000"/>
        </w:rPr>
        <w:t>Предприятия переработки сельхозпродукции и пищевой промышленности</w:t>
      </w:r>
    </w:p>
    <w:p>
      <w:pPr>
        <w:pStyle w:val="Normal"/>
        <w:ind w:firstLine="709"/>
        <w:jc w:val="center"/>
        <w:rPr>
          <w:color w:themeColor="text1" w:val="000000"/>
        </w:rPr>
      </w:pPr>
      <w:r>
        <w:rPr>
          <w:color w:themeColor="text1" w:val="000000"/>
        </w:rPr>
        <w:t>на территории городского округа</w:t>
      </w:r>
    </w:p>
    <w:tbl>
      <w:tblPr>
        <w:tblW w:w="10015" w:type="dxa"/>
        <w:jc w:val="left"/>
        <w:tblInd w:w="93" w:type="dxa"/>
        <w:tblLayout w:type="fixed"/>
        <w:tblCellMar>
          <w:top w:w="0" w:type="dxa"/>
          <w:left w:w="108" w:type="dxa"/>
          <w:bottom w:w="0" w:type="dxa"/>
          <w:right w:w="108" w:type="dxa"/>
        </w:tblCellMar>
        <w:tblLook w:firstRow="0" w:noVBand="0" w:lastRow="0" w:firstColumn="0" w:lastColumn="0" w:noHBand="0" w:val="0000"/>
      </w:tblPr>
      <w:tblGrid>
        <w:gridCol w:w="554"/>
        <w:gridCol w:w="3958"/>
        <w:gridCol w:w="5503"/>
      </w:tblGrid>
      <w:tr>
        <w:trPr>
          <w:tblHeader w:val="true"/>
          <w:trHeight w:val="401" w:hRule="atLeast"/>
        </w:trPr>
        <w:tc>
          <w:tcPr>
            <w:tcW w:w="55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 xml:space="preserve">№ </w:t>
            </w:r>
            <w:r>
              <w:rPr>
                <w:b/>
                <w:color w:themeColor="text1" w:val="000000"/>
                <w:sz w:val="22"/>
                <w:szCs w:val="22"/>
              </w:rPr>
              <w:t>п/п</w:t>
            </w:r>
          </w:p>
        </w:tc>
        <w:tc>
          <w:tcPr>
            <w:tcW w:w="395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550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r>
      <w:tr>
        <w:trPr>
          <w:trHeight w:val="384"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ЗАО «Хлебокомбинат»</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 Калуга, ул. Карла Либкнехта, д. 25</w:t>
            </w:r>
          </w:p>
        </w:tc>
      </w:tr>
      <w:tr>
        <w:trPr>
          <w:trHeight w:val="288"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«Хлебозавод № 1»</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248007, г. Калуга, пер. Сельский, д.8а</w:t>
            </w:r>
          </w:p>
        </w:tc>
      </w:tr>
      <w:tr>
        <w:trPr>
          <w:trHeight w:val="287"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«Клеева»</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 Калуга, ул. Московская, д. 247</w:t>
            </w:r>
          </w:p>
        </w:tc>
      </w:tr>
      <w:tr>
        <w:trPr>
          <w:trHeight w:val="163"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«Покровский хлеб»</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Академика Королева, 12/32</w:t>
            </w:r>
          </w:p>
        </w:tc>
      </w:tr>
      <w:tr>
        <w:trPr>
          <w:trHeight w:val="300"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«СМС»</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248009, г. Калуга, Грабцевское шоссе, д. 22а</w:t>
            </w:r>
          </w:p>
        </w:tc>
      </w:tr>
      <w:tr>
        <w:trPr>
          <w:trHeight w:val="112"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АО «Биотехнологический комплекс-Росва»</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248903, Калужская область, Куровское ОПС Дзержинского почтамта, а/я 6</w:t>
            </w:r>
          </w:p>
        </w:tc>
      </w:tr>
      <w:tr>
        <w:trPr>
          <w:trHeight w:val="222"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ИП Постников С.В.</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 Калуга, проезд Советский, д. 5</w:t>
            </w:r>
          </w:p>
        </w:tc>
      </w:tr>
      <w:tr>
        <w:trPr>
          <w:trHeight w:val="506"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ИП Тарасов Д.А. торговая марка «КФХ Тоноян»</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 Калуга, ул. Дальняя, 19</w:t>
            </w:r>
          </w:p>
        </w:tc>
      </w:tr>
      <w:tr>
        <w:trPr>
          <w:trHeight w:val="293"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«1МК»</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пос. Малинники, Новослободский проезд, д.14, помещ.16</w:t>
            </w:r>
          </w:p>
        </w:tc>
      </w:tr>
      <w:tr>
        <w:trPr>
          <w:trHeight w:val="506"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ИП Осипов Алексей Викторович</w:t>
            </w:r>
          </w:p>
          <w:p>
            <w:pPr>
              <w:pStyle w:val="Normal"/>
              <w:widowControl w:val="false"/>
              <w:rPr>
                <w:color w:themeColor="text1" w:val="000000"/>
                <w:sz w:val="22"/>
                <w:szCs w:val="22"/>
              </w:rPr>
            </w:pPr>
            <w:r>
              <w:rPr>
                <w:color w:themeColor="text1" w:val="000000"/>
                <w:sz w:val="22"/>
                <w:szCs w:val="22"/>
              </w:rPr>
              <w:t>(магазины «Ферма»)</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rFonts w:eastAsia="SimSun"/>
                <w:color w:themeColor="text1" w:val="000000"/>
                <w:sz w:val="22"/>
                <w:szCs w:val="22"/>
              </w:rPr>
              <w:t>248033, г. Калуга, ул. Ромодановские Дворики, д.67</w:t>
            </w:r>
          </w:p>
        </w:tc>
      </w:tr>
      <w:tr>
        <w:trPr>
          <w:trHeight w:val="506"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«Пинго»</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 Калуга, ул. Азаровская, д. 21</w:t>
            </w:r>
          </w:p>
        </w:tc>
      </w:tr>
      <w:tr>
        <w:trPr>
          <w:trHeight w:val="506"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«И-Продакт»</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rFonts w:eastAsia="SimSun"/>
                <w:color w:themeColor="text1" w:val="000000"/>
                <w:sz w:val="22"/>
                <w:szCs w:val="22"/>
              </w:rPr>
              <w:t>248025, г. Калуга, Новослободский пр-д, д. 14,</w:t>
            </w:r>
          </w:p>
          <w:p>
            <w:pPr>
              <w:pStyle w:val="Normal"/>
              <w:widowControl w:val="false"/>
              <w:rPr/>
            </w:pPr>
            <w:r>
              <w:rPr>
                <w:rFonts w:eastAsia="SimSun"/>
                <w:color w:themeColor="text1" w:val="000000"/>
                <w:sz w:val="22"/>
                <w:szCs w:val="22"/>
              </w:rPr>
              <w:t>помещ. 8 строение 1</w:t>
            </w:r>
          </w:p>
        </w:tc>
      </w:tr>
      <w:tr>
        <w:trPr>
          <w:trHeight w:val="339"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«Мясной дом»</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rFonts w:eastAsia="SimSun"/>
                <w:color w:themeColor="text1" w:val="000000"/>
                <w:sz w:val="22"/>
                <w:szCs w:val="22"/>
              </w:rPr>
              <w:t>248010, г. Калуга, ул. Комсомольская роща, д. 39а</w:t>
            </w:r>
          </w:p>
        </w:tc>
      </w:tr>
      <w:tr>
        <w:trPr>
          <w:trHeight w:val="385"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ИП Лагидзе Роланд Давидович</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 Калуга, ул. Пухова, д.17</w:t>
            </w:r>
          </w:p>
        </w:tc>
      </w:tr>
      <w:tr>
        <w:trPr>
          <w:trHeight w:val="352"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ИП Шейн Елена Александровна</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248003, г. Калуга, ул. 2-я Киевка, д. 15</w:t>
            </w:r>
          </w:p>
        </w:tc>
      </w:tr>
      <w:tr>
        <w:trPr>
          <w:trHeight w:val="506" w:hRule="atLeast"/>
        </w:trPr>
        <w:tc>
          <w:tcPr>
            <w:tcW w:w="554"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395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Обособленное подразделение в Калуге ООО «Универсал Трейдинг Балтика»</w:t>
            </w:r>
          </w:p>
        </w:tc>
        <w:tc>
          <w:tcPr>
            <w:tcW w:w="55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 Калуга, Новослободский пр-д, д.14</w:t>
            </w:r>
          </w:p>
        </w:tc>
      </w:tr>
      <w:tr>
        <w:trPr>
          <w:trHeight w:val="222"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«ПК Натуральные Технологии»</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 Калуга, ул.Московская, д. 290</w:t>
            </w:r>
          </w:p>
        </w:tc>
      </w:tr>
      <w:tr>
        <w:trPr>
          <w:trHeight w:val="234"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ИП Семешкина Анжелика Игнатьевна</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 Калуга, пер. Городенский</w:t>
            </w:r>
          </w:p>
        </w:tc>
      </w:tr>
      <w:tr>
        <w:trPr>
          <w:trHeight w:val="258"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КРПЗ «Морепродукты»</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 Калуга, ул. Московская, д. 290</w:t>
            </w:r>
          </w:p>
        </w:tc>
      </w:tr>
      <w:tr>
        <w:trPr>
          <w:trHeight w:val="220"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«Булгарконсерв»</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248921, г. Калуга, тер. Промзона Шопино, зд. 2</w:t>
            </w:r>
          </w:p>
        </w:tc>
      </w:tr>
      <w:tr>
        <w:trPr>
          <w:trHeight w:val="506"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«Производственная компания «Яблочко»</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 Калуга, д. Канищево, ул. Новая, 2г</w:t>
            </w:r>
          </w:p>
        </w:tc>
      </w:tr>
      <w:tr>
        <w:trPr>
          <w:trHeight w:val="129"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rFonts w:eastAsia="SimSun"/>
                <w:color w:themeColor="text1" w:val="000000"/>
                <w:sz w:val="22"/>
                <w:szCs w:val="22"/>
              </w:rPr>
              <w:t>АО «АБ ИнБев Эфес» в г. Калуге</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 Калуга, Грабцевское шоссе, д. 71</w:t>
            </w:r>
          </w:p>
        </w:tc>
      </w:tr>
      <w:tr>
        <w:trPr>
          <w:trHeight w:val="253"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rFonts w:eastAsia="SimSun"/>
                <w:color w:themeColor="text1" w:val="000000"/>
                <w:sz w:val="22"/>
                <w:szCs w:val="22"/>
              </w:rPr>
              <w:t>ООО «ПК Фишер»</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rFonts w:eastAsia="SimSun"/>
                <w:color w:themeColor="text1" w:val="000000"/>
                <w:sz w:val="22"/>
                <w:szCs w:val="22"/>
              </w:rPr>
              <w:t>248030, г. Калуга, ул. Труда, д. 33</w:t>
            </w:r>
          </w:p>
        </w:tc>
      </w:tr>
      <w:tr>
        <w:trPr>
          <w:trHeight w:val="215"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«Леамон»</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 Калуга, ул. Светлая, д. 30</w:t>
            </w:r>
          </w:p>
        </w:tc>
      </w:tr>
      <w:tr>
        <w:trPr>
          <w:trHeight w:val="240" w:hRule="atLeast"/>
        </w:trPr>
        <w:tc>
          <w:tcPr>
            <w:tcW w:w="554" w:type="dxa"/>
            <w:tcBorders>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3958" w:type="dxa"/>
            <w:tcBorders>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rFonts w:eastAsia="SimSun"/>
                <w:color w:themeColor="text1" w:val="000000"/>
                <w:sz w:val="22"/>
                <w:szCs w:val="22"/>
              </w:rPr>
              <w:t>ООО «Планета-Агро»</w:t>
            </w:r>
          </w:p>
        </w:tc>
        <w:tc>
          <w:tcPr>
            <w:tcW w:w="5503"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rFonts w:eastAsia="SimSun"/>
                <w:color w:themeColor="text1" w:val="000000"/>
                <w:sz w:val="22"/>
                <w:szCs w:val="22"/>
              </w:rPr>
              <w:t>248025, г. Калуга, Новослободский проезд, д.14, помещ.13</w:t>
            </w:r>
          </w:p>
        </w:tc>
      </w:tr>
    </w:tbl>
    <w:p>
      <w:pPr>
        <w:pStyle w:val="Normal"/>
        <w:spacing w:before="60" w:after="60"/>
        <w:ind w:firstLine="709"/>
        <w:jc w:val="both"/>
        <w:rPr>
          <w:b/>
          <w:bCs/>
          <w:color w:themeColor="text1" w:val="000000"/>
        </w:rPr>
      </w:pPr>
      <w:r>
        <w:rPr>
          <w:b/>
          <w:bCs/>
          <w:color w:themeColor="text1" w:val="000000"/>
        </w:rPr>
        <w:t>Садоводческие товарищества</w:t>
      </w:r>
    </w:p>
    <w:p>
      <w:pPr>
        <w:pStyle w:val="Normal"/>
        <w:ind w:firstLine="709"/>
        <w:jc w:val="both"/>
        <w:rPr>
          <w:color w:themeColor="text1" w:val="000000"/>
        </w:rPr>
      </w:pPr>
      <w:r>
        <w:rPr>
          <w:color w:themeColor="text1" w:val="000000"/>
        </w:rPr>
        <w:t>Садовые товарищества городского округа насчитывают 200 садовых некоммерческих объединений граждан, на территории которых расположено 29 120 земельных участков. Полный список садоводческих товариществ в границах городского округа представлен в приложении 9.</w:t>
      </w:r>
    </w:p>
    <w:p>
      <w:pPr>
        <w:pStyle w:val="Normal"/>
        <w:spacing w:before="60" w:after="60"/>
        <w:ind w:firstLine="709"/>
        <w:jc w:val="both"/>
        <w:rPr>
          <w:b/>
          <w:bCs/>
          <w:color w:themeColor="text1" w:val="000000"/>
        </w:rPr>
      </w:pPr>
      <w:r>
        <w:rPr>
          <w:b/>
          <w:bCs/>
          <w:color w:themeColor="text1" w:val="000000"/>
        </w:rPr>
        <w:t>Туризм и рекреация</w:t>
      </w:r>
    </w:p>
    <w:p>
      <w:pPr>
        <w:pStyle w:val="Normal"/>
        <w:ind w:firstLine="709"/>
        <w:jc w:val="both"/>
        <w:rPr>
          <w:color w:themeColor="text1" w:val="000000"/>
        </w:rPr>
      </w:pPr>
      <w:r>
        <w:rPr>
          <w:color w:themeColor="text1" w:val="000000"/>
        </w:rPr>
        <w:t>Туризм является одной из наиболее доходных отраслей экономики, обладающей высоким стимулирующим воздействием на развитие других отраслей экономики, малого и среднего бизнеса, способствует инновационному развитию.</w:t>
      </w:r>
    </w:p>
    <w:p>
      <w:pPr>
        <w:pStyle w:val="Normal"/>
        <w:ind w:firstLine="709"/>
        <w:jc w:val="both"/>
        <w:rPr>
          <w:color w:themeColor="text1" w:val="000000"/>
        </w:rPr>
      </w:pPr>
      <w:r>
        <w:rPr>
          <w:color w:themeColor="text1" w:val="000000"/>
        </w:rPr>
        <w:t>В Стратегии социально-экономического развития Калужской области до 2040 года отмечено, что одним из потенциалов развития Калужской области как «региона нового развития» является туризм. Обладая богатой историей, многовековыми традициями и живописными природными ландшафтами, область имеет возможности развития туризма различных форм: от делового, культурно-познавательного, религиозного до агротуризма и спортивного туризма с активными формами отдыха. Предопределяющими факторами успешного развития туризма в Калужской области являются близость города Москвы, генерирующей мощный поток туристов, и наличие инновационных ядер, способных обеспечить конкурентоспособность туристско-рекреационного направления и его динамичное развитие.</w:t>
      </w:r>
    </w:p>
    <w:p>
      <w:pPr>
        <w:pStyle w:val="Normal"/>
        <w:ind w:firstLine="709"/>
        <w:jc w:val="both"/>
        <w:rPr>
          <w:color w:themeColor="text1" w:val="000000"/>
        </w:rPr>
      </w:pPr>
      <w:r>
        <w:rPr>
          <w:color w:themeColor="text1" w:val="000000"/>
        </w:rPr>
        <w:t>Основными достопримечательностями Калуги являются:</w:t>
      </w:r>
    </w:p>
    <w:p>
      <w:pPr>
        <w:pStyle w:val="Normal"/>
        <w:ind w:firstLine="709"/>
        <w:jc w:val="both"/>
        <w:rPr>
          <w:color w:themeColor="text1" w:val="000000"/>
        </w:rPr>
      </w:pPr>
      <w:r>
        <w:rPr>
          <w:color w:themeColor="text1" w:val="000000"/>
        </w:rPr>
        <w:t>- Архитектурные и исторические памятники Калуги: Гостиный двор, Свято-Георгиевский собор, Церковь Покрова Пресвятой Богородицы «что на рву», дом Билибина (дом Шамиля), Каменный мост, Присутственные места, усадьбы, особняки и многие другие объекты;</w:t>
      </w:r>
    </w:p>
    <w:p>
      <w:pPr>
        <w:pStyle w:val="Normal"/>
        <w:ind w:firstLine="709"/>
        <w:jc w:val="both"/>
        <w:rPr>
          <w:color w:themeColor="text1" w:val="000000"/>
        </w:rPr>
      </w:pPr>
      <w:r>
        <w:rPr>
          <w:color w:themeColor="text1" w:val="000000"/>
        </w:rPr>
        <w:t>- Музей космонавтики и места в г. Калуге, связанные с жизнью и деятельностью К.Э. Циолковского;</w:t>
      </w:r>
    </w:p>
    <w:p>
      <w:pPr>
        <w:pStyle w:val="Normal"/>
        <w:ind w:firstLine="709"/>
        <w:jc w:val="both"/>
        <w:rPr>
          <w:color w:themeColor="text1" w:val="000000"/>
        </w:rPr>
      </w:pPr>
      <w:r>
        <w:rPr>
          <w:color w:themeColor="text1" w:val="000000"/>
        </w:rPr>
        <w:t>- Калужский областной краеведческий музей;</w:t>
      </w:r>
    </w:p>
    <w:p>
      <w:pPr>
        <w:pStyle w:val="Normal"/>
        <w:ind w:firstLine="709"/>
        <w:jc w:val="both"/>
        <w:rPr>
          <w:color w:themeColor="text1" w:val="000000"/>
        </w:rPr>
      </w:pPr>
      <w:r>
        <w:rPr>
          <w:color w:themeColor="text1" w:val="000000"/>
        </w:rPr>
        <w:t>- Калужский областной драматический театр;</w:t>
      </w:r>
    </w:p>
    <w:p>
      <w:pPr>
        <w:pStyle w:val="Normal"/>
        <w:ind w:firstLine="709"/>
        <w:jc w:val="both"/>
        <w:rPr>
          <w:color w:themeColor="text1" w:val="000000"/>
        </w:rPr>
      </w:pPr>
      <w:r>
        <w:rPr>
          <w:color w:themeColor="text1" w:val="000000"/>
        </w:rPr>
        <w:t>- Археологические памятники Калуги и окрестностей (городища, селища);</w:t>
      </w:r>
    </w:p>
    <w:p>
      <w:pPr>
        <w:pStyle w:val="Normal"/>
        <w:ind w:firstLine="709"/>
        <w:jc w:val="both"/>
        <w:rPr>
          <w:color w:themeColor="text1" w:val="000000"/>
        </w:rPr>
      </w:pPr>
      <w:r>
        <w:rPr>
          <w:color w:themeColor="text1" w:val="000000"/>
        </w:rPr>
        <w:t>- Калужский бор.</w:t>
      </w:r>
    </w:p>
    <w:p>
      <w:pPr>
        <w:pStyle w:val="Normal"/>
        <w:ind w:firstLine="709"/>
        <w:jc w:val="both"/>
        <w:rPr>
          <w:color w:themeColor="text1" w:val="000000"/>
        </w:rPr>
      </w:pPr>
      <w:r>
        <w:rPr>
          <w:color w:themeColor="text1" w:val="000000"/>
        </w:rPr>
        <w:t>Калуга характеризуется выгодным транспортно-географическим положением, обладает развитыми транспортными связями со столичным регионом, центральными регионами, северо-западными и южными регионами Российской Федерации. В непосредственной близости проходит федеральная автомобильная дорога М-3 «Украина», а также магистральная железная дорога Москва-Калуга-Брянск-Суземка, делающие город доступным для жителей столичного региона и туристов из всех регионов страны.</w:t>
      </w:r>
    </w:p>
    <w:p>
      <w:pPr>
        <w:pStyle w:val="Normal"/>
        <w:ind w:firstLine="709"/>
        <w:jc w:val="both"/>
        <w:rPr/>
      </w:pPr>
      <w:r>
        <w:rPr>
          <w:color w:themeColor="text1" w:val="000000"/>
        </w:rPr>
        <w:t>Объем туристского потока городского округа составил 905,392 тыс. человек. Объем туристского потока в Калужской области, включая экскурсантов по итогам 2022 г. составил порядка 3,3 млн человек.</w:t>
      </w:r>
    </w:p>
    <w:p>
      <w:pPr>
        <w:pStyle w:val="Normal"/>
        <w:ind w:firstLine="709"/>
        <w:jc w:val="both"/>
        <w:rPr>
          <w:color w:themeColor="text1" w:val="000000"/>
        </w:rPr>
      </w:pPr>
      <w:r>
        <w:rPr>
          <w:color w:themeColor="text1" w:val="000000"/>
        </w:rPr>
      </w:r>
    </w:p>
    <w:p>
      <w:pPr>
        <w:pStyle w:val="Normal"/>
        <w:ind w:firstLine="709"/>
        <w:jc w:val="right"/>
        <w:rPr>
          <w:color w:themeColor="text1" w:val="000000"/>
        </w:rPr>
      </w:pPr>
      <w:r>
        <w:rPr>
          <w:color w:themeColor="text1" w:val="000000"/>
        </w:rPr>
        <w:t>Таблица 5.2.10.</w:t>
      </w:r>
    </w:p>
    <w:p>
      <w:pPr>
        <w:pStyle w:val="Normal"/>
        <w:ind w:firstLine="709"/>
        <w:jc w:val="center"/>
        <w:rPr>
          <w:color w:themeColor="text1" w:val="000000"/>
        </w:rPr>
      </w:pPr>
      <w:r>
        <w:rPr>
          <w:color w:themeColor="text1" w:val="000000"/>
        </w:rPr>
        <w:t>Среднегодовые туристские потоки в динамике за последние 6 лет, человек</w:t>
      </w:r>
    </w:p>
    <w:tbl>
      <w:tblPr>
        <w:tblW w:w="937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564"/>
        <w:gridCol w:w="1561"/>
        <w:gridCol w:w="1563"/>
        <w:gridCol w:w="1563"/>
        <w:gridCol w:w="1560"/>
        <w:gridCol w:w="1566"/>
      </w:tblGrid>
      <w:tr>
        <w:trPr>
          <w:trHeight w:val="448" w:hRule="atLeast"/>
        </w:trPr>
        <w:tc>
          <w:tcPr>
            <w:tcW w:w="156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2017</w:t>
            </w:r>
          </w:p>
        </w:tc>
        <w:tc>
          <w:tcPr>
            <w:tcW w:w="156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2018</w:t>
            </w:r>
          </w:p>
        </w:tc>
        <w:tc>
          <w:tcPr>
            <w:tcW w:w="156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2019</w:t>
            </w:r>
          </w:p>
        </w:tc>
        <w:tc>
          <w:tcPr>
            <w:tcW w:w="156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2020</w:t>
            </w:r>
          </w:p>
        </w:tc>
        <w:tc>
          <w:tcPr>
            <w:tcW w:w="156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2021</w:t>
            </w:r>
          </w:p>
        </w:tc>
        <w:tc>
          <w:tcPr>
            <w:tcW w:w="156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2022</w:t>
            </w:r>
          </w:p>
        </w:tc>
      </w:tr>
      <w:tr>
        <w:trPr/>
        <w:tc>
          <w:tcPr>
            <w:tcW w:w="156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555 389</w:t>
            </w:r>
          </w:p>
        </w:tc>
        <w:tc>
          <w:tcPr>
            <w:tcW w:w="1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573 252</w:t>
            </w:r>
          </w:p>
        </w:tc>
        <w:tc>
          <w:tcPr>
            <w:tcW w:w="15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595 415</w:t>
            </w:r>
          </w:p>
        </w:tc>
        <w:tc>
          <w:tcPr>
            <w:tcW w:w="15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297 765</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776 578</w:t>
            </w:r>
          </w:p>
        </w:tc>
        <w:tc>
          <w:tcPr>
            <w:tcW w:w="15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905 392</w:t>
            </w:r>
          </w:p>
        </w:tc>
      </w:tr>
    </w:tbl>
    <w:p>
      <w:pPr>
        <w:pStyle w:val="Normal"/>
        <w:ind w:firstLine="709"/>
        <w:jc w:val="both"/>
        <w:rPr>
          <w:color w:themeColor="text1" w:val="000000"/>
        </w:rPr>
      </w:pPr>
      <w:r>
        <w:rPr>
          <w:color w:themeColor="text1" w:val="000000"/>
        </w:rPr>
        <w:t>Устойчивый рост туристско-экскурсионного потока связан с активизацией работы по развитию туристского потенциала Калужской области, реализацией знаковых проектов в сфере гостеприимства, формированием новых брендов и увеличением количества знаковых событий и мероприятий в туристском календаре. Несмотря на ряд позитивных изменений в индустрии туризма за последние годы, туристский потенциал региона в целом и г. Калуги в частности используется недостаточно.</w:t>
      </w:r>
    </w:p>
    <w:p>
      <w:pPr>
        <w:pStyle w:val="Normal"/>
        <w:ind w:firstLine="709"/>
        <w:jc w:val="both"/>
        <w:rPr>
          <w:color w:themeColor="text1" w:val="000000"/>
        </w:rPr>
      </w:pPr>
      <w:r>
        <w:rPr>
          <w:color w:themeColor="text1" w:val="000000"/>
        </w:rPr>
        <w:t>Наиболее популярными и перспективными в Калужской области являются следующие направления туризма:</w:t>
      </w:r>
    </w:p>
    <w:p>
      <w:pPr>
        <w:pStyle w:val="Normal"/>
        <w:ind w:firstLine="709"/>
        <w:jc w:val="both"/>
        <w:rPr>
          <w:color w:themeColor="text1" w:val="000000"/>
        </w:rPr>
      </w:pPr>
      <w:r>
        <w:rPr>
          <w:color w:themeColor="text1" w:val="000000"/>
        </w:rPr>
        <w:t>- культурно-познавательный туризм, включая поездки по святым местам. На территории Калужской области находится 9 исторических городов, около 100 усадеб и парковых комплексов XVIII-XIX вв., первый в России музей истории космонавтики. Калужская область славится как земля, на которой расположены известные православные обители (Свято-Введенская Козельская Оптина пустынь, Казанская Свято-Амвросиевская пустынь, Свято-Никольский Черноостровский монастырь и т.д.).</w:t>
      </w:r>
    </w:p>
    <w:p>
      <w:pPr>
        <w:pStyle w:val="Normal"/>
        <w:ind w:firstLine="709"/>
        <w:jc w:val="both"/>
        <w:rPr>
          <w:color w:themeColor="text1" w:val="000000"/>
        </w:rPr>
      </w:pPr>
      <w:r>
        <w:rPr>
          <w:color w:themeColor="text1" w:val="000000"/>
        </w:rPr>
        <w:t>- событийный туризм (реконструкции исторических событий, праздники городских и районных масштабов, тематические праздники и фестивали, народные и фольклорные гулянья, юбилеи исторических событий, проведение ярмарок);</w:t>
      </w:r>
    </w:p>
    <w:p>
      <w:pPr>
        <w:pStyle w:val="Normal"/>
        <w:ind w:firstLine="709"/>
        <w:jc w:val="both"/>
        <w:rPr>
          <w:color w:themeColor="text1" w:val="000000"/>
        </w:rPr>
      </w:pPr>
      <w:r>
        <w:rPr>
          <w:color w:themeColor="text1" w:val="000000"/>
        </w:rPr>
        <w:t>- активная рекреация и спортивный туризм (активные формы отдыха, включая водные и пешеходные, велосипедные, конные маршруты). Высокая доля занимающихся спортивным туризмом приходится на молодое поколение. Основную массу туристов составляют школьники (в возрасте 12-17 лет) - 35,7%, студенты и молодежь в возрасте 18-25 лет - 22,4%.</w:t>
      </w:r>
    </w:p>
    <w:p>
      <w:pPr>
        <w:pStyle w:val="Normal"/>
        <w:ind w:firstLine="709"/>
        <w:jc w:val="both"/>
        <w:rPr>
          <w:color w:themeColor="text1" w:val="000000"/>
        </w:rPr>
      </w:pPr>
      <w:r>
        <w:rPr>
          <w:color w:themeColor="text1" w:val="000000"/>
        </w:rPr>
        <w:t>- деловой (конгрессный) туризм. В последние годы за счет динамичного развития экономического и инвестиционного потенциала Калужской области, формирования индустриальных парков возросла привлекательность делового (конгрессного) туризма. Основным сдерживающим фактором развития данного направления туризма в настоящее время является отсутствие в необходимом количестве коллективных средств размещения, развитой туристской инфраструктуры, предполагающей наличие конференц-залов, развитой и современной сети телекоммуникаций и связи.</w:t>
      </w:r>
    </w:p>
    <w:p>
      <w:pPr>
        <w:pStyle w:val="Normal"/>
        <w:ind w:firstLine="709"/>
        <w:jc w:val="both"/>
        <w:rPr>
          <w:color w:themeColor="text1" w:val="000000"/>
        </w:rPr>
      </w:pPr>
      <w:r>
        <w:rPr>
          <w:color w:themeColor="text1" w:val="000000"/>
        </w:rPr>
        <w:t>- экологический туризм. На фоне глобальной урбанизации и индустриализации приоритетным направлением туризма в Калужской области становится экологический туризм. В настоящее время экологический туризм в основном развивается на территории национального парка «Угра», общая площадь которого составляет 98,6 тыс. га. Национальный парк «Угра» привлекает многочисленных любителей активного отдыха водными путешествиями, а любителей экскурсионного туризма - возможностью посещения исторических памятников самых разных эпох. Рекреационная емкость национального парка - один из главных факторов организации туризма. В настоящее время посещаемость национального парка «Угра» оценивается на уровне 120-140 тыс. человек в год. Вместе с тем максимальное количество людей, которые могут одновременно отдыхать в пределах данной территории, не вызывая деградации экосистем и не испытывая психологического дискомфорта, составляет, по оценке, 211,5 тыс. человек в год, в том числе 186,2 тыс. человек летом, 25,3 тыс. человек зимой.</w:t>
      </w:r>
    </w:p>
    <w:p>
      <w:pPr>
        <w:pStyle w:val="Normal"/>
        <w:ind w:firstLine="709"/>
        <w:jc w:val="both"/>
        <w:rPr>
          <w:color w:themeColor="text1" w:val="000000"/>
        </w:rPr>
      </w:pPr>
      <w:r>
        <w:rPr>
          <w:color w:themeColor="text1" w:val="000000"/>
        </w:rPr>
        <w:t>В Калужской области действуют более ста туристских маршрутов. Основные туристские маршруты, включающие город Калугу:</w:t>
      </w:r>
    </w:p>
    <w:p>
      <w:pPr>
        <w:pStyle w:val="Normal"/>
        <w:ind w:firstLine="709"/>
        <w:jc w:val="both"/>
        <w:rPr>
          <w:color w:themeColor="text1" w:val="000000"/>
        </w:rPr>
      </w:pPr>
      <w:bookmarkStart w:id="29" w:name="OLE_LINK1"/>
      <w:bookmarkStart w:id="30" w:name="OLE_LINK2"/>
      <w:r>
        <w:rPr>
          <w:color w:themeColor="text1" w:val="000000"/>
        </w:rPr>
        <w:t xml:space="preserve">- Москва – Калуга – </w:t>
      </w:r>
      <w:bookmarkEnd w:id="29"/>
      <w:bookmarkEnd w:id="30"/>
      <w:r>
        <w:rPr>
          <w:color w:themeColor="text1" w:val="000000"/>
        </w:rPr>
        <w:t>Перемышль – Шамордино – Козельск (Оптина Пустынь);</w:t>
      </w:r>
    </w:p>
    <w:p>
      <w:pPr>
        <w:pStyle w:val="Normal"/>
        <w:ind w:firstLine="709"/>
        <w:jc w:val="both"/>
        <w:rPr>
          <w:color w:themeColor="text1" w:val="000000"/>
        </w:rPr>
      </w:pPr>
      <w:r>
        <w:rPr>
          <w:color w:themeColor="text1" w:val="000000"/>
        </w:rPr>
        <w:t>- Москва – Таруса – Калуга – Обнинск – Боровск – Москва;</w:t>
      </w:r>
    </w:p>
    <w:p>
      <w:pPr>
        <w:pStyle w:val="Normal"/>
        <w:ind w:firstLine="709"/>
        <w:jc w:val="both"/>
        <w:rPr>
          <w:color w:themeColor="text1" w:val="000000"/>
        </w:rPr>
      </w:pPr>
      <w:r>
        <w:rPr>
          <w:color w:themeColor="text1" w:val="000000"/>
        </w:rPr>
        <w:t>- Калуга – Николо-Ленивец;</w:t>
      </w:r>
    </w:p>
    <w:p>
      <w:pPr>
        <w:pStyle w:val="Normal"/>
        <w:ind w:firstLine="709"/>
        <w:jc w:val="both"/>
        <w:rPr>
          <w:color w:themeColor="text1" w:val="000000"/>
        </w:rPr>
      </w:pPr>
      <w:r>
        <w:rPr>
          <w:color w:themeColor="text1" w:val="000000"/>
        </w:rPr>
        <w:t>- Калуга – Юхнов – Спас-Деменск;</w:t>
      </w:r>
    </w:p>
    <w:p>
      <w:pPr>
        <w:pStyle w:val="Normal"/>
        <w:ind w:firstLine="709"/>
        <w:jc w:val="both"/>
        <w:rPr>
          <w:color w:themeColor="text1" w:val="000000"/>
        </w:rPr>
      </w:pPr>
      <w:r>
        <w:rPr>
          <w:color w:themeColor="text1" w:val="000000"/>
        </w:rPr>
        <w:t>- Калуга – Национальный парк «Угра», заповедник «Калужские Засеки»;</w:t>
      </w:r>
    </w:p>
    <w:p>
      <w:pPr>
        <w:pStyle w:val="Normal"/>
        <w:ind w:firstLine="709"/>
        <w:jc w:val="both"/>
        <w:rPr>
          <w:color w:themeColor="text1" w:val="000000"/>
        </w:rPr>
      </w:pPr>
      <w:r>
        <w:rPr>
          <w:color w:themeColor="text1" w:val="000000"/>
        </w:rPr>
        <w:t>- Калуга – Козельск – Мещовск;</w:t>
      </w:r>
    </w:p>
    <w:p>
      <w:pPr>
        <w:pStyle w:val="Normal"/>
        <w:ind w:firstLine="709"/>
        <w:jc w:val="both"/>
        <w:rPr>
          <w:color w:themeColor="text1" w:val="000000"/>
        </w:rPr>
      </w:pPr>
      <w:r>
        <w:rPr>
          <w:color w:themeColor="text1" w:val="000000"/>
        </w:rPr>
        <w:t>- Калуга – Мосальск;</w:t>
      </w:r>
    </w:p>
    <w:p>
      <w:pPr>
        <w:pStyle w:val="Normal"/>
        <w:ind w:firstLine="709"/>
        <w:jc w:val="both"/>
        <w:rPr>
          <w:color w:themeColor="text1" w:val="000000"/>
        </w:rPr>
      </w:pPr>
      <w:r>
        <w:rPr>
          <w:color w:themeColor="text1" w:val="000000"/>
        </w:rPr>
        <w:t>- Калуга – Жиздра – Людиново.</w:t>
      </w:r>
    </w:p>
    <w:p>
      <w:pPr>
        <w:pStyle w:val="Normal"/>
        <w:ind w:firstLine="709"/>
        <w:jc w:val="both"/>
        <w:rPr>
          <w:color w:themeColor="text1" w:val="000000"/>
        </w:rPr>
      </w:pPr>
      <w:r>
        <w:rPr>
          <w:color w:themeColor="text1" w:val="000000"/>
        </w:rPr>
        <w:t>В настоящее время, коллективные средства размещения представлены 52 объектами. Суммарное количество номеров в гостиницах города составляет более 2100, а суммарное количество мест - 3800.</w:t>
      </w:r>
    </w:p>
    <w:p>
      <w:pPr>
        <w:pStyle w:val="Normal"/>
        <w:ind w:firstLine="709"/>
        <w:jc w:val="right"/>
        <w:rPr>
          <w:color w:themeColor="text1" w:val="000000"/>
        </w:rPr>
      </w:pPr>
      <w:r>
        <w:rPr>
          <w:color w:themeColor="text1" w:val="000000"/>
        </w:rPr>
        <w:t>Таблица 5.2.11.</w:t>
      </w:r>
    </w:p>
    <w:p>
      <w:pPr>
        <w:pStyle w:val="Normal"/>
        <w:ind w:firstLine="709"/>
        <w:jc w:val="center"/>
        <w:rPr>
          <w:color w:themeColor="text1" w:val="000000"/>
        </w:rPr>
      </w:pPr>
      <w:r>
        <w:rPr>
          <w:color w:themeColor="text1" w:val="000000"/>
        </w:rPr>
        <w:t xml:space="preserve">Коллективные средства размещения, </w:t>
      </w:r>
    </w:p>
    <w:p>
      <w:pPr>
        <w:pStyle w:val="Normal"/>
        <w:ind w:firstLine="709"/>
        <w:jc w:val="center"/>
        <w:rPr>
          <w:color w:themeColor="text1" w:val="000000"/>
        </w:rPr>
      </w:pPr>
      <w:r>
        <w:rPr>
          <w:color w:themeColor="text1" w:val="000000"/>
        </w:rPr>
        <w:t>расположенные на территории городского округа</w:t>
      </w:r>
    </w:p>
    <w:tbl>
      <w:tblPr>
        <w:tblStyle w:val="afffffffffffc"/>
        <w:tblW w:w="9919"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23"/>
        <w:gridCol w:w="2810"/>
        <w:gridCol w:w="4417"/>
        <w:gridCol w:w="2168"/>
      </w:tblGrid>
      <w:tr>
        <w:trPr>
          <w:tblHeader w:val="true"/>
        </w:trPr>
        <w:tc>
          <w:tcPr>
            <w:tcW w:w="523"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0"/>
                <w:szCs w:val="20"/>
              </w:rPr>
              <w:t>№</w:t>
            </w:r>
          </w:p>
          <w:p>
            <w:pPr>
              <w:pStyle w:val="Normal"/>
              <w:widowControl w:val="false"/>
              <w:spacing w:before="0" w:after="0"/>
              <w:jc w:val="center"/>
              <w:rPr>
                <w:b/>
                <w:color w:themeColor="text1" w:val="000000"/>
                <w:sz w:val="22"/>
                <w:szCs w:val="22"/>
              </w:rPr>
            </w:pPr>
            <w:r>
              <w:rPr>
                <w:rFonts w:eastAsia="SimSun"/>
                <w:b/>
                <w:color w:themeColor="text1" w:val="000000"/>
                <w:sz w:val="20"/>
                <w:szCs w:val="20"/>
              </w:rPr>
              <w:t>п/п</w:t>
            </w:r>
          </w:p>
        </w:tc>
        <w:tc>
          <w:tcPr>
            <w:tcW w:w="2810"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2"/>
                <w:szCs w:val="22"/>
              </w:rPr>
            </w:pPr>
            <w:r>
              <w:rPr>
                <w:rFonts w:eastAsia="SimSun"/>
                <w:b/>
                <w:color w:themeColor="text1" w:val="000000"/>
                <w:sz w:val="22"/>
                <w:szCs w:val="22"/>
              </w:rPr>
              <w:t>Наименование коллективного средства размещения</w:t>
            </w:r>
          </w:p>
        </w:tc>
        <w:tc>
          <w:tcPr>
            <w:tcW w:w="441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Адрес коллективного средства размещения</w:t>
            </w:r>
          </w:p>
        </w:tc>
        <w:tc>
          <w:tcPr>
            <w:tcW w:w="2168"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Тип коллективного средства размещения</w:t>
            </w:r>
          </w:p>
        </w:tc>
      </w:tr>
      <w:tr>
        <w:trPr>
          <w:trHeight w:val="194"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w:t>
            </w:r>
          </w:p>
        </w:tc>
        <w:tc>
          <w:tcPr>
            <w:tcW w:w="2810" w:type="dxa"/>
            <w:tcBorders/>
            <w:shd w:color="auto"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Гостиница «Крым»</w:t>
            </w:r>
          </w:p>
        </w:tc>
        <w:tc>
          <w:tcPr>
            <w:tcW w:w="4417" w:type="dxa"/>
            <w:tcBorders/>
            <w:shd w:color="auto"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г. Калуга, ул. Советская, д.2</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381"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Парк-отель «Лесная поляна»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Мстихино, ул. Центральная, д.45в</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225"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«Елки»</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2-я Киевка, д. 15</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312"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Алые Паруса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Театральная, д.37/2</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225"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«Причал»</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Воробъевская, д.24</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253"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«Ока»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Карпова, д.10</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121"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«Камелот»</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Промышленная, д.36а, стр.8</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195"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8</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«Глобус»</w:t>
            </w:r>
          </w:p>
        </w:tc>
        <w:tc>
          <w:tcPr>
            <w:tcW w:w="4417" w:type="dxa"/>
            <w:tcBorders/>
            <w:shd w:color="auto" w:fill="auto" w:val="clear"/>
            <w:vAlign w:val="center"/>
          </w:tcPr>
          <w:p>
            <w:pPr>
              <w:pStyle w:val="Normal"/>
              <w:widowControl w:val="false"/>
              <w:spacing w:before="0" w:after="0"/>
              <w:rPr/>
            </w:pPr>
            <w:r>
              <w:rPr>
                <w:rFonts w:eastAsia="SimSun"/>
                <w:color w:themeColor="text1" w:val="000000"/>
                <w:sz w:val="22"/>
                <w:szCs w:val="22"/>
              </w:rPr>
              <w:t>г. Калуга,  Грабцевское шоссе, д. 24</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282"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9</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Отель «Винтаж»</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Театральная, д. 17А</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163"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10</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«Русь»</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Мстихино, ул. Центральная, д. 9а</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237"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11</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«Донжон»</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Семеново Городище, д.6</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99"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12</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«Губернская»</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Телевизионная, д.8а</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224"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13</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«Зуль»</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Гоголя, д.2</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248"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14</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«Грин Парк»</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Резванская, д.4</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98"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15</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«Приокская»</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Суворова, д.132</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172"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16</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«Калуга»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Кирова, д. 1</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309"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17</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«Калуга Плаза»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пер. 2-й Тульский, д.1</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338"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18</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«Георгиевская»</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Георгиевская, д.28</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175"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19</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«Фишер»</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ул.Труда, д.33</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199"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20</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Отель «Амбассадор Калуга»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Автомобильная, д.6</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211"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21</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Апартотель «Амбассадор Калуга»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Автомобильная, д.6</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362"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22</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«Вилладжио»</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Гагарина, д.4</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302"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23</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«Комета»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Тульское ш, здание 2а</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24</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Парк-отель «Лаврово-Песочня»</w:t>
            </w:r>
          </w:p>
        </w:tc>
        <w:tc>
          <w:tcPr>
            <w:tcW w:w="4417" w:type="dxa"/>
            <w:tcBorders/>
            <w:shd w:color="auto" w:fill="auto" w:val="clear"/>
            <w:vAlign w:val="center"/>
          </w:tcPr>
          <w:p>
            <w:pPr>
              <w:pStyle w:val="Normal"/>
              <w:widowControl w:val="false"/>
              <w:spacing w:before="0" w:after="0"/>
              <w:rPr/>
            </w:pPr>
            <w:r>
              <w:rPr>
                <w:rFonts w:eastAsia="SimSun"/>
                <w:color w:themeColor="text1" w:val="000000"/>
                <w:sz w:val="22"/>
                <w:szCs w:val="22"/>
              </w:rPr>
              <w:t>г. Калуга, д. Лаврово-Песочня</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166"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25</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«На Дворянской»</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Суворова, д. 29</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24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26</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«Дворец Спорта «Центральный»</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Ленина, д. 57</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74"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27</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«Квань»</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Трамплинная, д. 1в</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199"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28</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«Калита»</w:t>
            </w:r>
          </w:p>
        </w:tc>
        <w:tc>
          <w:tcPr>
            <w:tcW w:w="4417" w:type="dxa"/>
            <w:tcBorders/>
            <w:shd w:color="auto" w:fill="auto" w:val="clear"/>
            <w:vAlign w:val="center"/>
          </w:tcPr>
          <w:p>
            <w:pPr>
              <w:pStyle w:val="Normal"/>
              <w:widowControl w:val="false"/>
              <w:spacing w:before="0" w:after="0"/>
              <w:rPr/>
            </w:pPr>
            <w:r>
              <w:rPr>
                <w:rFonts w:eastAsia="SimSun"/>
                <w:color w:themeColor="text1" w:val="000000"/>
                <w:sz w:val="22"/>
                <w:szCs w:val="22"/>
              </w:rPr>
              <w:t>г. Калуга, ул. Тарутинская, д. 171 корпус 3</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29</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«Прибрежная»</w:t>
            </w:r>
          </w:p>
        </w:tc>
        <w:tc>
          <w:tcPr>
            <w:tcW w:w="4417" w:type="dxa"/>
            <w:tcBorders/>
            <w:shd w:color="auto" w:fill="auto" w:val="clear"/>
            <w:vAlign w:val="center"/>
          </w:tcPr>
          <w:p>
            <w:pPr>
              <w:pStyle w:val="Normal"/>
              <w:widowControl w:val="false"/>
              <w:spacing w:before="0" w:after="0"/>
              <w:rPr/>
            </w:pPr>
            <w:r>
              <w:rPr>
                <w:rFonts w:eastAsia="SimSun"/>
                <w:color w:themeColor="text1" w:val="000000"/>
                <w:sz w:val="22"/>
                <w:szCs w:val="22"/>
              </w:rPr>
              <w:t>г. Калуга, 2-й Берендяковский переулок,</w:t>
            </w:r>
          </w:p>
          <w:p>
            <w:pPr>
              <w:pStyle w:val="Normal"/>
              <w:widowControl w:val="false"/>
              <w:spacing w:before="0" w:after="0"/>
              <w:rPr>
                <w:color w:themeColor="text1" w:val="000000"/>
                <w:sz w:val="22"/>
                <w:szCs w:val="22"/>
              </w:rPr>
            </w:pPr>
            <w:r>
              <w:rPr>
                <w:rFonts w:eastAsia="SimSun"/>
                <w:color w:themeColor="text1" w:val="000000"/>
                <w:sz w:val="22"/>
                <w:szCs w:val="22"/>
              </w:rPr>
              <w:t>д. 1а</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30</w:t>
            </w:r>
          </w:p>
        </w:tc>
        <w:tc>
          <w:tcPr>
            <w:tcW w:w="2810" w:type="dxa"/>
            <w:tcBorders/>
            <w:shd w:color="auto" w:fill="auto" w:val="clear"/>
            <w:vAlign w:val="center"/>
          </w:tcPr>
          <w:p>
            <w:pPr>
              <w:pStyle w:val="Normal"/>
              <w:widowControl w:val="false"/>
              <w:spacing w:before="0" w:after="0"/>
              <w:rPr>
                <w:color w:themeColor="text1" w:val="000000"/>
                <w:sz w:val="22"/>
                <w:szCs w:val="22"/>
                <w:lang w:val="en-US"/>
              </w:rPr>
            </w:pPr>
            <w:r>
              <w:rPr>
                <w:rFonts w:eastAsia="SimSun"/>
                <w:color w:themeColor="text1" w:val="000000"/>
                <w:sz w:val="22"/>
                <w:szCs w:val="22"/>
              </w:rPr>
              <w:t>Отель</w:t>
            </w:r>
            <w:r>
              <w:rPr>
                <w:rFonts w:eastAsia="SimSun"/>
                <w:color w:themeColor="text1" w:val="000000"/>
                <w:sz w:val="22"/>
                <w:szCs w:val="22"/>
                <w:lang w:val="en-US"/>
              </w:rPr>
              <w:t xml:space="preserve"> «Hilton Garden INN Kaluga»</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Салтыкова-Щедрина, д.74</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104"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31</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«БВ-Калуга»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Суворова, д. 71б</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116"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32</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«Атис»</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д. Жерело</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19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33</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«Шератон»</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Академика Королева, д.16</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34</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«Интермашотель»</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Промышленная, д.12</w:t>
            </w:r>
          </w:p>
        </w:tc>
        <w:tc>
          <w:tcPr>
            <w:tcW w:w="2168" w:type="dxa"/>
            <w:tcBorders/>
            <w:shd w:color="auto"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Гостиница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35</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Спальный корпус Калужского областного центра туризма, краеведения и экскурсий</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Луначарского, д. 36</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Другая организация гостиничного типа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36</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Охотничье-рыболовная база «Рождественские пруды»</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Рождествено</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Другая организация гостиничного типа</w:t>
            </w:r>
          </w:p>
        </w:tc>
      </w:tr>
      <w:tr>
        <w:trPr>
          <w:trHeight w:val="148"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37</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«Старгород»</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Суворова, д.71а</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Другая организация гостиничного типа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rFonts w:eastAsia="SimSun"/>
                <w:color w:themeColor="text1" w:val="000000"/>
                <w:sz w:val="22"/>
                <w:szCs w:val="22"/>
                <w:lang w:eastAsia="ru-RU"/>
              </w:rPr>
              <w:t>38</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«На Садовой»</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пер. 2-й Садовый, д.2</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Гостиница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39</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Государственное казенное учреждение здравоохранения Калужской области «Детский санаторий для больных туберкулезом Калужской области имени Павлика Морозова» (краткое наименование - ГКУЗ «Детский санаторий им. П. Морозова»)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Калуга-Бор, д.15</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Санаторий для детей</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Федеральное государственное бюджетное учреждение детский психоневрологический санаторий «Калуга-бор» министерства здравоохранения Российской Федерации</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Калуга-Бор, д.3</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Санаторий для детей с родителями</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41</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ООО «Санаторий-профилакторий «Строитель»</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Мстихино, ул. Хвойная, д. 3</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Санаторий-профилакторий</w:t>
            </w:r>
          </w:p>
        </w:tc>
      </w:tr>
      <w:tr>
        <w:trPr>
          <w:trHeight w:val="179"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42</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Хостел «Rocket Hostel»</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Георгиевская, д.39</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Хостел</w:t>
            </w:r>
          </w:p>
        </w:tc>
      </w:tr>
      <w:tr>
        <w:trPr>
          <w:trHeight w:val="204"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43</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Хостел «Малина»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пер. Сельский, д. 8а</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Хостел</w:t>
            </w:r>
          </w:p>
        </w:tc>
      </w:tr>
      <w:tr>
        <w:trPr>
          <w:trHeight w:val="228"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44</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Хостел «Прирельсовая»</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Прирельсовая, д.22, стр.3</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Хостел</w:t>
            </w:r>
          </w:p>
        </w:tc>
      </w:tr>
      <w:tr>
        <w:trPr>
          <w:trHeight w:val="24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45</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Хостел «Лайк Калуга»</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Комарова д.37</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Хостел</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46</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Муниципальное бюджетное образовательное учреждение дополнительного образования «Детский оздоровительно-образовательный (профильный) центр «Белка» города Калуги»</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д. Мстихино</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База отдыха, туристская база, другая организация отдыха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47</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ПМЦ «Златоуст»</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район деревни Макаровка</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База отдыха, туристская база, другая организация отдыха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48</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Комнаты отдыха спортивной школы олимпийского резерва «Вымпел»</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ул. Телевизионная, д.18</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База отдыха, туристская база, другая организация отдыха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49</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Государственное автономное учреждение Калужской области «Спортивная школа олимпийского резерва «Орленок» (ГАУ КО СШОР «Орленок»)</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 Пригородного лесничества</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База отдыха, туристская база, другая организация отдыха</w:t>
            </w:r>
          </w:p>
        </w:tc>
      </w:tr>
      <w:tr>
        <w:trPr>
          <w:trHeight w:val="510"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50</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Загородный оздоровительный лагерь «Витязь»</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Мстихино</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База отдыха, туристская база, другая организация отдыха</w:t>
            </w:r>
          </w:p>
        </w:tc>
      </w:tr>
      <w:tr>
        <w:trPr>
          <w:trHeight w:val="79"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51</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Центр отдыха и оздоровления детей и молодежи «Сокол»</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территория Городского Бора</w:t>
            </w:r>
          </w:p>
        </w:tc>
        <w:tc>
          <w:tcPr>
            <w:tcW w:w="2168" w:type="dxa"/>
            <w:tcBorders/>
            <w:shd w:color="auto"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База отдыха, туристская база, другая организация отдыха</w:t>
            </w:r>
          </w:p>
        </w:tc>
      </w:tr>
      <w:tr>
        <w:trPr>
          <w:trHeight w:val="79" w:hRule="atLeast"/>
        </w:trPr>
        <w:tc>
          <w:tcPr>
            <w:tcW w:w="523" w:type="dxa"/>
            <w:tcBorders/>
            <w:shd w:color="auto" w:fill="auto" w:val="clear"/>
            <w:vAlign w:val="center"/>
          </w:tcPr>
          <w:p>
            <w:pPr>
              <w:pStyle w:val="Normal"/>
              <w:widowControl w:val="false"/>
              <w:spacing w:before="0" w:after="0"/>
              <w:jc w:val="center"/>
              <w:rPr>
                <w:color w:themeColor="text1" w:val="000000"/>
                <w:sz w:val="22"/>
                <w:szCs w:val="22"/>
                <w:lang w:eastAsia="ru-RU"/>
              </w:rPr>
            </w:pPr>
            <w:r>
              <w:rPr>
                <w:rFonts w:eastAsia="SimSun"/>
                <w:color w:themeColor="text1" w:val="000000"/>
                <w:sz w:val="22"/>
                <w:szCs w:val="22"/>
                <w:lang w:eastAsia="ru-RU"/>
              </w:rPr>
              <w:t>52</w:t>
            </w:r>
          </w:p>
        </w:tc>
        <w:tc>
          <w:tcPr>
            <w:tcW w:w="2810"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Детский оздоровительный лагерь «Спутник»</w:t>
            </w:r>
          </w:p>
        </w:tc>
        <w:tc>
          <w:tcPr>
            <w:tcW w:w="441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 Мстихино</w:t>
            </w:r>
          </w:p>
        </w:tc>
        <w:tc>
          <w:tcPr>
            <w:tcW w:w="2168"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База отдыха, туристская база, другая организация отдыха</w:t>
            </w:r>
          </w:p>
        </w:tc>
      </w:tr>
    </w:tbl>
    <w:p>
      <w:pPr>
        <w:pStyle w:val="ListParagraph"/>
        <w:ind w:firstLine="709" w:left="0"/>
        <w:jc w:val="both"/>
        <w:rPr>
          <w:color w:themeColor="text1" w:val="000000"/>
        </w:rPr>
      </w:pPr>
      <w:r>
        <w:rPr>
          <w:color w:themeColor="text1" w:val="000000"/>
        </w:rPr>
        <w:t>Учреждения отдыха представлены несколькими санаторно-оздоровительными учреждениями и детскими оздоровительными лагерями, располагающимися в границах городского округа</w:t>
      </w:r>
      <w:r>
        <w:rPr>
          <w:color w:themeColor="text1" w:val="000000"/>
          <w:lang w:val="ru-RU"/>
        </w:rPr>
        <w:t xml:space="preserve"> и</w:t>
      </w:r>
      <w:r>
        <w:rPr>
          <w:color w:themeColor="text1" w:val="000000"/>
        </w:rPr>
        <w:t xml:space="preserve"> в зеленой зоне Калужского бора. Вместимость учреждений отдыха составляет порядка 1,5 тыс. мест. Кроме того, в границах городского округа имеется несколько баз отдыха общей емкостью более 200 мест, а также оборудованные места массового околоводного отдыха населения, пляжи. </w:t>
      </w:r>
    </w:p>
    <w:p>
      <w:pPr>
        <w:pStyle w:val="Normal"/>
        <w:spacing w:before="60" w:after="60"/>
        <w:ind w:firstLine="709"/>
        <w:jc w:val="both"/>
        <w:rPr>
          <w:b/>
          <w:bCs/>
          <w:color w:themeColor="text1" w:val="000000"/>
        </w:rPr>
      </w:pPr>
      <w:r>
        <w:rPr>
          <w:b/>
          <w:bCs/>
          <w:color w:themeColor="text1" w:val="000000"/>
        </w:rPr>
        <w:t>Малое предпринимательство</w:t>
      </w:r>
    </w:p>
    <w:p>
      <w:pPr>
        <w:pStyle w:val="Normal"/>
        <w:ind w:firstLine="709"/>
        <w:jc w:val="both"/>
        <w:rPr>
          <w:color w:themeColor="text1" w:val="000000"/>
        </w:rPr>
      </w:pPr>
      <w:r>
        <w:rPr>
          <w:color w:themeColor="text1" w:val="000000"/>
        </w:rPr>
        <w:t xml:space="preserve">Малое предпринимательство – неотъемлемая часть экономики города, активно реагирующая на изменение потребительского спроса, смягчающая проблему безработицы. Малые и средние предприятия играют важную роль в экономике города. </w:t>
      </w:r>
    </w:p>
    <w:p>
      <w:pPr>
        <w:pStyle w:val="Normal"/>
        <w:ind w:firstLine="709"/>
        <w:jc w:val="both"/>
        <w:rPr>
          <w:color w:themeColor="text1" w:val="000000"/>
        </w:rPr>
      </w:pPr>
      <w:r>
        <w:rPr>
          <w:color w:themeColor="text1" w:val="000000"/>
        </w:rPr>
        <w:t>На территории городского округа действуют учреждения инфраструктуры поддержки малого предпринимательства, в том числе 2 бизнес-инкубатора (объекты капитального строительства, включающие помещения для предоставления малым предпринимателям).</w:t>
      </w:r>
    </w:p>
    <w:p>
      <w:pPr>
        <w:pStyle w:val="Normal"/>
        <w:jc w:val="right"/>
        <w:rPr>
          <w:color w:themeColor="text1" w:val="000000"/>
        </w:rPr>
      </w:pPr>
      <w:r>
        <w:rPr>
          <w:color w:themeColor="text1" w:val="000000"/>
        </w:rPr>
        <w:t>Таблица 2.5.12.</w:t>
      </w:r>
    </w:p>
    <w:p>
      <w:pPr>
        <w:pStyle w:val="Normal"/>
        <w:jc w:val="center"/>
        <w:rPr>
          <w:color w:themeColor="text1" w:val="000000"/>
          <w:sz w:val="22"/>
          <w:szCs w:val="22"/>
        </w:rPr>
      </w:pPr>
      <w:r>
        <w:rPr>
          <w:color w:themeColor="text1" w:val="000000"/>
        </w:rPr>
        <w:t>Перечень организаций поддержки малого и среднего предпринимательства расположенные на территории городского округа</w:t>
      </w:r>
    </w:p>
    <w:tbl>
      <w:tblPr>
        <w:tblW w:w="10060"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561"/>
        <w:gridCol w:w="4385"/>
        <w:gridCol w:w="5114"/>
      </w:tblGrid>
      <w:tr>
        <w:trPr>
          <w:trHeight w:val="617" w:hRule="atLeast"/>
        </w:trPr>
        <w:tc>
          <w:tcPr>
            <w:tcW w:w="56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rFonts w:eastAsia="SimSun"/>
                <w:b/>
                <w:color w:themeColor="text1" w:val="000000"/>
                <w:sz w:val="22"/>
                <w:szCs w:val="22"/>
              </w:rPr>
            </w:pPr>
            <w:r>
              <w:rPr>
                <w:rFonts w:eastAsia="SimSun"/>
                <w:b/>
                <w:color w:themeColor="text1" w:val="000000"/>
                <w:sz w:val="22"/>
                <w:szCs w:val="22"/>
              </w:rPr>
              <w:t>№</w:t>
            </w:r>
          </w:p>
          <w:p>
            <w:pPr>
              <w:pStyle w:val="Normal"/>
              <w:widowControl w:val="false"/>
              <w:jc w:val="center"/>
              <w:rPr>
                <w:rFonts w:eastAsia="SimSun"/>
                <w:b/>
                <w:color w:themeColor="text1" w:val="000000"/>
                <w:sz w:val="22"/>
                <w:szCs w:val="22"/>
              </w:rPr>
            </w:pPr>
            <w:r>
              <w:rPr>
                <w:rFonts w:eastAsia="SimSun"/>
                <w:b/>
                <w:color w:themeColor="text1" w:val="000000"/>
                <w:sz w:val="22"/>
                <w:szCs w:val="22"/>
              </w:rPr>
              <w:t>п/п</w:t>
            </w:r>
          </w:p>
        </w:tc>
        <w:tc>
          <w:tcPr>
            <w:tcW w:w="438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rFonts w:eastAsia="SimSun"/>
                <w:b/>
                <w:color w:themeColor="text1" w:val="000000"/>
                <w:sz w:val="22"/>
                <w:szCs w:val="22"/>
              </w:rPr>
            </w:pPr>
            <w:r>
              <w:rPr>
                <w:rFonts w:eastAsia="SimSun"/>
                <w:b/>
                <w:color w:themeColor="text1" w:val="000000"/>
                <w:sz w:val="22"/>
                <w:szCs w:val="22"/>
              </w:rPr>
              <w:t>Наименование</w:t>
            </w:r>
          </w:p>
        </w:tc>
        <w:tc>
          <w:tcPr>
            <w:tcW w:w="511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rFonts w:eastAsia="SimSun"/>
                <w:b/>
                <w:color w:themeColor="text1" w:val="000000"/>
                <w:sz w:val="22"/>
                <w:szCs w:val="22"/>
              </w:rPr>
            </w:pPr>
            <w:r>
              <w:rPr>
                <w:rFonts w:eastAsia="SimSun"/>
                <w:b/>
                <w:color w:themeColor="text1" w:val="000000"/>
                <w:sz w:val="22"/>
                <w:szCs w:val="22"/>
              </w:rPr>
              <w:t>Адрес</w:t>
            </w:r>
          </w:p>
        </w:tc>
      </w:tr>
      <w:tr>
        <w:trPr>
          <w:trHeight w:val="552" w:hRule="atLeast"/>
        </w:trPr>
        <w:tc>
          <w:tcPr>
            <w:tcW w:w="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w:t>
            </w:r>
          </w:p>
        </w:tc>
        <w:tc>
          <w:tcPr>
            <w:tcW w:w="4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АНО Калужский бизнес-инкубатор «Материалы и компоненты электроники»</w:t>
            </w:r>
          </w:p>
        </w:tc>
        <w:tc>
          <w:tcPr>
            <w:tcW w:w="5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 Калуга, 2-й Академический проезд, д.25</w:t>
            </w:r>
          </w:p>
        </w:tc>
      </w:tr>
      <w:tr>
        <w:trPr>
          <w:trHeight w:val="552" w:hRule="atLeast"/>
        </w:trPr>
        <w:tc>
          <w:tcPr>
            <w:tcW w:w="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w:t>
            </w:r>
          </w:p>
        </w:tc>
        <w:tc>
          <w:tcPr>
            <w:tcW w:w="4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АНО «Калужский Студенческий бизнес-инкубатор»</w:t>
            </w:r>
          </w:p>
        </w:tc>
        <w:tc>
          <w:tcPr>
            <w:tcW w:w="5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 Калуга, ул. Грабцевское шоссе, д. 33, строение 2</w:t>
            </w:r>
          </w:p>
        </w:tc>
      </w:tr>
      <w:tr>
        <w:trPr>
          <w:trHeight w:val="552" w:hRule="atLeast"/>
        </w:trPr>
        <w:tc>
          <w:tcPr>
            <w:tcW w:w="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w:t>
            </w:r>
          </w:p>
        </w:tc>
        <w:tc>
          <w:tcPr>
            <w:tcW w:w="4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Государственный Фонд поддержки предпринимательства Калужской области</w:t>
            </w:r>
          </w:p>
        </w:tc>
        <w:tc>
          <w:tcPr>
            <w:tcW w:w="5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 Калуга, ул. Театральная, д.38а</w:t>
            </w:r>
          </w:p>
        </w:tc>
      </w:tr>
      <w:tr>
        <w:trPr>
          <w:trHeight w:val="552" w:hRule="atLeast"/>
        </w:trPr>
        <w:tc>
          <w:tcPr>
            <w:tcW w:w="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w:t>
            </w:r>
          </w:p>
        </w:tc>
        <w:tc>
          <w:tcPr>
            <w:tcW w:w="4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ГАУ КО «Агентство развития бизнеса»</w:t>
            </w:r>
          </w:p>
        </w:tc>
        <w:tc>
          <w:tcPr>
            <w:tcW w:w="5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 Калуга, ул. Театральная, д.38а</w:t>
            </w:r>
          </w:p>
        </w:tc>
      </w:tr>
      <w:tr>
        <w:trPr>
          <w:trHeight w:val="552" w:hRule="atLeast"/>
        </w:trPr>
        <w:tc>
          <w:tcPr>
            <w:tcW w:w="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w:t>
            </w:r>
          </w:p>
        </w:tc>
        <w:tc>
          <w:tcPr>
            <w:tcW w:w="4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Союз «Торгово-промышленная палата Калужской области</w:t>
            </w:r>
          </w:p>
        </w:tc>
        <w:tc>
          <w:tcPr>
            <w:tcW w:w="5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 Калуга, пл. Старый торг, д. 9/10</w:t>
            </w:r>
          </w:p>
        </w:tc>
      </w:tr>
      <w:tr>
        <w:trPr>
          <w:trHeight w:val="552" w:hRule="atLeast"/>
        </w:trPr>
        <w:tc>
          <w:tcPr>
            <w:tcW w:w="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w:t>
            </w:r>
          </w:p>
        </w:tc>
        <w:tc>
          <w:tcPr>
            <w:tcW w:w="43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Уполномоченный по защите прав предпринимателей в Калужской области</w:t>
            </w:r>
          </w:p>
        </w:tc>
        <w:tc>
          <w:tcPr>
            <w:tcW w:w="51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г. Калуга, ул. Театральная, д.38а</w:t>
            </w:r>
          </w:p>
        </w:tc>
      </w:tr>
    </w:tbl>
    <w:p>
      <w:pPr>
        <w:pStyle w:val="Normal"/>
        <w:ind w:firstLine="720"/>
        <w:jc w:val="both"/>
        <w:rPr>
          <w:color w:themeColor="text1" w:val="000000"/>
        </w:rPr>
      </w:pPr>
      <w:r>
        <w:rPr>
          <w:color w:themeColor="text1" w:val="000000"/>
        </w:rPr>
      </w:r>
    </w:p>
    <w:p>
      <w:pPr>
        <w:pStyle w:val="Normal"/>
        <w:ind w:firstLine="709"/>
        <w:jc w:val="both"/>
        <w:rPr>
          <w:color w:themeColor="text1" w:val="000000"/>
        </w:rPr>
      </w:pPr>
      <w:r>
        <w:rPr>
          <w:color w:themeColor="text1" w:val="000000"/>
        </w:rPr>
        <w:t xml:space="preserve">К полномочиям органов местного самоуправления и органов государственной власти Калужской области относится создание экономических и правовых условий развития малого бизнеса, а также предоставление малым предприятиям финансово-имущественной и организационно-методической поддержки. Для реализации этих полномочий на территории города создана сеть организаций, составляющих инфраструктуру поддержки развития малого предпринимательства. </w:t>
      </w:r>
    </w:p>
    <w:p>
      <w:pPr>
        <w:pStyle w:val="Normal"/>
        <w:ind w:firstLine="709"/>
        <w:jc w:val="both"/>
        <w:rPr>
          <w:color w:themeColor="text1" w:val="000000"/>
        </w:rPr>
      </w:pPr>
      <w:r>
        <w:rPr>
          <w:color w:themeColor="text1" w:val="000000"/>
        </w:rPr>
        <w:t>В соответствии со статьей 15 Федерального закона от 24.07.2007 № 209-ФЗ  «О развитии малого и среднего предпринимательства в Российской Федерации» (ред. от 12.12.2023) к объектам инфраструктуры поддержки субъектов малого и среднего предпринимательства отнесены следующие виды: центры и агентства по развитию предпринимательства, государственные и муниципальные фонды поддержки предпринимательства, фонды содействия кредитованию (гарантийные фонды, фонды поручительств),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индустриальные 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агентства по поддержке экспорта товаров,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и иные организации.</w:t>
      </w:r>
    </w:p>
    <w:p>
      <w:pPr>
        <w:pStyle w:val="Normal"/>
        <w:ind w:firstLine="709"/>
        <w:jc w:val="both"/>
        <w:rPr>
          <w:color w:themeColor="text1" w:val="000000"/>
        </w:rPr>
      </w:pPr>
      <w:r>
        <w:rPr>
          <w:color w:themeColor="text1" w:val="000000"/>
        </w:rPr>
        <w:t>На территории городского округа реализуется долгосрочная целевая программа «Развитие предпринимательства и инноваций в Калужской области», утвержденная постановлением Правительства Калужской области от 08.02.2019 № 89 (в ред. постановлений Правительства Калужской области от 14.03.2022 № 174). В том числе подпрограмма «Развитие организаций инфраструктуры поддержки субъектов малого и среднего предпринимательства Калужской области».</w:t>
      </w:r>
    </w:p>
    <w:p>
      <w:pPr>
        <w:pStyle w:val="Normal"/>
        <w:spacing w:before="60" w:after="60"/>
        <w:ind w:firstLine="709"/>
        <w:jc w:val="both"/>
        <w:rPr>
          <w:b/>
          <w:bCs/>
          <w:color w:themeColor="text1" w:val="000000"/>
        </w:rPr>
      </w:pPr>
      <w:r>
        <w:rPr>
          <w:b/>
          <w:bCs/>
          <w:color w:themeColor="text1" w:val="000000"/>
        </w:rPr>
        <w:t>Приоритеты инвестирования на территории городского округа</w:t>
      </w:r>
    </w:p>
    <w:p>
      <w:pPr>
        <w:pStyle w:val="Normal"/>
        <w:ind w:firstLine="720"/>
        <w:jc w:val="both"/>
        <w:rPr>
          <w:color w:themeColor="text1" w:val="000000"/>
        </w:rPr>
      </w:pPr>
      <w:r>
        <w:rPr>
          <w:color w:themeColor="text1" w:val="000000"/>
        </w:rPr>
        <w:t>Приоритетные направления привлечения инвестиций:</w:t>
      </w:r>
    </w:p>
    <w:p>
      <w:pPr>
        <w:pStyle w:val="Normal"/>
        <w:ind w:firstLine="720"/>
        <w:jc w:val="both"/>
        <w:rPr>
          <w:color w:themeColor="text1" w:val="000000"/>
        </w:rPr>
      </w:pPr>
      <w:r>
        <w:rPr>
          <w:color w:themeColor="text1" w:val="000000"/>
        </w:rPr>
        <w:t>1. Создание и развитие кластера автомобильной промышленности, в том числе сопутствующих производств.</w:t>
      </w:r>
    </w:p>
    <w:p>
      <w:pPr>
        <w:pStyle w:val="Normal"/>
        <w:ind w:firstLine="720"/>
        <w:jc w:val="both"/>
        <w:rPr>
          <w:color w:themeColor="text1" w:val="000000"/>
        </w:rPr>
      </w:pPr>
      <w:r>
        <w:rPr>
          <w:color w:themeColor="text1" w:val="000000"/>
        </w:rPr>
        <w:t>2. Наукоемкое производство, включая формирование центров высоких технологий.</w:t>
      </w:r>
    </w:p>
    <w:p>
      <w:pPr>
        <w:pStyle w:val="Normal"/>
        <w:ind w:firstLine="720"/>
        <w:jc w:val="both"/>
        <w:rPr>
          <w:color w:themeColor="text1" w:val="000000"/>
        </w:rPr>
      </w:pPr>
      <w:r>
        <w:rPr>
          <w:color w:themeColor="text1" w:val="000000"/>
        </w:rPr>
        <w:t>3. Использование мощностей и производственных площадей машиностроительных предприятий для создания высокоэффективных производств (автосборка, производство средств связи, бытовой техники и т.д.).</w:t>
      </w:r>
    </w:p>
    <w:p>
      <w:pPr>
        <w:pStyle w:val="Normal"/>
        <w:ind w:firstLine="720"/>
        <w:jc w:val="both"/>
        <w:rPr>
          <w:color w:themeColor="text1" w:val="000000"/>
        </w:rPr>
      </w:pPr>
      <w:r>
        <w:rPr>
          <w:color w:themeColor="text1" w:val="000000"/>
        </w:rPr>
        <w:t>4. Формирование финансово-промышленных, в том числе межобластных групп на базе крупных предприятий профильных отраслей.</w:t>
      </w:r>
    </w:p>
    <w:p>
      <w:pPr>
        <w:pStyle w:val="Normal"/>
        <w:ind w:firstLine="720"/>
        <w:jc w:val="both"/>
        <w:rPr>
          <w:color w:themeColor="text1" w:val="000000"/>
        </w:rPr>
      </w:pPr>
      <w:r>
        <w:rPr>
          <w:color w:themeColor="text1" w:val="000000"/>
        </w:rPr>
        <w:t>5. Жилищное строительство.</w:t>
      </w:r>
    </w:p>
    <w:p>
      <w:pPr>
        <w:pStyle w:val="Normal"/>
        <w:ind w:firstLine="720"/>
        <w:jc w:val="both"/>
        <w:rPr>
          <w:color w:themeColor="text1" w:val="000000"/>
        </w:rPr>
      </w:pPr>
      <w:r>
        <w:rPr>
          <w:color w:themeColor="text1" w:val="000000"/>
        </w:rPr>
        <w:t>6. Развитие сельскохозяйственного производства.</w:t>
      </w:r>
    </w:p>
    <w:p>
      <w:pPr>
        <w:pStyle w:val="Normal"/>
        <w:ind w:firstLine="720"/>
        <w:jc w:val="both"/>
        <w:rPr>
          <w:color w:themeColor="text1" w:val="000000"/>
        </w:rPr>
      </w:pPr>
      <w:r>
        <w:rPr>
          <w:color w:themeColor="text1" w:val="000000"/>
        </w:rPr>
        <w:t>7. Развитие пищевой промышленности.</w:t>
      </w:r>
    </w:p>
    <w:p>
      <w:pPr>
        <w:pStyle w:val="Normal"/>
        <w:ind w:firstLine="720"/>
        <w:jc w:val="both"/>
        <w:rPr>
          <w:color w:themeColor="text1" w:val="000000"/>
        </w:rPr>
      </w:pPr>
      <w:r>
        <w:rPr>
          <w:color w:themeColor="text1" w:val="000000"/>
        </w:rPr>
        <w:t>8. Развитие производств, связанных с переработкой отходов.</w:t>
      </w:r>
    </w:p>
    <w:p>
      <w:pPr>
        <w:pStyle w:val="Normal"/>
        <w:ind w:firstLine="720"/>
        <w:jc w:val="both"/>
        <w:rPr>
          <w:color w:themeColor="text1" w:val="000000"/>
        </w:rPr>
      </w:pPr>
      <w:r>
        <w:rPr>
          <w:color w:themeColor="text1" w:val="000000"/>
        </w:rPr>
        <w:t>9.</w:t>
      </w:r>
      <w:r>
        <w:rPr>
          <w:color w:themeColor="text1" w:val="000000"/>
          <w:lang w:val="en-US"/>
        </w:rPr>
        <w:t> </w:t>
      </w:r>
      <w:r>
        <w:rPr>
          <w:color w:themeColor="text1" w:val="000000"/>
        </w:rPr>
        <w:t xml:space="preserve">Развитие инфраструктуры гостеприимства. Улучшение сервиса в существующей гостиничной сети, а также строительство новых современных отелей бизнес-класса и отелей высшей категории. Развитие сферы торговли, услуг и общественного питания. </w:t>
      </w:r>
    </w:p>
    <w:p>
      <w:pPr>
        <w:pStyle w:val="Normal"/>
        <w:ind w:firstLine="720"/>
        <w:jc w:val="both"/>
        <w:rPr>
          <w:color w:themeColor="text1" w:val="000000"/>
        </w:rPr>
      </w:pPr>
      <w:r>
        <w:rPr>
          <w:color w:themeColor="text1" w:val="000000"/>
        </w:rPr>
        <w:t>10.</w:t>
      </w:r>
      <w:r>
        <w:rPr>
          <w:color w:themeColor="text1" w:val="000000"/>
          <w:lang w:val="en-US"/>
        </w:rPr>
        <w:t> </w:t>
      </w:r>
      <w:r>
        <w:rPr>
          <w:color w:themeColor="text1" w:val="000000"/>
        </w:rPr>
        <w:t>Развитие сферы развлечений, спорта и туризма. Строительство современных спортивно-развлекательных комплексов.</w:t>
      </w:r>
    </w:p>
    <w:p>
      <w:pPr>
        <w:pStyle w:val="Normal"/>
        <w:ind w:firstLine="720"/>
        <w:jc w:val="both"/>
        <w:rPr/>
      </w:pPr>
      <w:r>
        <w:rPr>
          <w:color w:themeColor="text1" w:val="000000"/>
        </w:rPr>
        <w:t>В целях повышения инвестиционной привлекательности министерством экономического развития Калужской области созданы интернет-ресурсы: «Инвестиционная карта Калужской области» (http://map.investkaluga.com/) и «Инвестиционный портал Калужской области» (http://www.investkaluga.com/ploschadki/field1/page-2/). В соответствии с Законом Калужской области от 16 декабря 1998 года № 31-ОЗ «О государственной поддержке субъектов инвестиционной деятельности в Калужской области» осуществляется составление реестра инвестиционных проектов.</w:t>
      </w:r>
    </w:p>
    <w:p>
      <w:pPr>
        <w:pStyle w:val="Normal"/>
        <w:ind w:firstLine="720"/>
        <w:jc w:val="both"/>
        <w:rPr>
          <w:color w:themeColor="text1" w:val="000000"/>
        </w:rPr>
      </w:pPr>
      <w:r>
        <w:rPr>
          <w:color w:themeColor="text1" w:val="000000"/>
        </w:rPr>
      </w:r>
      <w:r>
        <w:br w:type="page"/>
      </w:r>
    </w:p>
    <w:p>
      <w:pPr>
        <w:pStyle w:val="Heading3"/>
        <w:numPr>
          <w:ilvl w:val="2"/>
          <w:numId w:val="2"/>
        </w:numPr>
        <w:spacing w:before="0" w:after="100"/>
        <w:ind w:firstLine="709" w:left="0"/>
        <w:rPr>
          <w:rFonts w:eastAsia="Symbol" w:cs="Symbol"/>
          <w:color w:themeColor="text1" w:val="000000"/>
        </w:rPr>
      </w:pPr>
      <w:bookmarkStart w:id="31" w:name="_Toc217312451"/>
      <w:r>
        <w:rPr>
          <w:rFonts w:eastAsia="Symbol" w:cs="Symbol"/>
          <w:color w:themeColor="text1" w:val="000000"/>
        </w:rPr>
        <w:t>5.3. Учреждения и предприятия обслуживания населения</w:t>
      </w:r>
      <w:bookmarkEnd w:id="31"/>
    </w:p>
    <w:p>
      <w:pPr>
        <w:pStyle w:val="Normal"/>
        <w:ind w:firstLine="709"/>
        <w:jc w:val="both"/>
        <w:rPr>
          <w:color w:themeColor="text1" w:val="000000"/>
        </w:rPr>
      </w:pPr>
      <w:r>
        <w:rPr>
          <w:color w:themeColor="text1" w:val="000000"/>
        </w:rPr>
        <w:t>Все организации и учреждения обслуживания - федеральные, региональные и местные, находящиеся на территории Калуги, - направлены на выполнение определенных функций города: административные задачи, роль города как центра федерального и регионального управления ЦФО и Калужской области, роль центра социального, культурного и образовательного обслуживания населения области и других регионов.</w:t>
      </w:r>
    </w:p>
    <w:p>
      <w:pPr>
        <w:pStyle w:val="Normal"/>
        <w:ind w:firstLine="709"/>
        <w:jc w:val="both"/>
        <w:rPr>
          <w:color w:themeColor="text1" w:val="000000"/>
        </w:rPr>
      </w:pPr>
      <w:r>
        <w:rPr>
          <w:color w:themeColor="text1" w:val="000000"/>
        </w:rPr>
        <w:t>Генеральным планом учтены объекты обслуживания федерального, регионального и местного значения в следующих областях:</w:t>
      </w:r>
    </w:p>
    <w:p>
      <w:pPr>
        <w:pStyle w:val="ListParagraph"/>
        <w:ind w:firstLine="709" w:left="0"/>
        <w:jc w:val="both"/>
        <w:rPr>
          <w:color w:themeColor="text1" w:val="000000"/>
        </w:rPr>
      </w:pPr>
      <w:r>
        <w:rPr>
          <w:color w:themeColor="text1" w:val="000000"/>
          <w:lang w:val="ru-RU"/>
        </w:rPr>
        <w:t>- Образование и наука</w:t>
      </w:r>
      <w:r>
        <w:rPr>
          <w:color w:themeColor="text1" w:val="000000"/>
        </w:rPr>
        <w:t>;</w:t>
      </w:r>
    </w:p>
    <w:p>
      <w:pPr>
        <w:pStyle w:val="ListParagraph"/>
        <w:ind w:firstLine="709" w:left="0"/>
        <w:jc w:val="both"/>
        <w:rPr>
          <w:color w:themeColor="text1" w:val="000000"/>
        </w:rPr>
      </w:pPr>
      <w:r>
        <w:rPr>
          <w:color w:themeColor="text1" w:val="000000"/>
          <w:lang w:val="ru-RU"/>
        </w:rPr>
        <w:t>- Здравоохранение</w:t>
      </w:r>
      <w:r>
        <w:rPr>
          <w:color w:themeColor="text1" w:val="000000"/>
        </w:rPr>
        <w:t>;</w:t>
      </w:r>
    </w:p>
    <w:p>
      <w:pPr>
        <w:pStyle w:val="ListParagraph"/>
        <w:ind w:firstLine="709" w:left="0"/>
        <w:jc w:val="both"/>
        <w:rPr>
          <w:color w:themeColor="text1" w:val="000000"/>
        </w:rPr>
      </w:pPr>
      <w:r>
        <w:rPr>
          <w:color w:themeColor="text1" w:val="000000"/>
          <w:lang w:val="ru-RU"/>
        </w:rPr>
        <w:t>- Физическая</w:t>
      </w:r>
      <w:r>
        <w:rPr>
          <w:color w:themeColor="text1" w:val="000000"/>
        </w:rPr>
        <w:t xml:space="preserve"> культура и массовый спорт;</w:t>
      </w:r>
    </w:p>
    <w:p>
      <w:pPr>
        <w:pStyle w:val="ListParagraph"/>
        <w:ind w:firstLine="709" w:left="0"/>
        <w:jc w:val="both"/>
        <w:rPr>
          <w:color w:themeColor="text1" w:val="000000"/>
        </w:rPr>
      </w:pPr>
      <w:r>
        <w:rPr>
          <w:color w:themeColor="text1" w:val="000000"/>
          <w:lang w:val="ru-RU"/>
        </w:rPr>
        <w:t>- Культуры</w:t>
      </w:r>
      <w:r>
        <w:rPr>
          <w:color w:themeColor="text1" w:val="000000"/>
        </w:rPr>
        <w:t xml:space="preserve"> и искусства</w:t>
      </w:r>
      <w:r>
        <w:rPr>
          <w:color w:themeColor="text1" w:val="000000"/>
          <w:lang w:val="ru-RU"/>
        </w:rPr>
        <w:t>;</w:t>
      </w:r>
    </w:p>
    <w:p>
      <w:pPr>
        <w:pStyle w:val="ListParagraph"/>
        <w:ind w:firstLine="709" w:left="0"/>
        <w:jc w:val="both"/>
        <w:rPr>
          <w:color w:themeColor="text1" w:val="000000"/>
        </w:rPr>
      </w:pPr>
      <w:r>
        <w:rPr>
          <w:color w:themeColor="text1" w:val="000000"/>
          <w:lang w:val="ru-RU"/>
        </w:rPr>
        <w:t>- Социальное обслуживание</w:t>
      </w:r>
      <w:r>
        <w:rPr>
          <w:color w:themeColor="text1" w:val="000000"/>
        </w:rPr>
        <w:t>;</w:t>
      </w:r>
    </w:p>
    <w:p>
      <w:pPr>
        <w:pStyle w:val="ListParagraph"/>
        <w:ind w:firstLine="709" w:left="0"/>
        <w:jc w:val="both"/>
        <w:rPr>
          <w:color w:themeColor="text1" w:val="000000"/>
        </w:rPr>
      </w:pPr>
      <w:r>
        <w:rPr>
          <w:color w:themeColor="text1" w:val="000000"/>
          <w:lang w:val="ru-RU"/>
        </w:rPr>
        <w:t>- Иные области.</w:t>
      </w:r>
    </w:p>
    <w:p>
      <w:pPr>
        <w:pStyle w:val="Normal"/>
        <w:spacing w:before="60" w:after="60"/>
        <w:ind w:firstLine="709"/>
        <w:jc w:val="both"/>
        <w:rPr>
          <w:b/>
          <w:bCs/>
          <w:color w:themeColor="text1" w:val="000000"/>
        </w:rPr>
      </w:pPr>
      <w:r>
        <w:rPr>
          <w:b/>
          <w:bCs/>
          <w:color w:themeColor="text1" w:val="000000"/>
        </w:rPr>
        <w:t>Объекты образования и науки</w:t>
      </w:r>
    </w:p>
    <w:p>
      <w:pPr>
        <w:pStyle w:val="Style70"/>
        <w:spacing w:before="0" w:after="0"/>
        <w:ind w:firstLine="709"/>
        <w:rPr>
          <w:color w:themeColor="text1" w:val="000000"/>
        </w:rPr>
      </w:pPr>
      <w:r>
        <w:rPr>
          <w:color w:themeColor="text1" w:val="000000"/>
        </w:rPr>
        <w:t>Система общего образования - это важнейшая составляющая часть муниципальной системы образования. Сегодня сеть муниципальных учреждений общего образования состоит из 100 детских садов, 51 школы, 6 организаций дополнительного образования для детей.</w:t>
      </w:r>
    </w:p>
    <w:p>
      <w:pPr>
        <w:pStyle w:val="Style70"/>
        <w:spacing w:before="120" w:after="0"/>
        <w:jc w:val="right"/>
        <w:rPr>
          <w:color w:themeColor="text1" w:val="000000"/>
        </w:rPr>
      </w:pPr>
      <w:r>
        <w:rPr>
          <w:color w:themeColor="text1" w:val="000000"/>
        </w:rPr>
        <w:t>Таблица 5.3.1.</w:t>
      </w:r>
    </w:p>
    <w:p>
      <w:pPr>
        <w:pStyle w:val="Style70"/>
        <w:spacing w:before="0" w:after="0"/>
        <w:ind w:hanging="0"/>
        <w:jc w:val="center"/>
        <w:rPr>
          <w:color w:themeColor="text1" w:val="000000"/>
        </w:rPr>
      </w:pPr>
      <w:r>
        <w:rPr>
          <w:color w:themeColor="text1" w:val="000000"/>
        </w:rPr>
        <w:t>Характеристика учреждений образования</w:t>
      </w:r>
    </w:p>
    <w:tbl>
      <w:tblPr>
        <w:tblW w:w="10070"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698"/>
        <w:gridCol w:w="7543"/>
        <w:gridCol w:w="977"/>
        <w:gridCol w:w="851"/>
      </w:tblGrid>
      <w:tr>
        <w:trPr>
          <w:tblHeader w:val="true"/>
          <w:cantSplit w:val="true"/>
        </w:trPr>
        <w:tc>
          <w:tcPr>
            <w:tcW w:w="698"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7543" w:type="dxa"/>
            <w:vMerge w:val="restart"/>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1828" w:type="dxa"/>
            <w:gridSpan w:val="2"/>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Показатель</w:t>
            </w:r>
          </w:p>
        </w:tc>
      </w:tr>
      <w:tr>
        <w:trPr>
          <w:cantSplit w:val="true"/>
        </w:trPr>
        <w:tc>
          <w:tcPr>
            <w:tcW w:w="698"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napToGrid w:val="false"/>
              <w:jc w:val="center"/>
              <w:rPr>
                <w:b/>
                <w:color w:themeColor="text1" w:val="000000"/>
                <w:sz w:val="22"/>
                <w:szCs w:val="22"/>
              </w:rPr>
            </w:pPr>
            <w:r>
              <w:rPr>
                <w:b/>
                <w:color w:themeColor="text1" w:val="000000"/>
                <w:sz w:val="22"/>
                <w:szCs w:val="22"/>
              </w:rPr>
            </w:r>
          </w:p>
        </w:tc>
        <w:tc>
          <w:tcPr>
            <w:tcW w:w="7543" w:type="dxa"/>
            <w:vMerge w:val="continue"/>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snapToGrid w:val="false"/>
              <w:jc w:val="center"/>
              <w:rPr>
                <w:b/>
                <w:color w:themeColor="text1" w:val="000000"/>
                <w:sz w:val="22"/>
                <w:szCs w:val="22"/>
              </w:rPr>
            </w:pPr>
            <w:r>
              <w:rPr>
                <w:b/>
                <w:color w:themeColor="text1" w:val="000000"/>
                <w:sz w:val="22"/>
                <w:szCs w:val="22"/>
              </w:rPr>
            </w:r>
          </w:p>
        </w:tc>
        <w:tc>
          <w:tcPr>
            <w:tcW w:w="97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ед.</w:t>
            </w:r>
          </w:p>
        </w:tc>
        <w:tc>
          <w:tcPr>
            <w:tcW w:w="85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мест</w:t>
            </w:r>
          </w:p>
        </w:tc>
      </w:tr>
      <w:tr>
        <w:trPr>
          <w:trHeight w:val="340" w:hRule="atLeast"/>
        </w:trPr>
        <w:tc>
          <w:tcPr>
            <w:tcW w:w="69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754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Число общеобразовательных учреждений</w:t>
            </w:r>
          </w:p>
        </w:tc>
        <w:tc>
          <w:tcPr>
            <w:tcW w:w="97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35403</w:t>
            </w:r>
          </w:p>
        </w:tc>
      </w:tr>
      <w:tr>
        <w:trPr>
          <w:trHeight w:val="340" w:hRule="atLeast"/>
        </w:trPr>
        <w:tc>
          <w:tcPr>
            <w:tcW w:w="69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754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Число дошкольных образовательных учреждений</w:t>
            </w:r>
          </w:p>
        </w:tc>
        <w:tc>
          <w:tcPr>
            <w:tcW w:w="97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18878</w:t>
            </w:r>
          </w:p>
        </w:tc>
      </w:tr>
      <w:tr>
        <w:trPr>
          <w:trHeight w:val="340" w:hRule="atLeast"/>
        </w:trPr>
        <w:tc>
          <w:tcPr>
            <w:tcW w:w="69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754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Число организаций дополнительного образования</w:t>
            </w:r>
          </w:p>
        </w:tc>
        <w:tc>
          <w:tcPr>
            <w:tcW w:w="97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4335</w:t>
            </w:r>
          </w:p>
        </w:tc>
      </w:tr>
      <w:tr>
        <w:trPr>
          <w:trHeight w:val="340" w:hRule="atLeast"/>
        </w:trPr>
        <w:tc>
          <w:tcPr>
            <w:tcW w:w="69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754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Число учреждений среднего профессионального образования</w:t>
            </w:r>
          </w:p>
        </w:tc>
        <w:tc>
          <w:tcPr>
            <w:tcW w:w="97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340" w:hRule="atLeast"/>
        </w:trPr>
        <w:tc>
          <w:tcPr>
            <w:tcW w:w="69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754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Число учреждений образовательных организаций высшего образования</w:t>
            </w:r>
          </w:p>
        </w:tc>
        <w:tc>
          <w:tcPr>
            <w:tcW w:w="97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340" w:hRule="atLeast"/>
        </w:trPr>
        <w:tc>
          <w:tcPr>
            <w:tcW w:w="698"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754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Число научных организаций</w:t>
            </w:r>
          </w:p>
        </w:tc>
        <w:tc>
          <w:tcPr>
            <w:tcW w:w="97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8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bl>
    <w:p>
      <w:pPr>
        <w:pStyle w:val="Style70"/>
        <w:spacing w:before="0" w:after="0"/>
        <w:ind w:firstLine="709"/>
        <w:rPr>
          <w:color w:themeColor="text1" w:val="000000"/>
        </w:rPr>
      </w:pPr>
      <w:r>
        <w:rPr>
          <w:color w:themeColor="text1" w:val="000000"/>
        </w:rPr>
        <w:t>Перечень объектов дошкольного и общего образования, расположенных на территории городского округа, в табличном виде представлен в приложениях 5, 6.</w:t>
      </w:r>
    </w:p>
    <w:p>
      <w:pPr>
        <w:pStyle w:val="Style70"/>
        <w:spacing w:before="120" w:after="0"/>
        <w:jc w:val="right"/>
        <w:rPr>
          <w:color w:themeColor="text1" w:val="000000"/>
        </w:rPr>
      </w:pPr>
      <w:r>
        <w:rPr>
          <w:color w:themeColor="text1" w:val="000000"/>
        </w:rPr>
        <w:t>Таблица 5.3.2.</w:t>
      </w:r>
    </w:p>
    <w:p>
      <w:pPr>
        <w:pStyle w:val="Normal"/>
        <w:jc w:val="center"/>
        <w:rPr>
          <w:color w:themeColor="text1" w:val="000000"/>
        </w:rPr>
      </w:pPr>
      <w:r>
        <w:rPr>
          <w:color w:themeColor="text1" w:val="000000"/>
        </w:rPr>
        <w:t xml:space="preserve">Перечень учреждений дополнительного образования, </w:t>
      </w:r>
    </w:p>
    <w:p>
      <w:pPr>
        <w:pStyle w:val="Normal"/>
        <w:jc w:val="center"/>
        <w:rPr>
          <w:color w:themeColor="text1" w:val="000000"/>
          <w:sz w:val="22"/>
          <w:szCs w:val="22"/>
        </w:rPr>
      </w:pPr>
      <w:r>
        <w:rPr>
          <w:color w:themeColor="text1" w:val="000000"/>
        </w:rPr>
        <w:t>расположенных на территории городского округа</w:t>
      </w:r>
    </w:p>
    <w:tbl>
      <w:tblPr>
        <w:tblW w:w="1006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705"/>
        <w:gridCol w:w="4621"/>
        <w:gridCol w:w="3043"/>
        <w:gridCol w:w="1699"/>
      </w:tblGrid>
      <w:tr>
        <w:trPr>
          <w:tblHeader w:val="true"/>
          <w:trHeight w:val="23" w:hRule="atLeast"/>
        </w:trPr>
        <w:tc>
          <w:tcPr>
            <w:tcW w:w="70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462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04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69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 мест</w:t>
            </w:r>
          </w:p>
        </w:tc>
      </w:tr>
      <w:tr>
        <w:trPr>
          <w:trHeight w:val="384" w:hRule="atLeast"/>
        </w:trPr>
        <w:tc>
          <w:tcPr>
            <w:tcW w:w="7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46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Центр развития творчества детей и юношества «Созвездие»</w:t>
            </w:r>
          </w:p>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 Калуга, ул. Поселковая, д.4</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714</w:t>
            </w:r>
          </w:p>
        </w:tc>
      </w:tr>
      <w:tr>
        <w:trPr>
          <w:trHeight w:val="331" w:hRule="atLeast"/>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6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 Калуга, ул. Телевизионная, д.14</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663</w:t>
            </w:r>
          </w:p>
        </w:tc>
      </w:tr>
      <w:tr>
        <w:trPr>
          <w:trHeight w:val="265" w:hRule="atLeast"/>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6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 Калуга, ул.</w:t>
            </w:r>
            <w:r>
              <w:rPr>
                <w:color w:themeColor="text1" w:val="000000"/>
                <w:sz w:val="22"/>
                <w:szCs w:val="22"/>
                <w:lang w:val="en-US"/>
              </w:rPr>
              <w:t> </w:t>
            </w:r>
            <w:r>
              <w:rPr>
                <w:color w:themeColor="text1" w:val="000000"/>
                <w:sz w:val="22"/>
                <w:szCs w:val="22"/>
              </w:rPr>
              <w:t>Врубовая, д.10</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346</w:t>
            </w:r>
          </w:p>
        </w:tc>
      </w:tr>
      <w:tr>
        <w:trPr>
          <w:trHeight w:val="311" w:hRule="atLeast"/>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6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 Калуга, ул.</w:t>
            </w:r>
            <w:r>
              <w:rPr>
                <w:color w:themeColor="text1" w:val="000000"/>
                <w:sz w:val="22"/>
                <w:szCs w:val="22"/>
                <w:lang w:val="en-US"/>
              </w:rPr>
              <w:t> </w:t>
            </w:r>
            <w:r>
              <w:rPr>
                <w:color w:themeColor="text1" w:val="000000"/>
                <w:sz w:val="22"/>
                <w:szCs w:val="22"/>
              </w:rPr>
              <w:t>Молодежная, д.19/4</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246</w:t>
            </w:r>
          </w:p>
        </w:tc>
      </w:tr>
      <w:tr>
        <w:trPr>
          <w:trHeight w:val="145" w:hRule="atLeast"/>
        </w:trPr>
        <w:tc>
          <w:tcPr>
            <w:tcW w:w="7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46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Детско-юношеский центр космического образования «Галактика»</w:t>
            </w:r>
          </w:p>
        </w:tc>
        <w:tc>
          <w:tcPr>
            <w:tcW w:w="30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248002, г. Калуга, ул.</w:t>
            </w:r>
            <w:r>
              <w:rPr>
                <w:color w:themeColor="text1" w:val="000000"/>
                <w:sz w:val="22"/>
                <w:szCs w:val="22"/>
                <w:lang w:val="en-US"/>
              </w:rPr>
              <w:t> </w:t>
            </w:r>
            <w:r>
              <w:rPr>
                <w:color w:themeColor="text1" w:val="000000"/>
                <w:sz w:val="22"/>
                <w:szCs w:val="22"/>
              </w:rPr>
              <w:t>Салтыкова-Щедрина, д.66</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275</w:t>
            </w:r>
          </w:p>
        </w:tc>
      </w:tr>
      <w:tr>
        <w:trPr>
          <w:trHeight w:val="254" w:hRule="atLeast"/>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6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248033, г. Калуга, ул.</w:t>
            </w:r>
            <w:r>
              <w:rPr>
                <w:color w:themeColor="text1" w:val="000000"/>
                <w:sz w:val="22"/>
                <w:szCs w:val="22"/>
                <w:lang w:val="en-US"/>
              </w:rPr>
              <w:t> </w:t>
            </w:r>
            <w:r>
              <w:rPr>
                <w:color w:themeColor="text1" w:val="000000"/>
                <w:sz w:val="22"/>
                <w:szCs w:val="22"/>
              </w:rPr>
              <w:t>Академическая, д.6</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201</w:t>
            </w:r>
          </w:p>
        </w:tc>
      </w:tr>
      <w:tr>
        <w:trPr>
          <w:trHeight w:val="76" w:hRule="atLeast"/>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6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248023, г. Калуга, ул.</w:t>
            </w:r>
            <w:r>
              <w:rPr>
                <w:color w:themeColor="text1" w:val="000000"/>
                <w:sz w:val="22"/>
                <w:szCs w:val="22"/>
                <w:lang w:val="en-US"/>
              </w:rPr>
              <w:t> </w:t>
            </w:r>
            <w:r>
              <w:rPr>
                <w:color w:themeColor="text1" w:val="000000"/>
                <w:sz w:val="22"/>
                <w:szCs w:val="22"/>
              </w:rPr>
              <w:t>Маршала Жукова, д.12</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285</w:t>
            </w:r>
          </w:p>
        </w:tc>
      </w:tr>
      <w:tr>
        <w:trPr>
          <w:trHeight w:val="159" w:hRule="atLeast"/>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6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248000, г. Калуга, ул. Мира, д.7а</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80</w:t>
            </w:r>
          </w:p>
        </w:tc>
      </w:tr>
      <w:tr>
        <w:trPr>
          <w:trHeight w:val="1163" w:hRule="atLeast"/>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46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Детский оздоровительно-образовательный (профильный) центр «Белка»</w:t>
            </w:r>
          </w:p>
        </w:tc>
        <w:tc>
          <w:tcPr>
            <w:tcW w:w="3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w:t>
            </w:r>
            <w:r>
              <w:rPr>
                <w:color w:themeColor="text1" w:val="000000"/>
                <w:sz w:val="22"/>
                <w:szCs w:val="22"/>
                <w:lang w:val="en-US"/>
              </w:rPr>
              <w:t> </w:t>
            </w:r>
            <w:r>
              <w:rPr>
                <w:color w:themeColor="text1" w:val="000000"/>
                <w:sz w:val="22"/>
                <w:szCs w:val="22"/>
              </w:rPr>
              <w:t>Калуга, д.</w:t>
            </w:r>
            <w:r>
              <w:rPr>
                <w:color w:themeColor="text1" w:val="000000"/>
                <w:sz w:val="22"/>
                <w:szCs w:val="22"/>
                <w:lang w:val="en-US"/>
              </w:rPr>
              <w:t> </w:t>
            </w:r>
            <w:r>
              <w:rPr>
                <w:color w:themeColor="text1" w:val="000000"/>
                <w:sz w:val="22"/>
                <w:szCs w:val="22"/>
              </w:rPr>
              <w:t>Мстихино</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гл.</w:t>
            </w:r>
            <w:r>
              <w:rPr>
                <w:color w:themeColor="text1" w:val="000000"/>
                <w:sz w:val="22"/>
                <w:szCs w:val="22"/>
                <w:lang w:val="en-US"/>
              </w:rPr>
              <w:t> </w:t>
            </w:r>
            <w:r>
              <w:rPr>
                <w:color w:themeColor="text1" w:val="000000"/>
                <w:sz w:val="22"/>
                <w:szCs w:val="22"/>
              </w:rPr>
              <w:t>корпус- 33; дача № 1- 44; дача № 2- 44; общежитие 19</w:t>
            </w:r>
          </w:p>
        </w:tc>
      </w:tr>
      <w:tr>
        <w:trPr>
          <w:trHeight w:val="755" w:hRule="atLeast"/>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46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Учреждение дополнительного образования Калужской области «Областной экологобиологический центр»</w:t>
            </w:r>
          </w:p>
        </w:tc>
        <w:tc>
          <w:tcPr>
            <w:tcW w:w="3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пер. Старообрядческий, д. 4</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660</w:t>
            </w:r>
          </w:p>
        </w:tc>
      </w:tr>
      <w:tr>
        <w:trPr>
          <w:trHeight w:val="20" w:hRule="atLeast"/>
        </w:trPr>
        <w:tc>
          <w:tcPr>
            <w:tcW w:w="7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46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Областной центр дополнительного образования детей им. Ю.А.</w:t>
            </w:r>
            <w:r>
              <w:rPr>
                <w:color w:themeColor="text1" w:val="000000"/>
                <w:sz w:val="22"/>
                <w:szCs w:val="22"/>
                <w:lang w:val="en-US"/>
              </w:rPr>
              <w:t xml:space="preserve"> </w:t>
            </w:r>
            <w:r>
              <w:rPr>
                <w:color w:themeColor="text1" w:val="000000"/>
                <w:sz w:val="22"/>
                <w:szCs w:val="22"/>
              </w:rPr>
              <w:t>Гагарина</w:t>
            </w:r>
          </w:p>
        </w:tc>
        <w:tc>
          <w:tcPr>
            <w:tcW w:w="30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248016, г. Калуга, ул. Ленина, д. 9</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23" w:hRule="atLeast"/>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62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0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248000, г. Калуга, ул. К. Маркса, д. 1</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400-500</w:t>
            </w:r>
          </w:p>
        </w:tc>
      </w:tr>
      <w:tr>
        <w:trPr>
          <w:trHeight w:val="631" w:hRule="atLeast"/>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46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Детско-юношеский центр «Калужский областной центр туризма, краеведения и экскурсий»</w:t>
            </w:r>
          </w:p>
        </w:tc>
        <w:tc>
          <w:tcPr>
            <w:tcW w:w="3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Луначарского, д. 36</w:t>
            </w:r>
          </w:p>
        </w:tc>
        <w:tc>
          <w:tcPr>
            <w:tcW w:w="169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125</w:t>
            </w:r>
          </w:p>
        </w:tc>
      </w:tr>
    </w:tbl>
    <w:p>
      <w:pPr>
        <w:pStyle w:val="Normal"/>
        <w:ind w:firstLine="397"/>
        <w:jc w:val="both"/>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5.3.3.</w:t>
      </w:r>
    </w:p>
    <w:p>
      <w:pPr>
        <w:pStyle w:val="Normal"/>
        <w:jc w:val="center"/>
        <w:rPr>
          <w:color w:themeColor="text1" w:val="000000"/>
        </w:rPr>
      </w:pPr>
      <w:r>
        <w:rPr>
          <w:color w:themeColor="text1" w:val="000000"/>
        </w:rPr>
        <w:t xml:space="preserve">Перечень учреждений среднего профессионального образования, </w:t>
      </w:r>
    </w:p>
    <w:p>
      <w:pPr>
        <w:pStyle w:val="Normal"/>
        <w:jc w:val="center"/>
        <w:rPr>
          <w:color w:themeColor="text1" w:val="000000"/>
          <w:sz w:val="22"/>
          <w:szCs w:val="22"/>
        </w:rPr>
      </w:pPr>
      <w:r>
        <w:rPr>
          <w:color w:themeColor="text1" w:val="000000"/>
        </w:rPr>
        <w:t>расположенных на территории городского округа</w:t>
      </w:r>
    </w:p>
    <w:tbl>
      <w:tblPr>
        <w:tblW w:w="10183"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519"/>
        <w:gridCol w:w="5926"/>
        <w:gridCol w:w="3738"/>
      </w:tblGrid>
      <w:tr>
        <w:trPr>
          <w:tblHeader w:val="true"/>
          <w:trHeight w:val="432" w:hRule="atLeast"/>
        </w:trPr>
        <w:tc>
          <w:tcPr>
            <w:tcW w:w="51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592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73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r>
      <w:tr>
        <w:trPr>
          <w:trHeight w:val="23" w:hRule="atLeast"/>
        </w:trPr>
        <w:tc>
          <w:tcPr>
            <w:tcW w:w="10183"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themeColor="text1" w:val="000000"/>
                <w:sz w:val="22"/>
                <w:szCs w:val="22"/>
              </w:rPr>
            </w:pPr>
            <w:r>
              <w:rPr>
                <w:b/>
                <w:color w:themeColor="text1" w:val="000000"/>
                <w:sz w:val="22"/>
                <w:szCs w:val="22"/>
              </w:rPr>
              <w:t>Регионального подчинения</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коммунально-строительный техникум»</w:t>
            </w:r>
          </w:p>
          <w:p>
            <w:pPr>
              <w:pStyle w:val="Normal"/>
              <w:widowControl w:val="false"/>
              <w:rPr>
                <w:color w:themeColor="text1" w:val="000000"/>
                <w:sz w:val="22"/>
                <w:szCs w:val="22"/>
              </w:rPr>
            </w:pPr>
            <w:r>
              <w:rPr>
                <w:color w:themeColor="text1" w:val="000000"/>
                <w:sz w:val="22"/>
                <w:szCs w:val="22"/>
              </w:rPr>
              <w:t>им. И.К. Ципулина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248640, г. Калуга, ул. Маршала Жукова, д.53</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колледж экономики и технологий</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248001, г. Калуга, ул. Рылеева, д.39</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технический колледж</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248009, г. Калуга, Грабцевское шоссе, д.126</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кадетский многопрофильный техникум»</w:t>
            </w:r>
          </w:p>
          <w:p>
            <w:pPr>
              <w:pStyle w:val="Normal"/>
              <w:widowControl w:val="false"/>
              <w:rPr>
                <w:color w:themeColor="text1" w:val="000000"/>
                <w:sz w:val="22"/>
                <w:szCs w:val="22"/>
              </w:rPr>
            </w:pPr>
            <w:r>
              <w:rPr>
                <w:color w:themeColor="text1" w:val="000000"/>
                <w:sz w:val="22"/>
                <w:szCs w:val="22"/>
              </w:rPr>
              <w:t>им. А.Т. Карпова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248021, г. Калуга, ул. Московская, д.245</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индустриально-педагогический колледж</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248021, г. Калуга, ул. Поле Свободы, д.28а</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колледж сервиса и дизайна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248012, г. Калуга, ул. Кубяка, д.1</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колледж народного хозяйства и природообустройства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248030, г. Калуга, ул. Герцена, д.34</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техникум электронных приборов</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248018, г. Калуга, ул. Маршала Жукова, д.35</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областной колледж культуры и искусств</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248001, г. Калуга, ул. Суворова, д.143</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областной музыкальный колледж</w:t>
              <w:br/>
              <w:t>им. С.И. Танеева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248000, г. Калуга, ул. Кутузова, д. 24</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базовый медицинский колледж</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248000, г. Калуга, ул. Кутузова, д. 26</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транспортно-технологический техникум</w:t>
            </w:r>
          </w:p>
          <w:p>
            <w:pPr>
              <w:pStyle w:val="Normal"/>
              <w:widowControl w:val="false"/>
              <w:rPr>
                <w:color w:themeColor="text1" w:val="000000"/>
                <w:sz w:val="22"/>
                <w:szCs w:val="22"/>
              </w:rPr>
            </w:pPr>
            <w:r>
              <w:rPr>
                <w:color w:themeColor="text1" w:val="000000"/>
                <w:sz w:val="22"/>
                <w:szCs w:val="22"/>
              </w:rPr>
              <w:t>им. А.Т. Карпова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249850, г. Калуга, п. Куровской, ул. Шахтерская, д.9</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shd w:val="clear" w:color="auto" w:fill="FFFFFF"/>
              <w:suppressAutoHyphens w:val="false"/>
              <w:spacing w:beforeAutospacing="1" w:after="0"/>
              <w:rPr>
                <w:color w:themeColor="text1" w:val="000000"/>
                <w:sz w:val="22"/>
                <w:szCs w:val="22"/>
                <w:lang w:eastAsia="ru-RU"/>
              </w:rPr>
            </w:pPr>
            <w:r>
              <w:rPr>
                <w:color w:themeColor="text1" w:val="000000"/>
                <w:sz w:val="22"/>
                <w:szCs w:val="22"/>
                <w:lang w:eastAsia="ru-RU"/>
              </w:rPr>
              <w:t>Государственное автономное профессиональное образовательное учреждение Калужской области «Калужский технический колледж»</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248009, г. Калуга, Грабцевское шоссе, д.126</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Калужское подразделение Московского центра профессиональных квалификаций</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248600, г. Калуга, ул. Космонавта Комарова, д. 57</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кадетский многопрофильный техникум им. А.Т. Карпова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248021, г. Калуга, ул. Московская, д.245</w:t>
            </w:r>
          </w:p>
        </w:tc>
      </w:tr>
      <w:tr>
        <w:trPr>
          <w:trHeight w:val="23" w:hRule="atLeast"/>
        </w:trPr>
        <w:tc>
          <w:tcPr>
            <w:tcW w:w="10183"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color w:themeColor="text1" w:val="000000"/>
                <w:sz w:val="22"/>
                <w:szCs w:val="22"/>
              </w:rPr>
            </w:pPr>
            <w:r>
              <w:rPr>
                <w:b/>
                <w:color w:themeColor="text1" w:val="000000"/>
                <w:sz w:val="22"/>
                <w:szCs w:val="22"/>
              </w:rPr>
              <w:t>Негосударственные</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Среднерусский колледж управления и бизнеса</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248000, г. Калуга, ул. Гагарина д.1</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Юридический полицейский колледж</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248021, г. Калуга, Грабцевское шоссе, д.22а</w:t>
            </w:r>
          </w:p>
        </w:tc>
      </w:tr>
      <w:tr>
        <w:trPr>
          <w:trHeight w:val="2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5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Духовное училище по подготовке регентов и иконописцев Калужской Епархии Русской Православной Церкви</w:t>
            </w:r>
          </w:p>
        </w:tc>
        <w:tc>
          <w:tcPr>
            <w:tcW w:w="37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248000, г. Калуга, ул. Дарвина</w:t>
              <w:br/>
              <w:t>д. 13/33</w:t>
            </w:r>
          </w:p>
        </w:tc>
      </w:tr>
    </w:tbl>
    <w:p>
      <w:pPr>
        <w:pStyle w:val="Normal"/>
        <w:ind w:firstLine="397"/>
        <w:jc w:val="both"/>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5.3.4.</w:t>
      </w:r>
    </w:p>
    <w:p>
      <w:pPr>
        <w:pStyle w:val="Normal"/>
        <w:jc w:val="center"/>
        <w:rPr>
          <w:color w:themeColor="text1" w:val="000000"/>
        </w:rPr>
      </w:pPr>
      <w:r>
        <w:rPr>
          <w:color w:themeColor="text1" w:val="000000"/>
        </w:rPr>
        <w:t xml:space="preserve">Перечень учреждений образовательных организаций высшего образования, </w:t>
      </w:r>
    </w:p>
    <w:p>
      <w:pPr>
        <w:pStyle w:val="Normal"/>
        <w:jc w:val="center"/>
        <w:rPr>
          <w:color w:themeColor="text1" w:val="000000"/>
          <w:sz w:val="22"/>
          <w:szCs w:val="22"/>
        </w:rPr>
      </w:pPr>
      <w:r>
        <w:rPr>
          <w:color w:themeColor="text1" w:val="000000"/>
        </w:rPr>
        <w:t>расположенных на территории городского округа</w:t>
      </w:r>
    </w:p>
    <w:tbl>
      <w:tblPr>
        <w:tblW w:w="10083"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519"/>
        <w:gridCol w:w="5596"/>
        <w:gridCol w:w="3968"/>
      </w:tblGrid>
      <w:tr>
        <w:trPr>
          <w:tblHeader w:val="true"/>
          <w:trHeight w:val="440" w:hRule="atLeast"/>
        </w:trPr>
        <w:tc>
          <w:tcPr>
            <w:tcW w:w="51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559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96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r>
      <w:tr>
        <w:trPr>
          <w:trHeight w:val="698"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государственный университет</w:t>
            </w:r>
          </w:p>
          <w:p>
            <w:pPr>
              <w:pStyle w:val="Normal"/>
              <w:widowControl w:val="false"/>
              <w:rPr>
                <w:color w:themeColor="text1" w:val="000000"/>
                <w:sz w:val="22"/>
                <w:szCs w:val="22"/>
              </w:rPr>
            </w:pPr>
            <w:r>
              <w:rPr>
                <w:color w:themeColor="text1" w:val="000000"/>
                <w:sz w:val="22"/>
                <w:szCs w:val="22"/>
              </w:rPr>
              <w:t>им. К.Э. Циолковского</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248023, Калужская область,</w:t>
              <w:br/>
              <w:t>г. Калуга, ул. Степана Разина, д.26</w:t>
            </w:r>
          </w:p>
        </w:tc>
      </w:tr>
      <w:tr>
        <w:trPr>
          <w:trHeight w:val="1012"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Московский государственный технический университет им. Н. Э. Баумана (национальный исследовательский университет)</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Калужская область,</w:t>
              <w:br/>
              <w:t>г. Калуга, ул. Баженова, 2</w:t>
            </w:r>
          </w:p>
          <w:p>
            <w:pPr>
              <w:pStyle w:val="Normal"/>
              <w:widowControl w:val="false"/>
              <w:rPr/>
            </w:pPr>
            <w:r>
              <w:rPr>
                <w:color w:themeColor="text1" w:val="000000"/>
                <w:sz w:val="22"/>
                <w:szCs w:val="22"/>
              </w:rPr>
              <w:t>ул. Университетский Городок, д.1 корп. 2</w:t>
            </w:r>
          </w:p>
        </w:tc>
      </w:tr>
      <w:tr>
        <w:trPr>
          <w:trHeight w:val="719"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Российский государственный аграрный университет - МСХА имени К. А. Тимирязева</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248007, Калужская область,</w:t>
              <w:br/>
              <w:t>г. Калуга, ул. Вишневского, д. 27</w:t>
            </w:r>
          </w:p>
        </w:tc>
      </w:tr>
      <w:tr>
        <w:trPr>
          <w:trHeight w:val="56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Финансовый университет при Правительстве Российской Федерации</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Калужская область,</w:t>
              <w:br/>
              <w:t>г. Калуга, ул. Чижевского, д.17</w:t>
            </w:r>
          </w:p>
        </w:tc>
      </w:tr>
      <w:tr>
        <w:trPr>
          <w:trHeight w:val="800"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Российская академия народного хозяйства и государственной службы при Президенте РФ (Калужский филиал РАНХиГС)</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248021, Калужская область,</w:t>
              <w:br/>
              <w:t>г. Калуга, ул. Окружная, д.4 корп. 3</w:t>
            </w:r>
          </w:p>
        </w:tc>
      </w:tr>
      <w:tr>
        <w:trPr>
          <w:trHeight w:val="787"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Всероссийский государственный университет юстиции (РПА Минюста России)</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248023, Калужская область,</w:t>
              <w:br/>
              <w:t>г. Калуга, ул. Московская, д.256а</w:t>
            </w:r>
          </w:p>
        </w:tc>
      </w:tr>
      <w:tr>
        <w:trPr>
          <w:trHeight w:val="56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Институт управления, бизнеса и технологий</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Калужская обл., г. Калуга,</w:t>
              <w:br/>
              <w:t>ул. Гагарина д.1</w:t>
            </w:r>
          </w:p>
        </w:tc>
      </w:tr>
      <w:tr>
        <w:trPr>
          <w:trHeight w:val="625"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Московский гуманитарно-экономический университет» Калужский институт</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248001, Калужская обл., г. Калуга,</w:t>
              <w:br/>
              <w:t>ул. Гагарина, д.1</w:t>
            </w:r>
          </w:p>
        </w:tc>
      </w:tr>
      <w:tr>
        <w:trPr>
          <w:trHeight w:val="575"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филиал Российского государственного аграрного университета имени В. И. Вернадского</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Калужская обл., г. Калуга,</w:t>
              <w:br/>
              <w:t>ул. Огарева, д. 5</w:t>
            </w:r>
          </w:p>
        </w:tc>
      </w:tr>
      <w:tr>
        <w:trPr>
          <w:trHeight w:val="625"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Петербургский государственный университет путей сообщения Императора Александра I в г. Калуге</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Калужская обл., г. Калуга,</w:t>
              <w:br/>
              <w:t>ул. Вилонова, д.11</w:t>
            </w:r>
          </w:p>
        </w:tc>
      </w:tr>
      <w:tr>
        <w:trPr>
          <w:trHeight w:val="612"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институт дополнительного профессионального образования в сфере АПК</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248018, Калужская обл., г. Калуга, ул. Константиновых, д.4</w:t>
            </w:r>
          </w:p>
        </w:tc>
      </w:tr>
      <w:tr>
        <w:trPr>
          <w:trHeight w:val="643"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Калужская духовная семинария</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Калужская обл., г. Калуга, ул. Набережная, 4</w:t>
            </w:r>
          </w:p>
        </w:tc>
      </w:tr>
      <w:tr>
        <w:trPr>
          <w:trHeight w:val="625" w:hRule="atLeast"/>
        </w:trPr>
        <w:tc>
          <w:tcPr>
            <w:tcW w:w="51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559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Московский финансово-юридический университет (Калужский филиал)</w:t>
            </w:r>
          </w:p>
        </w:tc>
        <w:tc>
          <w:tcPr>
            <w:tcW w:w="39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Калужская обл., г. Калуга, ул. Ленина, д.51</w:t>
            </w:r>
          </w:p>
        </w:tc>
      </w:tr>
    </w:tbl>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5.3.5.</w:t>
      </w:r>
    </w:p>
    <w:p>
      <w:pPr>
        <w:pStyle w:val="Normal"/>
        <w:jc w:val="center"/>
        <w:rPr>
          <w:color w:themeColor="text1" w:val="000000"/>
        </w:rPr>
      </w:pPr>
      <w:r>
        <w:rPr>
          <w:color w:themeColor="text1" w:val="000000"/>
        </w:rPr>
        <w:t xml:space="preserve">Перечень научных организаций, </w:t>
      </w:r>
    </w:p>
    <w:p>
      <w:pPr>
        <w:pStyle w:val="Normal"/>
        <w:jc w:val="center"/>
        <w:rPr>
          <w:color w:themeColor="text1" w:val="000000"/>
          <w:sz w:val="22"/>
          <w:szCs w:val="22"/>
        </w:rPr>
      </w:pPr>
      <w:r>
        <w:rPr>
          <w:color w:themeColor="text1" w:val="000000"/>
        </w:rPr>
        <w:t>расположенных на территории городского округа</w:t>
      </w:r>
    </w:p>
    <w:tbl>
      <w:tblPr>
        <w:tblW w:w="10070"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516"/>
        <w:gridCol w:w="6536"/>
        <w:gridCol w:w="3018"/>
      </w:tblGrid>
      <w:tr>
        <w:trPr>
          <w:tblHeader w:val="true"/>
          <w:trHeight w:val="405" w:hRule="atLeast"/>
        </w:trPr>
        <w:tc>
          <w:tcPr>
            <w:tcW w:w="51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rPr>
            </w:pPr>
            <w:r>
              <w:rPr>
                <w:b/>
                <w:color w:themeColor="text1" w:val="000000"/>
                <w:sz w:val="22"/>
                <w:szCs w:val="22"/>
              </w:rPr>
              <w:t>№</w:t>
            </w:r>
          </w:p>
        </w:tc>
        <w:tc>
          <w:tcPr>
            <w:tcW w:w="653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rPr>
            </w:pPr>
            <w:r>
              <w:rPr>
                <w:b/>
                <w:color w:themeColor="text1" w:val="000000"/>
                <w:sz w:val="22"/>
                <w:szCs w:val="22"/>
              </w:rPr>
              <w:t>Наименование</w:t>
            </w:r>
          </w:p>
        </w:tc>
        <w:tc>
          <w:tcPr>
            <w:tcW w:w="301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rPr>
            </w:pPr>
            <w:r>
              <w:rPr>
                <w:b/>
                <w:color w:themeColor="text1" w:val="000000"/>
                <w:sz w:val="22"/>
                <w:szCs w:val="22"/>
              </w:rPr>
              <w:t>Адрес</w:t>
            </w:r>
          </w:p>
        </w:tc>
      </w:tr>
      <w:tr>
        <w:trPr>
          <w:trHeight w:val="333" w:hRule="atLeast"/>
        </w:trPr>
        <w:tc>
          <w:tcPr>
            <w:tcW w:w="51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653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Федеральный научно-исследовательский центр «Кристаллография и фотоника» Российской академии наук</w:t>
            </w:r>
          </w:p>
        </w:tc>
        <w:tc>
          <w:tcPr>
            <w:tcW w:w="30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248640, г. Калуга, ул. Академическая</w:t>
            </w:r>
          </w:p>
        </w:tc>
      </w:tr>
      <w:tr>
        <w:trPr>
          <w:trHeight w:val="536" w:hRule="atLeast"/>
        </w:trPr>
        <w:tc>
          <w:tcPr>
            <w:tcW w:w="51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653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Производственное объединение им. С.А. Лавочкина</w:t>
            </w:r>
          </w:p>
        </w:tc>
        <w:tc>
          <w:tcPr>
            <w:tcW w:w="30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Октябрьская, д. 17</w:t>
            </w:r>
          </w:p>
        </w:tc>
      </w:tr>
      <w:tr>
        <w:trPr>
          <w:trHeight w:val="400" w:hRule="atLeast"/>
        </w:trPr>
        <w:tc>
          <w:tcPr>
            <w:tcW w:w="51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653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научно-исследовательский институт телемеханических устройств</w:t>
            </w:r>
          </w:p>
        </w:tc>
        <w:tc>
          <w:tcPr>
            <w:tcW w:w="30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К. Маркса, д. 4</w:t>
            </w:r>
          </w:p>
        </w:tc>
      </w:tr>
      <w:tr>
        <w:trPr>
          <w:trHeight w:val="509" w:hRule="atLeast"/>
        </w:trPr>
        <w:tc>
          <w:tcPr>
            <w:tcW w:w="51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653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Производственное внедренческое предприятие «Турбокон»</w:t>
            </w:r>
          </w:p>
        </w:tc>
        <w:tc>
          <w:tcPr>
            <w:tcW w:w="30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 Калуга, ул. Комсомольская роща, д.43</w:t>
            </w:r>
          </w:p>
        </w:tc>
      </w:tr>
      <w:tr>
        <w:trPr>
          <w:trHeight w:val="759" w:hRule="atLeast"/>
        </w:trPr>
        <w:tc>
          <w:tcPr>
            <w:tcW w:w="51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653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центр научно-технической информации – филиал федерального государственного учреждения «Российское энергетическое агентство» Минэнерго России</w:t>
            </w:r>
          </w:p>
        </w:tc>
        <w:tc>
          <w:tcPr>
            <w:tcW w:w="30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 Калуга, пл. Старый торг, д. 9/10</w:t>
            </w:r>
          </w:p>
        </w:tc>
      </w:tr>
    </w:tbl>
    <w:p>
      <w:pPr>
        <w:pStyle w:val="Normal"/>
        <w:ind w:hanging="0"/>
        <w:jc w:val="both"/>
        <w:rPr>
          <w:color w:themeColor="text1" w:val="000000"/>
        </w:rPr>
      </w:pPr>
      <w:r>
        <w:rPr>
          <w:color w:themeColor="text1" w:val="000000"/>
        </w:rPr>
      </w:r>
      <w:r>
        <w:br w:type="page"/>
      </w:r>
    </w:p>
    <w:p>
      <w:pPr>
        <w:pStyle w:val="Normal"/>
        <w:spacing w:before="0" w:after="60"/>
        <w:ind w:firstLine="709"/>
        <w:jc w:val="both"/>
        <w:rPr>
          <w:b/>
          <w:bCs/>
          <w:color w:themeColor="text1" w:val="000000"/>
        </w:rPr>
      </w:pPr>
      <w:r>
        <w:rPr>
          <w:b/>
          <w:bCs/>
          <w:color w:themeColor="text1" w:val="000000"/>
        </w:rPr>
        <w:t>Объекты здравоохранения</w:t>
      </w:r>
    </w:p>
    <w:p>
      <w:pPr>
        <w:pStyle w:val="Normal"/>
        <w:ind w:firstLine="709"/>
        <w:jc w:val="both"/>
        <w:rPr>
          <w:color w:themeColor="text1" w:val="000000"/>
        </w:rPr>
      </w:pPr>
      <w:r>
        <w:rPr>
          <w:color w:themeColor="text1" w:val="000000"/>
        </w:rPr>
        <w:t>Учреждения здравоохранения в зависимости от объемов предоставляемых медицинских услуг распределены по уровням следующим образом:</w:t>
      </w:r>
    </w:p>
    <w:p>
      <w:pPr>
        <w:pStyle w:val="Normal"/>
        <w:ind w:firstLine="709"/>
        <w:jc w:val="both"/>
        <w:rPr>
          <w:color w:themeColor="text1" w:val="000000"/>
        </w:rPr>
      </w:pPr>
      <w:r>
        <w:rPr>
          <w:b/>
          <w:color w:themeColor="text1" w:val="000000"/>
        </w:rPr>
        <w:t>1 уровень:</w:t>
      </w:r>
      <w:r>
        <w:rPr>
          <w:color w:themeColor="text1" w:val="000000"/>
        </w:rPr>
        <w:t xml:space="preserve"> учреждения здравоохранения - юридические лица, оказывающие специализированную медицинскую помощь, в том числе высокотехнологичную специализированную медицинскую помощь (при наличии соответствующих подразделений);</w:t>
      </w:r>
    </w:p>
    <w:p>
      <w:pPr>
        <w:pStyle w:val="Normal"/>
        <w:ind w:firstLine="709"/>
        <w:jc w:val="both"/>
        <w:rPr>
          <w:color w:themeColor="text1" w:val="000000"/>
        </w:rPr>
      </w:pPr>
      <w:r>
        <w:rPr>
          <w:b/>
          <w:color w:themeColor="text1" w:val="000000"/>
        </w:rPr>
        <w:t>2 уровень:</w:t>
      </w:r>
      <w:r>
        <w:rPr>
          <w:color w:themeColor="text1" w:val="000000"/>
        </w:rPr>
        <w:t xml:space="preserve"> учреждения здравоохранения - юридические лица, оказывающие специализированную медицинскую помощь (без оказания высокотехнологичной специализированной медицинской помощи);</w:t>
      </w:r>
    </w:p>
    <w:p>
      <w:pPr>
        <w:pStyle w:val="Normal"/>
        <w:ind w:firstLine="709"/>
        <w:jc w:val="both"/>
        <w:rPr>
          <w:color w:themeColor="text1" w:val="000000"/>
        </w:rPr>
      </w:pPr>
      <w:r>
        <w:rPr>
          <w:b/>
          <w:color w:themeColor="text1" w:val="000000"/>
        </w:rPr>
        <w:t>3 уровень:</w:t>
      </w:r>
      <w:r>
        <w:rPr>
          <w:color w:themeColor="text1" w:val="000000"/>
        </w:rPr>
        <w:t xml:space="preserve"> учреждения здравоохранения - юридические лица, оказывающие специализированную и первичную медико-санитарную помощь (учреждения, на базе которых имеются монопрофильные и многопрофильные специализированные межмуниципальные центры);</w:t>
      </w:r>
    </w:p>
    <w:p>
      <w:pPr>
        <w:pStyle w:val="Normal"/>
        <w:ind w:firstLine="709"/>
        <w:jc w:val="both"/>
        <w:rPr>
          <w:color w:themeColor="text1" w:val="000000"/>
        </w:rPr>
      </w:pPr>
      <w:r>
        <w:rPr>
          <w:b/>
          <w:color w:themeColor="text1" w:val="000000"/>
        </w:rPr>
        <w:t>4 и 5 уровни:</w:t>
      </w:r>
      <w:r>
        <w:rPr>
          <w:color w:themeColor="text1" w:val="000000"/>
        </w:rPr>
        <w:t xml:space="preserve"> учреждения здравоохранения - юридические лица, оказывающие первичную медико-санитарную медицинскую помощь, учреждения здравоохранения - юридические лица, расположенные в сельской местности.</w:t>
      </w:r>
    </w:p>
    <w:p>
      <w:pPr>
        <w:pStyle w:val="Style70"/>
        <w:spacing w:before="0" w:after="0"/>
        <w:jc w:val="right"/>
        <w:rPr>
          <w:color w:themeColor="text1" w:val="000000"/>
        </w:rPr>
      </w:pPr>
      <w:r>
        <w:rPr>
          <w:color w:themeColor="text1" w:val="000000"/>
        </w:rPr>
        <w:t>Таблица 5.3.6.</w:t>
      </w:r>
    </w:p>
    <w:p>
      <w:pPr>
        <w:pStyle w:val="Normal"/>
        <w:jc w:val="center"/>
        <w:rPr>
          <w:color w:themeColor="text1" w:val="000000"/>
          <w:sz w:val="22"/>
          <w:szCs w:val="22"/>
        </w:rPr>
      </w:pPr>
      <w:r>
        <w:rPr>
          <w:color w:themeColor="text1" w:val="000000"/>
        </w:rPr>
        <w:t>Межмуниципальные и районные медицинские центры</w:t>
      </w:r>
    </w:p>
    <w:tbl>
      <w:tblPr>
        <w:tblW w:w="10070"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3666"/>
        <w:gridCol w:w="2492"/>
        <w:gridCol w:w="3912"/>
      </w:tblGrid>
      <w:tr>
        <w:trPr>
          <w:trHeight w:val="50" w:hRule="atLeast"/>
        </w:trPr>
        <w:tc>
          <w:tcPr>
            <w:tcW w:w="366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rPr>
            </w:pPr>
            <w:r>
              <w:rPr>
                <w:b/>
                <w:color w:themeColor="text1" w:val="000000"/>
                <w:sz w:val="22"/>
                <w:szCs w:val="22"/>
              </w:rPr>
              <w:t>Наименование муниципального образования, в котором открывается межмуниципальный медицинский центр</w:t>
            </w:r>
          </w:p>
        </w:tc>
        <w:tc>
          <w:tcPr>
            <w:tcW w:w="249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rPr>
            </w:pPr>
            <w:r>
              <w:rPr>
                <w:b/>
                <w:color w:themeColor="text1" w:val="000000"/>
                <w:sz w:val="22"/>
                <w:szCs w:val="22"/>
              </w:rPr>
              <w:t>Район обслуживания</w:t>
            </w:r>
          </w:p>
        </w:tc>
        <w:tc>
          <w:tcPr>
            <w:tcW w:w="391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rPr>
            </w:pPr>
            <w:r>
              <w:rPr>
                <w:b/>
                <w:color w:themeColor="text1" w:val="000000"/>
                <w:sz w:val="22"/>
                <w:szCs w:val="22"/>
              </w:rPr>
              <w:t>Профиль оказываемой помощи</w:t>
            </w:r>
          </w:p>
        </w:tc>
      </w:tr>
      <w:tr>
        <w:trPr>
          <w:trHeight w:val="50" w:hRule="atLeast"/>
        </w:trPr>
        <w:tc>
          <w:tcPr>
            <w:tcW w:w="3666" w:type="dxa"/>
            <w:tcBorders>
              <w:top w:val="single" w:sz="4" w:space="0" w:color="000000"/>
              <w:left w:val="single" w:sz="4" w:space="0" w:color="000000"/>
              <w:bottom w:val="single" w:sz="4" w:space="0" w:color="000000"/>
            </w:tcBorders>
            <w:shd w:color="auto" w:fill="auto" w:val="clear"/>
          </w:tcPr>
          <w:p>
            <w:pPr>
              <w:pStyle w:val="Normal"/>
              <w:widowControl w:val="false"/>
              <w:rPr>
                <w:color w:themeColor="text1" w:val="000000"/>
              </w:rPr>
            </w:pPr>
            <w:r>
              <w:rPr>
                <w:color w:themeColor="text1" w:val="000000"/>
                <w:sz w:val="22"/>
                <w:szCs w:val="22"/>
              </w:rPr>
              <w:t>г. Калуга</w:t>
            </w:r>
          </w:p>
        </w:tc>
        <w:tc>
          <w:tcPr>
            <w:tcW w:w="2492" w:type="dxa"/>
            <w:tcBorders>
              <w:top w:val="single" w:sz="4" w:space="0" w:color="000000"/>
              <w:left w:val="single" w:sz="4" w:space="0" w:color="000000"/>
              <w:bottom w:val="single" w:sz="4" w:space="0" w:color="000000"/>
            </w:tcBorders>
            <w:shd w:color="auto" w:fill="auto" w:val="clear"/>
          </w:tcPr>
          <w:p>
            <w:pPr>
              <w:pStyle w:val="Normal"/>
              <w:widowControl w:val="false"/>
              <w:rPr>
                <w:color w:themeColor="text1" w:val="000000"/>
              </w:rPr>
            </w:pPr>
            <w:r>
              <w:rPr>
                <w:color w:themeColor="text1" w:val="000000"/>
                <w:sz w:val="22"/>
                <w:szCs w:val="22"/>
              </w:rPr>
              <w:t>г. Калуга, Перемышльский, Ферзиковский, Бабынинский, Тарусский районы</w:t>
            </w:r>
          </w:p>
          <w:p>
            <w:pPr>
              <w:pStyle w:val="Normal"/>
              <w:widowControl w:val="false"/>
              <w:rPr>
                <w:color w:themeColor="text1" w:val="000000"/>
              </w:rPr>
            </w:pPr>
            <w:r>
              <w:rPr>
                <w:color w:themeColor="text1" w:val="000000"/>
                <w:sz w:val="22"/>
                <w:szCs w:val="22"/>
              </w:rPr>
              <w:t>(407 тыс. человек)</w:t>
            </w:r>
          </w:p>
        </w:tc>
        <w:tc>
          <w:tcPr>
            <w:tcW w:w="391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rPr>
            </w:pPr>
            <w:r>
              <w:rPr>
                <w:color w:themeColor="text1" w:val="000000"/>
                <w:sz w:val="22"/>
                <w:szCs w:val="22"/>
              </w:rPr>
              <w:t>Педиатрия, хирургия, урология, офтальмология, ПСО (кардиология, неврология), сосудистая хирургия, пульмонология, травматология, ожоговое отделение, стоматология, онкология, инфекция, акушерство, неонатология, гинекология, 2 центра здоровья (для детей и взрослых)</w:t>
            </w:r>
          </w:p>
        </w:tc>
      </w:tr>
    </w:tbl>
    <w:p>
      <w:pPr>
        <w:pStyle w:val="Normal"/>
        <w:ind w:firstLine="709"/>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5.3.7.</w:t>
      </w:r>
    </w:p>
    <w:p>
      <w:pPr>
        <w:pStyle w:val="Normal"/>
        <w:jc w:val="center"/>
        <w:rPr>
          <w:color w:themeColor="text1" w:val="000000"/>
        </w:rPr>
      </w:pPr>
      <w:r>
        <w:rPr>
          <w:color w:themeColor="text1" w:val="000000"/>
        </w:rPr>
        <w:t xml:space="preserve">Перечень учреждений в сфере здравоохранения, </w:t>
      </w:r>
    </w:p>
    <w:p>
      <w:pPr>
        <w:pStyle w:val="Normal"/>
        <w:jc w:val="center"/>
        <w:rPr>
          <w:color w:themeColor="text1" w:val="000000"/>
          <w:sz w:val="22"/>
          <w:szCs w:val="22"/>
        </w:rPr>
      </w:pPr>
      <w:r>
        <w:rPr>
          <w:color w:themeColor="text1" w:val="000000"/>
        </w:rPr>
        <w:t>расположенных на территории городского округа</w:t>
      </w:r>
    </w:p>
    <w:tbl>
      <w:tblPr>
        <w:tblW w:w="10083"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562"/>
        <w:gridCol w:w="5204"/>
        <w:gridCol w:w="4317"/>
      </w:tblGrid>
      <w:tr>
        <w:trPr>
          <w:tblHeader w:val="true"/>
          <w:trHeight w:val="390" w:hRule="atLeast"/>
        </w:trPr>
        <w:tc>
          <w:tcPr>
            <w:tcW w:w="56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520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431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«Медико-санитарная часть № 1»</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Московская, д. 241</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«Калужская областная клиническая больница скорой медицинской помощи» им. К.Н. Шевченко</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Октябрьская, д. 3</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«Городская клиническая больница № 2 «Сосновая роща»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Социалистическая, д. 2а</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highlight w:val="yellow"/>
              </w:rPr>
            </w:pPr>
            <w:r>
              <w:rPr>
                <w:color w:themeColor="text1" w:val="000000"/>
                <w:sz w:val="22"/>
                <w:szCs w:val="22"/>
              </w:rPr>
              <w:t>ГБУЗ КО «Городская поликлиника»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Московская, д. 247</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«Детская городская больница»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Салтыкова-Щедрина, д. 11</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«Калужская городская больница № 5»</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Космонавта Комарова, д. 4</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«Калужская городская клиническая больница № 4 им. Хлюстина Антона Семеновича»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Болдина, д. 4</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«Калужская областная клиническая детская больница»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Вишневского, д. 1</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«Калужский областной клинический кожно-венерологический диспансер»</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Первомайская, д. 33</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«Калужский областной клинический онкологический диспансер»</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Вишневского, д. 2</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«Областная клиническая туберкулезная больница»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Максима Горького, д. 85</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«Региональный центр скорой медицинской помощи и медицины катастроф»</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Максима Горького, зд. 85 стр. 4</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ГБУЗКО «Калужская областная клиническая больница»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Вишневского, д. 1</w:t>
            </w:r>
          </w:p>
        </w:tc>
      </w:tr>
      <w:tr>
        <w:trPr>
          <w:trHeight w:val="237"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«Диализ-мед Калуга»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Вишневского, д. 15</w:t>
            </w:r>
          </w:p>
        </w:tc>
      </w:tr>
      <w:tr>
        <w:trPr>
          <w:trHeight w:val="503" w:hRule="atLeas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52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«ДЦ Нефрос-Калуга»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Салтыкова-Щедрина, д. 133а</w:t>
            </w:r>
          </w:p>
        </w:tc>
      </w:tr>
      <w:tr>
        <w:trPr>
          <w:trHeight w:val="13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«Евромед»</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Луначарского, д 57</w:t>
            </w:r>
          </w:p>
        </w:tc>
      </w:tr>
      <w:tr>
        <w:trPr>
          <w:trHeight w:val="35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«Клиника доктора Фомина. Калуга»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Пушкина, д. 4</w:t>
            </w:r>
          </w:p>
        </w:tc>
      </w:tr>
      <w:tr>
        <w:trPr>
          <w:trHeight w:val="236"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«МТК «Микрохирургия глаза»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Вишневского, д. 15</w:t>
            </w:r>
          </w:p>
        </w:tc>
      </w:tr>
      <w:tr>
        <w:trPr>
          <w:trHeight w:val="308"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«Современная медицина»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Циолковского, д. 67/1</w:t>
            </w:r>
          </w:p>
        </w:tc>
      </w:tr>
      <w:tr>
        <w:trPr>
          <w:trHeight w:val="255"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«Центр ЭКО»</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Плеханова, д. 41</w:t>
            </w:r>
          </w:p>
        </w:tc>
      </w:tr>
      <w:tr>
        <w:trPr>
          <w:trHeight w:val="315"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УЗ Медсанчасть № 2 г. Калуги</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Московская, д. 249</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ФКУЗ «МСЧ МВД России по Калужской области»</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Калинина, д. 13</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ЧУЗ «РЖД-Медицина» г. Калуга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Болотникова, д. 1</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АНО «Центр экстренной медицинской помощи «Антониус Медвизион»</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проезд 1-й Автомобильный, д. 9</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ГАУЗ КО «Калужская областная детская стоматологическая поликлиника»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 xml:space="preserve"> </w:t>
            </w:r>
            <w:r>
              <w:rPr>
                <w:color w:themeColor="text1" w:val="000000"/>
                <w:sz w:val="22"/>
                <w:szCs w:val="22"/>
              </w:rPr>
              <w:t>г. Калуга, ул. Вилонова, д. 35</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ГАУЗ КО «Калужская областная клиническая стоматологическая поликлиника»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Ленина, д. 111</w:t>
            </w:r>
          </w:p>
        </w:tc>
      </w:tr>
      <w:tr>
        <w:trPr>
          <w:trHeight w:val="208"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ООО «Стоматолог»</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Московская, д. 36</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ГАУЗ КО «Калужский областной специализированный центр инфекционных заболеваний и СПИД»</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Грабцевское шоссе, д. 115</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Центр СПИД Калуга поликлиника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Степана Разина, д. 1</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«Городской родильный дом»</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Максима Горького, д. 67</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ФБУЗ «Центр гигиены и эпидемиологии в Калужской области»</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Баррикад, д. 181</w:t>
            </w:r>
          </w:p>
        </w:tc>
      </w:tr>
      <w:tr>
        <w:trPr>
          <w:trHeight w:val="251"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32</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«Наркологический диспансер»</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Шахтеров, д. 5</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КО «Калужская областная психиатрическая больница им. А.Е. Лифшица»</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Маяковского, д. 55/16</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ГБУЗ Калужская областная станция переливания крови</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Максима Горького, д. 71</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Поликлиника со стационаром структурное подразделение ФГКУ 1586 ВКГ минобороны России</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Герцена, д.18</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36</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ГКУЗ КО «Дом ребенка, специализированный для детей с органическим поражением центральной нервной системы с нарушением психики»</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Войкова, д .35</w:t>
            </w:r>
          </w:p>
        </w:tc>
      </w:tr>
      <w:tr>
        <w:trPr>
          <w:trHeight w:val="348"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37</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Резванская врачебная амбулатория</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Буровая (Резвань), д. 3</w:t>
            </w:r>
          </w:p>
        </w:tc>
      </w:tr>
      <w:tr>
        <w:trPr>
          <w:trHeight w:val="337"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Мстихинская врачебная амбулатория</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Мстихино, ул. Лесная, д. 24</w:t>
            </w:r>
          </w:p>
        </w:tc>
      </w:tr>
      <w:tr>
        <w:trPr>
          <w:trHeight w:val="338"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39</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Росвянская врачебная амбулатория</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 Росва, ул. Советская, д.19а</w:t>
            </w:r>
          </w:p>
        </w:tc>
      </w:tr>
      <w:tr>
        <w:trPr>
          <w:trHeight w:val="35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Врачебная амбулатория ст. Калуга 2</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Привокзальная, д.11</w:t>
            </w:r>
          </w:p>
        </w:tc>
      </w:tr>
      <w:tr>
        <w:trPr>
          <w:trHeight w:val="337"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41</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Колюпановская врачебная амбулатория</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Колюпаново, д. 14а</w:t>
            </w:r>
          </w:p>
        </w:tc>
      </w:tr>
      <w:tr>
        <w:trPr>
          <w:trHeight w:val="275"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42</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Куровская врачебная амбулатория</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Мира, д.4 (мкр. Куровской)</w:t>
            </w:r>
          </w:p>
        </w:tc>
      </w:tr>
      <w:tr>
        <w:trPr>
          <w:trHeight w:val="175"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43</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Григоровский 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д. Григоровка</w:t>
            </w:r>
          </w:p>
        </w:tc>
      </w:tr>
      <w:tr>
        <w:trPr>
          <w:trHeight w:val="362"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Канищевский 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д. Канищево, ул. Новая, д. 3</w:t>
            </w:r>
          </w:p>
        </w:tc>
      </w:tr>
      <w:tr>
        <w:trPr>
          <w:trHeight w:val="40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45</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Андреевский 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Андреевское, пер. Ясный</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46</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Фельдшерско-акушерский пункт «Городская поликлиника № 4»</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40-летия Октября, д.3а</w:t>
            </w:r>
          </w:p>
        </w:tc>
      </w:tr>
      <w:tr>
        <w:trPr>
          <w:trHeight w:val="284"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47</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Ильинский 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Ильинка, ул. Центральная, зд. 27а</w:t>
            </w:r>
          </w:p>
        </w:tc>
      </w:tr>
      <w:tr>
        <w:trPr>
          <w:trHeight w:val="275"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48</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Лихунский 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Лихун, ул. Успенская, д. 1/7</w:t>
            </w:r>
          </w:p>
        </w:tc>
      </w:tr>
      <w:tr>
        <w:trPr>
          <w:trHeight w:val="225"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49</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Доможировский 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д. Груздово, д. 4</w:t>
            </w:r>
          </w:p>
        </w:tc>
      </w:tr>
      <w:tr>
        <w:trPr>
          <w:trHeight w:val="20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Пучковский 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д. Пучково, пер. Совхозный</w:t>
            </w:r>
          </w:p>
        </w:tc>
      </w:tr>
      <w:tr>
        <w:trPr>
          <w:trHeight w:val="99"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51</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p>
            <w:pPr>
              <w:pStyle w:val="Normal"/>
              <w:widowControl w:val="false"/>
              <w:rPr>
                <w:color w:themeColor="text1" w:val="000000"/>
                <w:sz w:val="22"/>
                <w:szCs w:val="22"/>
              </w:rPr>
            </w:pPr>
            <w:r>
              <w:rPr>
                <w:color w:themeColor="text1" w:val="000000"/>
                <w:sz w:val="22"/>
                <w:szCs w:val="22"/>
              </w:rPr>
              <w:t>ул. Муратовского Щебзавода, д.1</w:t>
            </w:r>
          </w:p>
        </w:tc>
      </w:tr>
      <w:tr>
        <w:trPr>
          <w:trHeight w:val="503"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52</w:t>
            </w:r>
          </w:p>
        </w:tc>
        <w:tc>
          <w:tcPr>
            <w:tcW w:w="5204"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Фельдшерско-акушерский пункт</w:t>
            </w:r>
          </w:p>
        </w:tc>
        <w:tc>
          <w:tcPr>
            <w:tcW w:w="43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д. Сивково</w:t>
            </w:r>
          </w:p>
        </w:tc>
      </w:tr>
    </w:tbl>
    <w:p>
      <w:pPr>
        <w:sectPr>
          <w:headerReference w:type="default" r:id="rId44"/>
          <w:headerReference w:type="first" r:id="rId45"/>
          <w:footerReference w:type="default" r:id="rId46"/>
          <w:footerReference w:type="first" r:id="rId47"/>
          <w:footnotePr>
            <w:numFmt w:val="decimal"/>
          </w:footnotePr>
          <w:type w:val="nextPage"/>
          <w:pgSz w:w="11906" w:h="16838"/>
          <w:pgMar w:left="1418" w:right="709" w:gutter="0" w:header="567" w:top="1128" w:footer="0" w:bottom="544"/>
          <w:pgNumType w:fmt="decimal"/>
          <w:formProt w:val="false"/>
          <w:titlePg/>
          <w:textDirection w:val="lrTb"/>
          <w:docGrid w:type="default" w:linePitch="360" w:charSpace="0"/>
        </w:sectPr>
      </w:pPr>
    </w:p>
    <w:p>
      <w:pPr>
        <w:pStyle w:val="Normal"/>
        <w:spacing w:before="60" w:after="60"/>
        <w:ind w:firstLine="709"/>
        <w:jc w:val="both"/>
        <w:rPr>
          <w:b/>
          <w:bCs/>
          <w:color w:themeColor="text1" w:val="000000"/>
        </w:rPr>
      </w:pPr>
      <w:r>
        <w:rPr>
          <w:b/>
          <w:bCs/>
          <w:color w:themeColor="text1" w:val="000000"/>
        </w:rPr>
        <w:t>Объекты физической культуры и массового спорта</w:t>
      </w:r>
    </w:p>
    <w:p>
      <w:pPr>
        <w:pStyle w:val="Style70"/>
        <w:spacing w:before="0" w:after="0"/>
        <w:ind w:firstLine="709"/>
        <w:rPr>
          <w:color w:themeColor="text1" w:val="000000"/>
        </w:rPr>
      </w:pPr>
      <w:r>
        <w:rPr>
          <w:color w:themeColor="text1" w:val="000000"/>
        </w:rPr>
        <w:t>Город обладает развитой сетью объектов физической культуры и массового спорта, которая включает в себя 33 спортивных организации. Эти объекты служат важными элементами социальной инфраструктуры города, предоставляя возможности для занятий спортом и физической активностью для всех возрастных групп и слоев населения.</w:t>
      </w:r>
    </w:p>
    <w:p>
      <w:pPr>
        <w:pStyle w:val="Style70"/>
        <w:spacing w:before="0" w:after="0"/>
        <w:jc w:val="right"/>
        <w:rPr>
          <w:color w:themeColor="text1" w:val="000000"/>
        </w:rPr>
      </w:pPr>
      <w:r>
        <w:rPr>
          <w:color w:themeColor="text1" w:val="000000"/>
        </w:rPr>
        <w:t>Таблица 5.3.8.</w:t>
      </w:r>
    </w:p>
    <w:p>
      <w:pPr>
        <w:pStyle w:val="Style70"/>
        <w:spacing w:before="0" w:after="0"/>
        <w:ind w:hanging="0"/>
        <w:jc w:val="center"/>
        <w:rPr>
          <w:color w:themeColor="text1" w:val="000000"/>
        </w:rPr>
      </w:pPr>
      <w:r>
        <w:rPr>
          <w:color w:themeColor="text1" w:val="000000"/>
        </w:rPr>
        <w:t xml:space="preserve">Перечень объектов спорта и физической культуры, </w:t>
      </w:r>
    </w:p>
    <w:p>
      <w:pPr>
        <w:pStyle w:val="Style70"/>
        <w:spacing w:before="0" w:after="0"/>
        <w:ind w:hanging="0"/>
        <w:jc w:val="center"/>
        <w:rPr>
          <w:color w:themeColor="text1" w:val="000000"/>
          <w:sz w:val="2"/>
          <w:szCs w:val="2"/>
        </w:rPr>
      </w:pPr>
      <w:r>
        <w:rPr>
          <w:color w:themeColor="text1" w:val="000000"/>
        </w:rPr>
        <w:t>расположенных на территории городского округа</w:t>
      </w:r>
    </w:p>
    <w:p>
      <w:pPr>
        <w:pStyle w:val="Normal"/>
        <w:spacing w:lineRule="exact" w:line="1" w:before="0" w:after="101"/>
        <w:rPr>
          <w:color w:themeColor="text1" w:val="000000"/>
          <w:sz w:val="2"/>
          <w:szCs w:val="2"/>
        </w:rPr>
      </w:pPr>
      <w:r>
        <w:rPr>
          <w:color w:themeColor="text1" w:val="000000"/>
          <w:sz w:val="2"/>
          <w:szCs w:val="2"/>
        </w:rPr>
      </w:r>
    </w:p>
    <w:tbl>
      <w:tblPr>
        <w:tblW w:w="9923" w:type="dxa"/>
        <w:jc w:val="center"/>
        <w:tblInd w:w="0" w:type="dxa"/>
        <w:tblLayout w:type="fixed"/>
        <w:tblCellMar>
          <w:top w:w="0" w:type="dxa"/>
          <w:left w:w="40" w:type="dxa"/>
          <w:bottom w:w="0" w:type="dxa"/>
          <w:right w:w="40" w:type="dxa"/>
        </w:tblCellMar>
        <w:tblLook w:firstRow="0" w:noVBand="0" w:lastRow="0" w:firstColumn="0" w:lastColumn="0" w:noHBand="0" w:val="0000"/>
      </w:tblPr>
      <w:tblGrid>
        <w:gridCol w:w="459"/>
        <w:gridCol w:w="2457"/>
        <w:gridCol w:w="2390"/>
        <w:gridCol w:w="2792"/>
        <w:gridCol w:w="1825"/>
      </w:tblGrid>
      <w:tr>
        <w:trPr>
          <w:tblHeader w:val="true"/>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245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организации</w:t>
            </w:r>
          </w:p>
        </w:tc>
        <w:tc>
          <w:tcPr>
            <w:tcW w:w="239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объекта</w:t>
            </w:r>
          </w:p>
        </w:tc>
        <w:tc>
          <w:tcPr>
            <w:tcW w:w="279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82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Единовременная пропускная способность, чел.</w:t>
            </w:r>
          </w:p>
        </w:tc>
      </w:tr>
      <w:tr>
        <w:trPr>
          <w:trHeight w:val="531"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«СШОР «Темп» 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br/>
              <w:t>317,2 кв.м (25,82*12,15*26,3)</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Пухова, д.52, стр.2</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46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Тренажерный зал</w:t>
              <w:br/>
              <w:t>39,7 кв.м (11,66*3,42)</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Пухова, д.52, стр.2</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5</w:t>
            </w:r>
          </w:p>
        </w:tc>
      </w:tr>
      <w:tr>
        <w:trPr>
          <w:trHeight w:val="397"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СШ № 5 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Нежилое помещение в многоквартирном доме</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Суворова,</w:t>
              <w:br/>
              <w:t>д. 118, пом. № 110</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до 30</w:t>
            </w:r>
          </w:p>
        </w:tc>
      </w:tr>
      <w:tr>
        <w:trPr>
          <w:trHeight w:val="30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МБОУ ДО «Центр «Красная Звезда» 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Никитина, д.121</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40</w:t>
            </w:r>
          </w:p>
        </w:tc>
      </w:tr>
      <w:tr>
        <w:trPr>
          <w:trHeight w:val="540"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Открытая спортивная площадка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Никитина, д.121</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35</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«ДПЦ «Содружество»</w:t>
            </w:r>
          </w:p>
          <w:p>
            <w:pPr>
              <w:pStyle w:val="Normal"/>
              <w:widowControl w:val="false"/>
              <w:rPr>
                <w:color w:themeColor="text1" w:val="000000"/>
                <w:sz w:val="22"/>
                <w:szCs w:val="22"/>
              </w:rPr>
            </w:pPr>
            <w:r>
              <w:rPr>
                <w:color w:themeColor="text1" w:val="000000"/>
                <w:sz w:val="22"/>
                <w:szCs w:val="22"/>
              </w:rPr>
              <w:t>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Открытая универсальная спортивная площадка с искусственным покрытием</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Территория жилой застройки в микрорайоне Правобережье г. Калуги, вдоль ул. Комфортной, в</w:t>
              <w:br/>
              <w:t>10 м от жилого дома № 18 к.2, расположенного по ул. Генерала Попова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2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СШ «Старт» 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Территория МБУ ДО СШ «Старт» г. Калуги</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Тарутинская, д. 232а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45</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Тир</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Гурьянова,</w:t>
            </w:r>
          </w:p>
          <w:p>
            <w:pPr>
              <w:pStyle w:val="Normal"/>
              <w:widowControl w:val="false"/>
              <w:rPr>
                <w:color w:themeColor="text1" w:val="000000"/>
                <w:sz w:val="22"/>
                <w:szCs w:val="22"/>
              </w:rPr>
            </w:pPr>
            <w:r>
              <w:rPr>
                <w:color w:themeColor="text1" w:val="000000"/>
                <w:sz w:val="22"/>
                <w:szCs w:val="22"/>
              </w:rPr>
              <w:t>д. 65</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11</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pPr>
            <w:r>
              <w:rPr>
                <w:color w:themeColor="text1" w:val="000000"/>
                <w:sz w:val="22"/>
                <w:szCs w:val="22"/>
              </w:rPr>
              <w:t>МБУ ДО</w:t>
              <w:br/>
              <w:t>«СШ «Фехтование»</w:t>
            </w:r>
          </w:p>
          <w:p>
            <w:pPr>
              <w:pStyle w:val="Normal"/>
              <w:widowControl w:val="false"/>
              <w:rPr>
                <w:color w:themeColor="text1" w:val="000000"/>
                <w:sz w:val="22"/>
                <w:szCs w:val="22"/>
              </w:rPr>
            </w:pPr>
            <w:r>
              <w:rPr>
                <w:color w:themeColor="text1" w:val="000000"/>
                <w:sz w:val="22"/>
                <w:szCs w:val="22"/>
              </w:rPr>
              <w:t>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2 спортивных зала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Плеханова,</w:t>
            </w:r>
          </w:p>
          <w:p>
            <w:pPr>
              <w:pStyle w:val="Normal"/>
              <w:widowControl w:val="false"/>
              <w:rPr>
                <w:color w:themeColor="text1" w:val="000000"/>
                <w:sz w:val="22"/>
                <w:szCs w:val="22"/>
              </w:rPr>
            </w:pPr>
            <w:r>
              <w:rPr>
                <w:color w:themeColor="text1" w:val="000000"/>
                <w:sz w:val="22"/>
                <w:szCs w:val="22"/>
              </w:rPr>
              <w:t>д. 2, корп. 2</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63</w:t>
            </w:r>
          </w:p>
        </w:tc>
      </w:tr>
      <w:tr>
        <w:trPr>
          <w:trHeight w:val="640"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СШ «Персей» 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ул.Светлая, д.14</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75</w:t>
            </w:r>
          </w:p>
        </w:tc>
      </w:tr>
      <w:tr>
        <w:trPr>
          <w:trHeight w:val="576"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Октябрьская, д. 2</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45</w:t>
            </w:r>
          </w:p>
        </w:tc>
      </w:tr>
      <w:tr>
        <w:trPr>
          <w:trHeight w:val="2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МАУ «ДСС»</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Гурьянова, д.65</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80</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Многофункциональный 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Грабцевское шоссе, д.41в</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120</w:t>
            </w:r>
          </w:p>
        </w:tc>
      </w:tr>
      <w:tr>
        <w:trPr>
          <w:trHeight w:val="555"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Грабцевское шоссе, д.43</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90</w:t>
            </w:r>
          </w:p>
        </w:tc>
      </w:tr>
      <w:tr>
        <w:trPr>
          <w:trHeight w:val="40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Спортивная площадка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Площадь Маяковского</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p>
            <w:pPr>
              <w:pStyle w:val="Normal"/>
              <w:widowControl w:val="false"/>
              <w:rPr>
                <w:color w:themeColor="text1" w:val="000000"/>
                <w:sz w:val="22"/>
                <w:szCs w:val="22"/>
              </w:rPr>
            </w:pPr>
            <w:r>
              <w:rPr>
                <w:color w:themeColor="text1" w:val="000000"/>
                <w:sz w:val="22"/>
                <w:szCs w:val="22"/>
              </w:rPr>
              <w:t>Полуподвальное помещение многоквартирного жилого дома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Генерала Попова, д.13</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666"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Спортивная площадка открытого типа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Московская, д.215</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491"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Спортивная площадка открытого типа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Площадь Маяковского напротив дома № 22</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2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«СШ «Торпедо» 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Ленина, д.50</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35</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Спортивная площадка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Ленина, д.50</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45</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пер. Малинники, д. 18</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45</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Футбольное поле</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пер. Малинники, д. 18</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438"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Стадион</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Тепличная</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Привокзальная, д.11а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45</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Комплекс спортивных площадок</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сквер Космонавта Волкова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СШ «Космос» г. Калуги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Ледовая арена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Генерала Попова, д.17</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СШ № 1 им. ЗТР Сидоренко В.Г.</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Спортзал «Строитель»</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Никитина,</w:t>
            </w:r>
          </w:p>
          <w:p>
            <w:pPr>
              <w:pStyle w:val="Normal"/>
              <w:widowControl w:val="false"/>
              <w:rPr>
                <w:color w:themeColor="text1" w:val="000000"/>
                <w:sz w:val="22"/>
                <w:szCs w:val="22"/>
              </w:rPr>
            </w:pPr>
            <w:r>
              <w:rPr>
                <w:color w:themeColor="text1" w:val="000000"/>
                <w:sz w:val="22"/>
                <w:szCs w:val="22"/>
              </w:rPr>
              <w:t>д. 74</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ДО СШ «ЛУЧ»</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Тепличная,</w:t>
            </w:r>
          </w:p>
          <w:p>
            <w:pPr>
              <w:pStyle w:val="Normal"/>
              <w:widowControl w:val="false"/>
              <w:rPr>
                <w:color w:themeColor="text1" w:val="000000"/>
                <w:sz w:val="22"/>
                <w:szCs w:val="22"/>
              </w:rPr>
            </w:pPr>
            <w:r>
              <w:rPr>
                <w:color w:themeColor="text1" w:val="000000"/>
                <w:sz w:val="22"/>
                <w:szCs w:val="22"/>
              </w:rPr>
              <w:t>д. 7а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654"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ГАУ ДО КО «СШ «Победа»</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Спортивная школа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Суворова, д.179</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200</w:t>
            </w:r>
          </w:p>
        </w:tc>
      </w:tr>
      <w:tr>
        <w:trPr>
          <w:trHeight w:val="6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ГБУ ДО КО «СШ «Спартак»</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Никитина, д.70б</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53</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ГАУ ДО КО «СШОР «Труд»</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Трехэтажный кирпичный спортивный комплекс</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Подгорная, 57а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244</w:t>
            </w:r>
          </w:p>
        </w:tc>
      </w:tr>
      <w:tr>
        <w:trPr>
          <w:trHeight w:val="66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ГАУ КО «ЦСП «Анненки»</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Анненки, д.5</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200</w:t>
            </w:r>
          </w:p>
        </w:tc>
      </w:tr>
      <w:tr>
        <w:trPr>
          <w:trHeight w:val="700"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Спортивное сооружение (игровая площадка)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Анненки, д.5</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от 200 до 300</w:t>
            </w:r>
          </w:p>
        </w:tc>
      </w:tr>
      <w:tr>
        <w:trPr>
          <w:trHeight w:val="2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ГБУ ДО КО «СШОР «Юность»</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pPr>
            <w:r>
              <w:rPr>
                <w:color w:themeColor="text1" w:val="000000"/>
                <w:sz w:val="22"/>
                <w:szCs w:val="22"/>
              </w:rPr>
              <w:t>ОСДЮСШОР «Юность» (бассейн, зал спортивной и художественной гимнастики, зал борьбы, зал легкой атлетики, тренажерный зал, зал сухого плавания, легкоатлетический стадион)</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Калуга, ул. Болдина, д.18</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291</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Зал борьбы</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 xml:space="preserve"> </w:t>
            </w:r>
            <w:r>
              <w:rPr>
                <w:color w:themeColor="text1" w:val="000000"/>
                <w:sz w:val="22"/>
                <w:szCs w:val="22"/>
              </w:rPr>
              <w:t>г. Калуга, ул. Кубяка, д.20, стр. 4</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ГАУ ДО КО «СШОР «Орленок»</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Территория спортивной подготовки с лыжероллерной трассой</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с. Пригородного лесничества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110</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r>
          </w:p>
          <w:p>
            <w:pPr>
              <w:pStyle w:val="Normal"/>
              <w:widowControl w:val="false"/>
              <w:rPr>
                <w:color w:themeColor="text1" w:val="000000"/>
                <w:sz w:val="22"/>
                <w:szCs w:val="22"/>
              </w:rPr>
            </w:pPr>
            <w:r>
              <w:rPr>
                <w:color w:themeColor="text1" w:val="000000"/>
                <w:sz w:val="22"/>
                <w:szCs w:val="22"/>
              </w:rPr>
              <w:t>ГБУ ДО КО «СШ «Многоборец»</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Легкоатлетический тир-манеж</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Беговая, д.8, пом.3</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52</w:t>
            </w:r>
          </w:p>
        </w:tc>
      </w:tr>
      <w:tr>
        <w:trPr>
          <w:trHeight w:val="2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ГБУ ДО КО «СШОР по гребному спорту Вячеслава Иванова»</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Берег Яченского водохранилища, гребная база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Берег Яченского водохранилища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96</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Гребная база</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Подвойского, д.20</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36</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ГБУ ДО КО «Спортивная Школа «Снайпер</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Тир стрелковый</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Кирова, д.57б</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45</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ГБУ ДО КО «СШОР по конному спорту»</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Здание манежа и конюшни</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Ипподромная, д.6</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6</w:t>
            </w:r>
          </w:p>
        </w:tc>
      </w:tr>
      <w:tr>
        <w:trPr>
          <w:trHeight w:val="23" w:hRule="atLeast"/>
        </w:trPr>
        <w:tc>
          <w:tcPr>
            <w:tcW w:w="459"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245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ГАУ ДО КО «СШ по футболу Калуга»</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Стадион «Арена «Анненки»</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Анненки, д. 5</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99</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Футбольно-тренировочное поле с искусственным покрытием</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Анненки, д. 5</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Тренировочная площадка «Спутник»:</w:t>
            </w:r>
          </w:p>
          <w:p>
            <w:pPr>
              <w:pStyle w:val="Normal"/>
              <w:widowControl w:val="false"/>
              <w:rPr>
                <w:color w:themeColor="text1" w:val="000000"/>
                <w:sz w:val="22"/>
                <w:szCs w:val="22"/>
              </w:rPr>
            </w:pPr>
            <w:r>
              <w:rPr>
                <w:color w:themeColor="text1" w:val="000000"/>
                <w:sz w:val="22"/>
                <w:szCs w:val="22"/>
              </w:rPr>
              <w:t>- футбольное поле с натуральным покрытием:</w:t>
            </w:r>
          </w:p>
          <w:p>
            <w:pPr>
              <w:pStyle w:val="Normal"/>
              <w:widowControl w:val="false"/>
              <w:rPr>
                <w:color w:themeColor="text1" w:val="000000"/>
                <w:sz w:val="22"/>
                <w:szCs w:val="22"/>
              </w:rPr>
            </w:pPr>
            <w:r>
              <w:rPr>
                <w:color w:themeColor="text1" w:val="000000"/>
                <w:sz w:val="22"/>
                <w:szCs w:val="22"/>
              </w:rPr>
              <w:t>- скалодромный комплекс уличный</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Тульское шоссе, д.57</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25</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20</w:t>
            </w:r>
          </w:p>
        </w:tc>
      </w:tr>
      <w:tr>
        <w:trPr>
          <w:trHeight w:val="23" w:hRule="atLeast"/>
        </w:trPr>
        <w:tc>
          <w:tcPr>
            <w:tcW w:w="459"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tc>
        <w:tc>
          <w:tcPr>
            <w:tcW w:w="2457"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color w:themeColor="text1" w:val="000000"/>
                <w:sz w:val="22"/>
                <w:szCs w:val="22"/>
              </w:rPr>
            </w:pPr>
            <w:r>
              <w:rPr>
                <w:color w:themeColor="text1" w:val="000000"/>
                <w:sz w:val="22"/>
                <w:szCs w:val="22"/>
              </w:rPr>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Тренировочная площадка «Орбита»:</w:t>
            </w:r>
          </w:p>
          <w:p>
            <w:pPr>
              <w:pStyle w:val="Normal"/>
              <w:widowControl w:val="false"/>
              <w:rPr>
                <w:color w:themeColor="text1" w:val="000000"/>
                <w:sz w:val="22"/>
                <w:szCs w:val="22"/>
              </w:rPr>
            </w:pPr>
            <w:r>
              <w:rPr>
                <w:color w:themeColor="text1" w:val="000000"/>
                <w:sz w:val="22"/>
                <w:szCs w:val="22"/>
              </w:rPr>
              <w:t>- футбольное поле с искусственным покрытием</w:t>
            </w:r>
          </w:p>
          <w:p>
            <w:pPr>
              <w:pStyle w:val="Normal"/>
              <w:widowControl w:val="false"/>
              <w:rPr>
                <w:color w:themeColor="text1" w:val="000000"/>
                <w:sz w:val="22"/>
                <w:szCs w:val="22"/>
              </w:rPr>
            </w:pPr>
            <w:r>
              <w:rPr>
                <w:color w:themeColor="text1" w:val="000000"/>
                <w:sz w:val="22"/>
                <w:szCs w:val="22"/>
              </w:rPr>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Калуга, Грабцевское шоссе, д.93</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25</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ГАУ КО «Дворец спорта «Центральный»</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Многофункциональный спортивный комплекс</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Ленина, д.57</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760</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pPr>
            <w:r>
              <w:rPr>
                <w:color w:themeColor="text1" w:val="000000"/>
                <w:sz w:val="22"/>
                <w:szCs w:val="22"/>
              </w:rPr>
              <w:t>Бассейн – структурное подразделение Калужского государственного университета</w:t>
            </w:r>
          </w:p>
          <w:p>
            <w:pPr>
              <w:pStyle w:val="Normal"/>
              <w:widowControl w:val="false"/>
              <w:rPr>
                <w:color w:themeColor="text1" w:val="000000"/>
                <w:sz w:val="22"/>
                <w:szCs w:val="22"/>
              </w:rPr>
            </w:pPr>
            <w:r>
              <w:rPr>
                <w:color w:themeColor="text1" w:val="000000"/>
                <w:sz w:val="22"/>
                <w:szCs w:val="22"/>
              </w:rPr>
              <w:t>им. К. Э. Циолковского</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Бассейн</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Фомушина, д.1</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26</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КРОО ОГО ВФСО «Динамо»</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Веры Андриановой, д.27</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27</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СШОР по конному спорту</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Конный клуб</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Волковская, 1а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28</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Бассейн «Сокол»</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Бассейн</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Анненки, д.6</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29</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МАУ СШОР «Вымпел»</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Телевизионная, д.18</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30</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Спортивно- оздоровительный центр «Дельфин»</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Бассейн, тренажерный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Московская,</w:t>
            </w:r>
          </w:p>
          <w:p>
            <w:pPr>
              <w:pStyle w:val="Normal"/>
              <w:widowControl w:val="false"/>
              <w:rPr>
                <w:color w:themeColor="text1" w:val="000000"/>
                <w:sz w:val="22"/>
                <w:szCs w:val="22"/>
              </w:rPr>
            </w:pPr>
            <w:r>
              <w:rPr>
                <w:color w:themeColor="text1" w:val="000000"/>
                <w:sz w:val="22"/>
                <w:szCs w:val="22"/>
              </w:rPr>
              <w:t>д. 209б</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комплекс «Рубин»</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Генерала Попова, д.3</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32</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МБУ Спортивная школа «Шашки русские»</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Спортивный зал</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Веры Андриановой, д.68а</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459"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33</w:t>
            </w:r>
          </w:p>
        </w:tc>
        <w:tc>
          <w:tcPr>
            <w:tcW w:w="245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Горнолыжный комплекс «Квань»</w:t>
            </w:r>
          </w:p>
        </w:tc>
        <w:tc>
          <w:tcPr>
            <w:tcW w:w="2390"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Горнолыжный комплекс</w:t>
            </w:r>
          </w:p>
        </w:tc>
        <w:tc>
          <w:tcPr>
            <w:tcW w:w="279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rPr>
                <w:color w:themeColor="text1" w:val="000000"/>
                <w:sz w:val="22"/>
                <w:szCs w:val="22"/>
              </w:rPr>
            </w:pPr>
            <w:r>
              <w:rPr>
                <w:color w:themeColor="text1" w:val="000000"/>
                <w:sz w:val="22"/>
                <w:szCs w:val="22"/>
              </w:rPr>
              <w:t>г. Калуга, ул. Трамплинная, д.1в</w:t>
            </w:r>
          </w:p>
        </w:tc>
        <w:tc>
          <w:tcPr>
            <w:tcW w:w="1825"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color w:themeColor="text1" w:val="000000"/>
                <w:sz w:val="22"/>
                <w:szCs w:val="22"/>
              </w:rPr>
            </w:pPr>
            <w:r>
              <w:rPr>
                <w:color w:themeColor="text1" w:val="000000"/>
                <w:sz w:val="22"/>
                <w:szCs w:val="22"/>
              </w:rPr>
              <w:t>-</w:t>
            </w:r>
          </w:p>
        </w:tc>
      </w:tr>
    </w:tbl>
    <w:p>
      <w:pPr>
        <w:pStyle w:val="Normal"/>
        <w:spacing w:before="0" w:after="60"/>
        <w:ind w:firstLine="709"/>
        <w:jc w:val="both"/>
        <w:rPr>
          <w:b/>
          <w:bCs/>
          <w:color w:themeColor="text1" w:val="000000"/>
        </w:rPr>
      </w:pPr>
      <w:r>
        <w:rPr>
          <w:b/>
          <w:bCs/>
          <w:color w:themeColor="text1" w:val="000000"/>
        </w:rPr>
        <w:t>Объекты культуры и искусства</w:t>
      </w:r>
    </w:p>
    <w:p>
      <w:pPr>
        <w:pStyle w:val="Style70"/>
        <w:spacing w:before="0" w:after="0"/>
        <w:ind w:firstLine="709"/>
        <w:rPr>
          <w:color w:themeColor="text1" w:val="000000"/>
        </w:rPr>
      </w:pPr>
      <w:r>
        <w:rPr>
          <w:color w:themeColor="text1" w:val="000000"/>
        </w:rPr>
        <w:t>К полномочиям местного самоуправления в сфере культуры относится 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w:t>
      </w:r>
    </w:p>
    <w:p>
      <w:pPr>
        <w:pStyle w:val="Style70"/>
        <w:spacing w:before="0" w:after="0"/>
        <w:jc w:val="right"/>
        <w:rPr>
          <w:color w:themeColor="text1" w:val="000000"/>
        </w:rPr>
      </w:pPr>
      <w:r>
        <w:rPr>
          <w:color w:themeColor="text1" w:val="000000"/>
        </w:rPr>
        <w:t>Таблица 5.3.9.</w:t>
      </w:r>
    </w:p>
    <w:p>
      <w:pPr>
        <w:pStyle w:val="Style70"/>
        <w:spacing w:before="0" w:after="0"/>
        <w:ind w:hanging="0"/>
        <w:jc w:val="center"/>
        <w:rPr>
          <w:color w:themeColor="text1" w:val="000000"/>
        </w:rPr>
      </w:pPr>
      <w:r>
        <w:rPr>
          <w:color w:themeColor="text1" w:val="000000"/>
        </w:rPr>
        <w:t xml:space="preserve">Перечень библиотек, </w:t>
      </w:r>
    </w:p>
    <w:p>
      <w:pPr>
        <w:pStyle w:val="Style70"/>
        <w:spacing w:before="0" w:after="0"/>
        <w:ind w:hanging="0"/>
        <w:jc w:val="center"/>
        <w:rPr>
          <w:color w:themeColor="text1" w:val="000000"/>
          <w:sz w:val="2"/>
          <w:szCs w:val="2"/>
        </w:rPr>
      </w:pPr>
      <w:r>
        <w:rPr>
          <w:color w:themeColor="text1" w:val="000000"/>
        </w:rPr>
        <w:t>расположенных на территории городского округа</w:t>
      </w:r>
    </w:p>
    <w:tbl>
      <w:tblPr>
        <w:tblW w:w="1021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706"/>
        <w:gridCol w:w="4778"/>
        <w:gridCol w:w="3021"/>
        <w:gridCol w:w="1705"/>
      </w:tblGrid>
      <w:tr>
        <w:trPr>
          <w:tblHeader w:val="true"/>
          <w:trHeight w:val="23" w:hRule="atLeast"/>
        </w:trPr>
        <w:tc>
          <w:tcPr>
            <w:tcW w:w="70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477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02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70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 читательских</w:t>
            </w:r>
          </w:p>
          <w:p>
            <w:pPr>
              <w:pStyle w:val="Normal"/>
              <w:widowControl w:val="false"/>
              <w:jc w:val="center"/>
              <w:rPr>
                <w:b/>
                <w:color w:themeColor="text1" w:val="000000"/>
                <w:sz w:val="22"/>
                <w:szCs w:val="22"/>
              </w:rPr>
            </w:pPr>
            <w:r>
              <w:rPr>
                <w:b/>
                <w:color w:themeColor="text1" w:val="000000"/>
                <w:sz w:val="22"/>
                <w:szCs w:val="22"/>
              </w:rPr>
              <w:t>мест</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Калужская областная научная библиотека им. В.Г. Белинского</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Луначарского, д. 6</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400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Областная специальная библиотека для слепых им. Н. Островского</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Поле Свободы,</w:t>
              <w:br/>
              <w:t>д. 36а</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Центральная городская библиотека им. Н.В. Гоголя</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Ленина, д.66/3</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Калужская областная детская библиотека</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Ленина, д.74</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115</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Отдел нестационарных форм обслуживания и семейного чтения государственного казенного учреждения культуры Калужской области «Калужская областная детская библиотека»</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Пухова, д. 41</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25</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Центральная городская детская библиотека им. А.П. Гайдара</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Баррикад, д.8</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86</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1 им. В.В. Маяковского</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Плеханова, д.80</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детская библиотека-филиал № 4</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Ольговская, д.17</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16</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детская библиотека-филиал № 5</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Хрустальная, д.66</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16</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7 им. Н.А. Некрасова</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Никитина, д.81</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54</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8</w:t>
            </w:r>
          </w:p>
          <w:p>
            <w:pPr>
              <w:pStyle w:val="Normal"/>
              <w:widowControl w:val="false"/>
              <w:rPr>
                <w:color w:themeColor="text1" w:val="000000"/>
                <w:sz w:val="22"/>
                <w:szCs w:val="22"/>
              </w:rPr>
            </w:pPr>
            <w:r>
              <w:rPr>
                <w:color w:themeColor="text1" w:val="000000"/>
                <w:sz w:val="22"/>
                <w:szCs w:val="22"/>
              </w:rPr>
              <w:t>им. С.А. Есенина</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пер. Малинники, д.16</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48</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9 им. А.С. Пушкина</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Чичерина, д.11</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38</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11</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Болотникова, д.15</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12</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Платова, д.22</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13</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Карачевская, д.25</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14</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Вишневского, д.23а</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16</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Комсомольская, д.5</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18</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Дубрава, д.12</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18</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Сельская библиотека-филиал № 22</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д. Плетеневка, ул. Труда, д.2 к.1</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25</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Советская, д.107</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26</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Шахтерская, д.3</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8</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Сельская библиотека-филиал № 27</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Шопино, ул. Центральная, д.18</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12</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детская библиотека-филиал № 28 им. В.Д. Берестова</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Грабцевское шоссе, д.116</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 32</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Генерала Попова, д.11/1</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35</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Сельская библиотека-филиал № 34</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 Росва, ул. Московская, д.6а</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детская библиотека-филиал № 35</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Карачевская, д.25</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библиотека-филиал №36 МБУ</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б-р Моторостроителей, д. 9</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40</w:t>
            </w:r>
          </w:p>
        </w:tc>
      </w:tr>
      <w:tr>
        <w:trPr>
          <w:trHeight w:val="340"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w:t>
            </w:r>
          </w:p>
        </w:tc>
        <w:tc>
          <w:tcPr>
            <w:tcW w:w="4778"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Пункт выдачи литературы</w:t>
            </w:r>
          </w:p>
        </w:tc>
        <w:tc>
          <w:tcPr>
            <w:tcW w:w="30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Style w:val="Res"/>
                <w:color w:themeColor="text1" w:val="000000"/>
                <w:sz w:val="22"/>
                <w:szCs w:val="22"/>
              </w:rPr>
            </w:pPr>
            <w:r>
              <w:rPr>
                <w:color w:themeColor="text1" w:val="000000"/>
                <w:sz w:val="22"/>
                <w:szCs w:val="22"/>
              </w:rPr>
              <w:t>д. Колюпаново, д. 3</w:t>
            </w:r>
          </w:p>
        </w:tc>
        <w:tc>
          <w:tcPr>
            <w:tcW w:w="170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bl>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5.3.10.</w:t>
      </w:r>
    </w:p>
    <w:p>
      <w:pPr>
        <w:pStyle w:val="Style70"/>
        <w:spacing w:before="0" w:after="0"/>
        <w:ind w:hanging="0"/>
        <w:jc w:val="center"/>
        <w:rPr>
          <w:color w:themeColor="text1" w:val="000000"/>
        </w:rPr>
      </w:pPr>
      <w:r>
        <w:rPr>
          <w:color w:themeColor="text1" w:val="000000"/>
        </w:rPr>
        <w:t xml:space="preserve">Перечень объектов культурно-досугового (клубного) типа, </w:t>
      </w:r>
    </w:p>
    <w:p>
      <w:pPr>
        <w:pStyle w:val="Style70"/>
        <w:spacing w:before="0" w:after="0"/>
        <w:ind w:hanging="0"/>
        <w:jc w:val="center"/>
        <w:rPr>
          <w:color w:themeColor="text1" w:val="000000"/>
          <w:sz w:val="2"/>
          <w:szCs w:val="2"/>
        </w:rPr>
      </w:pPr>
      <w:r>
        <w:rPr>
          <w:color w:themeColor="text1" w:val="000000"/>
        </w:rPr>
        <w:t>расположенных на территории городского округа</w:t>
      </w:r>
    </w:p>
    <w:tbl>
      <w:tblPr>
        <w:tblW w:w="1021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10"/>
        <w:gridCol w:w="4702"/>
        <w:gridCol w:w="3467"/>
        <w:gridCol w:w="1531"/>
      </w:tblGrid>
      <w:tr>
        <w:trPr>
          <w:tblHeader w:val="true"/>
          <w:trHeight w:val="23" w:hRule="atLeast"/>
        </w:trPr>
        <w:tc>
          <w:tcPr>
            <w:tcW w:w="510"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470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46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53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w:t>
            </w:r>
          </w:p>
          <w:p>
            <w:pPr>
              <w:pStyle w:val="Normal"/>
              <w:widowControl w:val="false"/>
              <w:jc w:val="center"/>
              <w:rPr>
                <w:b/>
                <w:color w:themeColor="text1" w:val="000000"/>
                <w:sz w:val="22"/>
                <w:szCs w:val="22"/>
              </w:rPr>
            </w:pPr>
            <w:r>
              <w:rPr>
                <w:b/>
                <w:color w:themeColor="text1" w:val="000000"/>
                <w:sz w:val="22"/>
                <w:szCs w:val="22"/>
              </w:rPr>
              <w:t>мест</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Инновационный культурный центр</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Октябрьская, д. 17а</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380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Андреевский сельский клуб</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Андреевское, ул. Андреевская, д.47</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Горенский сельский клуб</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д. Горенское, д. 21а</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культуры «Дубрава»</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i/>
                <w:i/>
                <w:color w:themeColor="text1" w:val="000000"/>
                <w:sz w:val="22"/>
                <w:szCs w:val="22"/>
              </w:rPr>
            </w:pPr>
            <w:r>
              <w:rPr>
                <w:color w:themeColor="text1" w:val="000000"/>
                <w:sz w:val="22"/>
                <w:szCs w:val="22"/>
              </w:rPr>
              <w:t>г. Калуга, ул. Дубрава, д. 3а</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140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культуры «Калуга-2»</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i/>
                <w:i/>
                <w:color w:themeColor="text1" w:val="000000"/>
                <w:sz w:val="22"/>
                <w:szCs w:val="22"/>
              </w:rPr>
            </w:pPr>
            <w:r>
              <w:rPr>
                <w:color w:themeColor="text1" w:val="000000"/>
                <w:sz w:val="22"/>
                <w:szCs w:val="22"/>
              </w:rPr>
              <w:t>г. Калуга, ул. Привокзальная,</w:t>
            </w:r>
          </w:p>
          <w:p>
            <w:pPr>
              <w:pStyle w:val="Normal"/>
              <w:widowControl w:val="false"/>
              <w:rPr>
                <w:i/>
                <w:i/>
                <w:color w:themeColor="text1" w:val="000000"/>
                <w:sz w:val="22"/>
                <w:szCs w:val="22"/>
              </w:rPr>
            </w:pPr>
            <w:r>
              <w:rPr>
                <w:color w:themeColor="text1" w:val="000000"/>
                <w:sz w:val="22"/>
                <w:szCs w:val="22"/>
              </w:rPr>
              <w:t>д. 11а</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220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Канищевский сельский культурно-досуговый центр</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д. Канищево, ул. Новая, д.1 к.2</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250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Колюпановский сельский культурно-досуговый центр</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Колюпаново, д. 11б</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350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Крутицкий сельский клуб</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Крутицы, проезд</w:t>
            </w:r>
          </w:p>
          <w:p>
            <w:pPr>
              <w:pStyle w:val="Normal"/>
              <w:widowControl w:val="false"/>
              <w:rPr>
                <w:i/>
                <w:i/>
                <w:color w:themeColor="text1" w:val="000000"/>
                <w:sz w:val="22"/>
                <w:szCs w:val="22"/>
              </w:rPr>
            </w:pPr>
            <w:r>
              <w:rPr>
                <w:color w:themeColor="text1" w:val="000000"/>
                <w:sz w:val="22"/>
                <w:szCs w:val="22"/>
              </w:rPr>
              <w:t>1-й Запрудный, д.17а</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Сельский дом культуры п. Мирный</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 xml:space="preserve"> </w:t>
            </w:r>
            <w:r>
              <w:rPr>
                <w:color w:themeColor="text1" w:val="000000"/>
                <w:sz w:val="22"/>
                <w:szCs w:val="22"/>
              </w:rPr>
              <w:t>п. Мирный, д.5 стр.1</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Муратовский сельский культурно-досуговый центр</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с. Муратовского щебзавода, д.7б</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150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Новоильинский сельский дом культуры</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 xml:space="preserve"> </w:t>
            </w:r>
            <w:r>
              <w:rPr>
                <w:color w:themeColor="text1" w:val="000000"/>
                <w:sz w:val="22"/>
                <w:szCs w:val="22"/>
              </w:rPr>
              <w:t>д. Ильинка, ул. Лесная, д.1 б</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Плетеневский сельский дом культуры</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 xml:space="preserve"> </w:t>
            </w:r>
            <w:r>
              <w:rPr>
                <w:color w:themeColor="text1" w:val="000000"/>
                <w:sz w:val="22"/>
                <w:szCs w:val="22"/>
              </w:rPr>
              <w:t>д. Плетеневка, ул. Труда, д.2 к.1</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160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Росвянский сельский дом культуры</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 Росва, ул. Московская, д. 6а</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210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культуры «Силикатный»</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i/>
                <w:i/>
                <w:color w:themeColor="text1" w:val="000000"/>
                <w:sz w:val="22"/>
                <w:szCs w:val="22"/>
              </w:rPr>
            </w:pPr>
            <w:r>
              <w:rPr>
                <w:color w:themeColor="text1" w:val="000000"/>
                <w:sz w:val="22"/>
                <w:szCs w:val="22"/>
              </w:rPr>
              <w:t>г. Калуга ул. Гурьянова, д. 27</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Культурно-досуговый центр «Турынино»</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i/>
                <w:i/>
                <w:color w:themeColor="text1" w:val="000000"/>
                <w:sz w:val="22"/>
                <w:szCs w:val="22"/>
              </w:rPr>
            </w:pPr>
            <w:r>
              <w:rPr>
                <w:color w:themeColor="text1" w:val="000000"/>
                <w:sz w:val="22"/>
                <w:szCs w:val="22"/>
              </w:rPr>
              <w:t>г. Калуга, ул. Турынинская, д. 10а</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120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Шопинский сельский дом культуры</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 Шопино, ул. Центральная, д.18</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180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Администрация МБУК «Культурно-досуговое объединение»</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Суворова д.106</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bCs/>
                <w:color w:themeColor="text1" w:val="000000"/>
                <w:sz w:val="22"/>
                <w:szCs w:val="22"/>
              </w:rPr>
              <w:t>МБУК «Городской досуговый центр»</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Пухова, д. 52</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290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bCs/>
                <w:color w:themeColor="text1" w:val="000000"/>
                <w:sz w:val="22"/>
                <w:szCs w:val="22"/>
              </w:rPr>
            </w:pPr>
            <w:r>
              <w:rPr>
                <w:bCs/>
                <w:color w:themeColor="text1" w:val="000000"/>
                <w:sz w:val="22"/>
                <w:szCs w:val="22"/>
              </w:rPr>
              <w:t>ДК «Малинники» (филиал МБУК «Городской досуговый центр» с кинозалом</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пер. Малинники, д.20</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395</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bCs/>
                <w:color w:themeColor="text1" w:val="000000"/>
                <w:sz w:val="22"/>
                <w:szCs w:val="22"/>
              </w:rPr>
              <w:t>«Дом мастеров» (филиал МБУК «Городской досуговый центр»)</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пер. Григоров, д. 9</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bCs/>
                <w:color w:themeColor="text1" w:val="000000"/>
                <w:sz w:val="22"/>
                <w:szCs w:val="22"/>
              </w:rPr>
            </w:pPr>
            <w:r>
              <w:rPr>
                <w:color w:themeColor="text1" w:val="000000"/>
                <w:sz w:val="22"/>
                <w:szCs w:val="22"/>
              </w:rPr>
              <w:t>Клубное объединение «Рок-подвал»</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color w:themeColor="text1" w:val="000000"/>
                <w:sz w:val="22"/>
                <w:szCs w:val="22"/>
              </w:rPr>
            </w:pPr>
            <w:r>
              <w:rPr>
                <w:color w:themeColor="text1" w:val="000000"/>
                <w:sz w:val="22"/>
                <w:szCs w:val="22"/>
              </w:rPr>
              <w:t>г. Калуга, ул. Ленина, д. 108,</w:t>
            </w:r>
          </w:p>
          <w:p>
            <w:pPr>
              <w:pStyle w:val="Normal"/>
              <w:widowControl w:val="false"/>
              <w:snapToGrid w:val="false"/>
              <w:rPr>
                <w:color w:themeColor="text1" w:val="000000"/>
                <w:sz w:val="22"/>
                <w:szCs w:val="22"/>
              </w:rPr>
            </w:pPr>
            <w:r>
              <w:rPr>
                <w:color w:themeColor="text1" w:val="000000"/>
                <w:sz w:val="22"/>
                <w:szCs w:val="22"/>
              </w:rPr>
              <w:t>стр. 2, помещ. № 5</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36</w:t>
            </w:r>
          </w:p>
        </w:tc>
      </w:tr>
      <w:tr>
        <w:trPr>
          <w:trHeight w:val="2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ГБУ КО «Областной молодежный центр»</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Салтыкова-Щедрина, д. 10</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600</w:t>
            </w:r>
          </w:p>
        </w:tc>
      </w:tr>
      <w:tr>
        <w:trPr>
          <w:trHeight w:val="83" w:hRule="atLeast"/>
        </w:trPr>
        <w:tc>
          <w:tcPr>
            <w:tcW w:w="5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4702"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Детско-подростковый клуб Отечество</w:t>
            </w:r>
          </w:p>
        </w:tc>
        <w:tc>
          <w:tcPr>
            <w:tcW w:w="3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Мстихино ул. Лесная, д. 26</w:t>
            </w:r>
          </w:p>
        </w:tc>
        <w:tc>
          <w:tcPr>
            <w:tcW w:w="153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56</w:t>
            </w:r>
          </w:p>
        </w:tc>
      </w:tr>
    </w:tbl>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5.3.11.</w:t>
      </w:r>
    </w:p>
    <w:p>
      <w:pPr>
        <w:pStyle w:val="Style70"/>
        <w:spacing w:before="0" w:after="0"/>
        <w:ind w:hanging="0"/>
        <w:jc w:val="center"/>
        <w:rPr>
          <w:color w:themeColor="text1" w:val="000000"/>
        </w:rPr>
      </w:pPr>
      <w:r>
        <w:rPr>
          <w:color w:themeColor="text1" w:val="000000"/>
        </w:rPr>
        <w:t xml:space="preserve">Перечень зрелищных организаций, </w:t>
      </w:r>
    </w:p>
    <w:p>
      <w:pPr>
        <w:pStyle w:val="Style70"/>
        <w:spacing w:before="0" w:after="0"/>
        <w:ind w:hanging="0"/>
        <w:jc w:val="center"/>
        <w:rPr>
          <w:color w:themeColor="text1" w:val="000000"/>
          <w:sz w:val="2"/>
          <w:szCs w:val="2"/>
        </w:rPr>
      </w:pPr>
      <w:r>
        <w:rPr>
          <w:color w:themeColor="text1" w:val="000000"/>
        </w:rPr>
        <w:t>расположенных на территории городского округа</w:t>
      </w:r>
    </w:p>
    <w:tbl>
      <w:tblPr>
        <w:tblW w:w="1021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706"/>
        <w:gridCol w:w="4733"/>
        <w:gridCol w:w="3460"/>
        <w:gridCol w:w="1311"/>
      </w:tblGrid>
      <w:tr>
        <w:trPr>
          <w:tblHeader w:val="true"/>
          <w:trHeight w:val="23" w:hRule="atLeast"/>
        </w:trPr>
        <w:tc>
          <w:tcPr>
            <w:tcW w:w="70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4733"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46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31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w:t>
            </w:r>
          </w:p>
          <w:p>
            <w:pPr>
              <w:pStyle w:val="Normal"/>
              <w:widowControl w:val="false"/>
              <w:jc w:val="center"/>
              <w:rPr>
                <w:b/>
                <w:color w:themeColor="text1" w:val="000000"/>
                <w:sz w:val="22"/>
                <w:szCs w:val="22"/>
              </w:rPr>
            </w:pPr>
            <w:r>
              <w:rPr>
                <w:b/>
                <w:color w:themeColor="text1" w:val="000000"/>
                <w:sz w:val="22"/>
                <w:szCs w:val="22"/>
              </w:rPr>
              <w:t>мест</w:t>
            </w:r>
          </w:p>
        </w:tc>
      </w:tr>
      <w:tr>
        <w:trPr>
          <w:trHeight w:val="23"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rPr>
                <w:color w:themeColor="text1" w:val="000000"/>
                <w:sz w:val="22"/>
                <w:szCs w:val="22"/>
              </w:rPr>
            </w:pPr>
            <w:r>
              <w:rPr>
                <w:color w:themeColor="text1" w:val="000000"/>
                <w:sz w:val="22"/>
                <w:szCs w:val="22"/>
              </w:rPr>
              <w:t>МБУК «Калужский театр кукол»</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color w:themeColor="text1" w:val="000000"/>
                <w:sz w:val="22"/>
                <w:szCs w:val="22"/>
              </w:rPr>
            </w:pPr>
            <w:r>
              <w:rPr>
                <w:color w:themeColor="text1" w:val="000000"/>
                <w:sz w:val="22"/>
                <w:szCs w:val="22"/>
              </w:rPr>
              <w:t>г. Калуга, ул. Кирова, д. 48, пом. 2</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114</w:t>
            </w:r>
          </w:p>
        </w:tc>
      </w:tr>
      <w:tr>
        <w:trPr>
          <w:trHeight w:val="218"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МБУК «Калужский дом музыки»</w:t>
            </w:r>
          </w:p>
        </w:tc>
        <w:tc>
          <w:tcPr>
            <w:tcW w:w="34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Кирова, д. 6</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250</w:t>
            </w:r>
          </w:p>
        </w:tc>
      </w:tr>
      <w:tr>
        <w:trPr>
          <w:trHeight w:val="549"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народного творчества и кино «Центральный»</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color w:themeColor="text1" w:val="000000"/>
                <w:sz w:val="22"/>
                <w:szCs w:val="22"/>
              </w:rPr>
            </w:pPr>
            <w:r>
              <w:rPr>
                <w:color w:themeColor="text1" w:val="000000"/>
                <w:sz w:val="22"/>
                <w:szCs w:val="22"/>
              </w:rPr>
              <w:t>г. Калуга, ул. Кирова, д. 31</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335</w:t>
            </w:r>
          </w:p>
        </w:tc>
      </w:tr>
      <w:tr>
        <w:trPr>
          <w:trHeight w:val="308"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Калужская областная филармония</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rFonts w:eastAsia="SimSun"/>
                <w:color w:themeColor="text1" w:val="000000"/>
                <w:sz w:val="22"/>
                <w:szCs w:val="22"/>
                <w:lang w:eastAsia="hi-IN"/>
              </w:rPr>
              <w:t>г. Калуга, ул. Ленина, д. 60</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bCs/>
                <w:color w:themeColor="text1" w:val="000000"/>
                <w:sz w:val="22"/>
                <w:szCs w:val="22"/>
              </w:rPr>
            </w:pPr>
            <w:r>
              <w:rPr>
                <w:color w:themeColor="text1" w:val="000000"/>
                <w:sz w:val="22"/>
                <w:szCs w:val="22"/>
              </w:rPr>
              <w:t>881</w:t>
            </w:r>
          </w:p>
        </w:tc>
      </w:tr>
      <w:tr>
        <w:trPr>
          <w:trHeight w:val="549"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Ордена Трудового Красного Знамени областной драматический театр</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Театральная пл., д. 1</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bCs/>
                <w:color w:themeColor="text1" w:val="000000"/>
                <w:sz w:val="22"/>
                <w:szCs w:val="22"/>
              </w:rPr>
            </w:pPr>
            <w:r>
              <w:rPr>
                <w:color w:themeColor="text1" w:val="000000"/>
                <w:sz w:val="22"/>
                <w:szCs w:val="22"/>
              </w:rPr>
              <w:t>797</w:t>
            </w:r>
          </w:p>
        </w:tc>
      </w:tr>
      <w:tr>
        <w:trPr>
          <w:trHeight w:val="285"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областной театр юного зрителя</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 Марата, д. 2</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49"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Культурный центр Орион</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color w:themeColor="text1" w:val="000000"/>
                <w:sz w:val="22"/>
                <w:szCs w:val="22"/>
              </w:rPr>
            </w:pPr>
            <w:r>
              <w:rPr>
                <w:color w:themeColor="text1" w:val="000000"/>
                <w:sz w:val="22"/>
                <w:szCs w:val="22"/>
              </w:rPr>
              <w:t>г. Калуга,</w:t>
            </w:r>
          </w:p>
          <w:p>
            <w:pPr>
              <w:pStyle w:val="Normal"/>
              <w:widowControl w:val="false"/>
              <w:rPr>
                <w:rStyle w:val="Res"/>
                <w:color w:themeColor="text1" w:val="000000"/>
                <w:sz w:val="22"/>
                <w:szCs w:val="22"/>
              </w:rPr>
            </w:pPr>
            <w:r>
              <w:rPr>
                <w:color w:themeColor="text1" w:val="000000"/>
                <w:sz w:val="22"/>
                <w:szCs w:val="22"/>
              </w:rPr>
              <w:t>ул. Салтыкова-Щедрина, д. 141</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62"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Арена КТЗ</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color w:themeColor="text1" w:val="000000"/>
                <w:sz w:val="22"/>
                <w:szCs w:val="22"/>
              </w:rPr>
            </w:pPr>
            <w:r>
              <w:rPr>
                <w:color w:themeColor="text1" w:val="000000"/>
                <w:sz w:val="22"/>
                <w:szCs w:val="22"/>
              </w:rPr>
              <w:t>г. Калуга, ул. Московская, д. 212</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338" w:hRule="atLeast"/>
        </w:trPr>
        <w:tc>
          <w:tcPr>
            <w:tcW w:w="706"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4733"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Концертный зал имени С.И. Танеева</w:t>
            </w:r>
          </w:p>
        </w:tc>
        <w:tc>
          <w:tcPr>
            <w:tcW w:w="34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color w:themeColor="text1" w:val="000000"/>
                <w:sz w:val="22"/>
                <w:szCs w:val="22"/>
              </w:rPr>
            </w:pPr>
            <w:r>
              <w:rPr>
                <w:color w:themeColor="text1" w:val="000000"/>
                <w:sz w:val="22"/>
                <w:szCs w:val="22"/>
              </w:rPr>
              <w:t>г. Калуга, ул. Баженова, д.1</w:t>
            </w:r>
          </w:p>
        </w:tc>
        <w:tc>
          <w:tcPr>
            <w:tcW w:w="13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bl>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5.3.12.</w:t>
      </w:r>
    </w:p>
    <w:p>
      <w:pPr>
        <w:pStyle w:val="Style70"/>
        <w:spacing w:before="0" w:after="0"/>
        <w:ind w:hanging="0"/>
        <w:jc w:val="center"/>
        <w:rPr>
          <w:color w:themeColor="text1" w:val="000000"/>
        </w:rPr>
      </w:pPr>
      <w:r>
        <w:rPr>
          <w:color w:themeColor="text1" w:val="000000"/>
        </w:rPr>
        <w:t xml:space="preserve">Перечень музеев и выставочных площадок, </w:t>
      </w:r>
    </w:p>
    <w:p>
      <w:pPr>
        <w:pStyle w:val="Style70"/>
        <w:spacing w:before="0" w:after="0"/>
        <w:ind w:hanging="0"/>
        <w:jc w:val="center"/>
        <w:rPr>
          <w:color w:themeColor="text1" w:val="000000"/>
          <w:sz w:val="2"/>
          <w:szCs w:val="2"/>
        </w:rPr>
      </w:pPr>
      <w:r>
        <w:rPr>
          <w:color w:themeColor="text1" w:val="000000"/>
        </w:rPr>
        <w:t>расположенных на территории городского округа</w:t>
      </w:r>
    </w:p>
    <w:tbl>
      <w:tblPr>
        <w:tblW w:w="10068"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667"/>
        <w:gridCol w:w="4931"/>
        <w:gridCol w:w="3250"/>
        <w:gridCol w:w="1219"/>
      </w:tblGrid>
      <w:tr>
        <w:trPr>
          <w:tblHeader w:val="true"/>
          <w:trHeight w:val="23" w:hRule="atLeast"/>
        </w:trPr>
        <w:tc>
          <w:tcPr>
            <w:tcW w:w="66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4931"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21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Пропуск-ная способ-ность,</w:t>
            </w:r>
          </w:p>
          <w:p>
            <w:pPr>
              <w:pStyle w:val="Normal"/>
              <w:widowControl w:val="false"/>
              <w:jc w:val="center"/>
              <w:rPr>
                <w:b/>
                <w:color w:themeColor="text1" w:val="000000"/>
                <w:sz w:val="22"/>
                <w:szCs w:val="22"/>
              </w:rPr>
            </w:pPr>
            <w:r>
              <w:rPr>
                <w:b/>
                <w:color w:themeColor="text1" w:val="000000"/>
                <w:sz w:val="22"/>
                <w:szCs w:val="22"/>
              </w:rPr>
              <w:t>чел/час</w:t>
            </w:r>
          </w:p>
        </w:tc>
      </w:tr>
      <w:tr>
        <w:trPr>
          <w:trHeight w:val="23"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rPr>
                <w:color w:themeColor="text1" w:val="000000"/>
                <w:sz w:val="22"/>
                <w:szCs w:val="22"/>
              </w:rPr>
            </w:pPr>
            <w:r>
              <w:rPr>
                <w:color w:themeColor="text1" w:val="000000"/>
                <w:sz w:val="22"/>
                <w:szCs w:val="22"/>
              </w:rPr>
              <w:t>Государственный музей истории космонавтики имени К.Э. Циолковского</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color w:themeColor="text1" w:val="000000"/>
                <w:sz w:val="22"/>
                <w:szCs w:val="22"/>
                <w:highlight w:val="white"/>
              </w:rPr>
            </w:pPr>
            <w:r>
              <w:rPr>
                <w:color w:themeColor="text1" w:val="000000"/>
                <w:sz w:val="22"/>
                <w:szCs w:val="22"/>
                <w:shd w:fill="FFFFFF" w:val="clear"/>
              </w:rPr>
              <w:t>г. Калуга,</w:t>
            </w:r>
            <w:r>
              <w:rPr>
                <w:color w:themeColor="text1" w:val="000000"/>
                <w:sz w:val="22"/>
                <w:szCs w:val="22"/>
              </w:rPr>
              <w:t xml:space="preserve"> ул.</w:t>
            </w:r>
            <w:r>
              <w:rPr>
                <w:color w:themeColor="text1" w:val="000000"/>
                <w:sz w:val="22"/>
                <w:szCs w:val="22"/>
                <w:shd w:fill="FFFFFF" w:val="clear"/>
              </w:rPr>
              <w:t> Академика Королева, д. 2</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1721</w:t>
            </w:r>
          </w:p>
        </w:tc>
      </w:tr>
      <w:tr>
        <w:trPr>
          <w:trHeight w:val="23"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highlight w:val="white"/>
              </w:rPr>
            </w:pPr>
            <w:r>
              <w:rPr>
                <w:color w:themeColor="text1" w:val="000000"/>
                <w:sz w:val="22"/>
                <w:szCs w:val="22"/>
              </w:rPr>
              <w:t>Дом-музей К.Э. Циолковского (отдел федерального государственного бюджетного учреждения культуры «Государственный музей истории космонавтики имени</w:t>
            </w:r>
          </w:p>
          <w:p>
            <w:pPr>
              <w:pStyle w:val="Normal"/>
              <w:widowControl w:val="false"/>
              <w:rPr>
                <w:color w:themeColor="text1" w:val="000000"/>
                <w:sz w:val="22"/>
                <w:szCs w:val="22"/>
                <w:highlight w:val="white"/>
              </w:rPr>
            </w:pPr>
            <w:r>
              <w:rPr>
                <w:color w:themeColor="text1" w:val="000000"/>
                <w:sz w:val="22"/>
                <w:szCs w:val="22"/>
              </w:rPr>
              <w:t>К.Э. Циолковского»)</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shd w:fill="FFFFFF" w:val="clear"/>
              </w:rPr>
              <w:t>г. Калуга, ул. Циолковского, д. 79</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3"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4931" w:type="dxa"/>
            <w:tcBorders>
              <w:top w:val="single" w:sz="4" w:space="0" w:color="000000"/>
              <w:left w:val="single" w:sz="4" w:space="0" w:color="000000"/>
              <w:bottom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Дом-музей А.Л. Чижевского (отдел федерального государственного бюджетного учреждения культуры «Государственный музей истории космонавтики имени</w:t>
            </w:r>
          </w:p>
          <w:p>
            <w:pPr>
              <w:pStyle w:val="Normal"/>
              <w:widowControl w:val="false"/>
              <w:rPr>
                <w:color w:themeColor="text1" w:val="000000"/>
                <w:sz w:val="22"/>
                <w:szCs w:val="22"/>
              </w:rPr>
            </w:pPr>
            <w:r>
              <w:rPr>
                <w:color w:themeColor="text1" w:val="000000"/>
                <w:sz w:val="22"/>
                <w:szCs w:val="22"/>
              </w:rPr>
              <w:t>К.Э. Циолковского»)</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highlight w:val="white"/>
              </w:rPr>
            </w:pPr>
            <w:r>
              <w:rPr>
                <w:color w:themeColor="text1" w:val="000000"/>
                <w:sz w:val="22"/>
                <w:szCs w:val="22"/>
                <w:shd w:fill="FFFFFF" w:val="clear"/>
              </w:rPr>
              <w:t>г. Калуга, ул. Московская, д. 62</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65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snapToGrid w:val="false"/>
              <w:rPr>
                <w:color w:themeColor="text1" w:val="000000"/>
                <w:sz w:val="22"/>
                <w:szCs w:val="22"/>
              </w:rPr>
            </w:pPr>
            <w:r>
              <w:rPr>
                <w:color w:themeColor="text1" w:val="000000"/>
                <w:sz w:val="22"/>
                <w:szCs w:val="22"/>
              </w:rPr>
              <w:t>Калужский объединенный музей-заповедник</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color w:themeColor="text1" w:val="000000"/>
                <w:sz w:val="22"/>
                <w:szCs w:val="22"/>
              </w:rPr>
            </w:pPr>
            <w:r>
              <w:rPr>
                <w:color w:themeColor="text1" w:val="000000"/>
                <w:sz w:val="22"/>
                <w:szCs w:val="22"/>
              </w:rPr>
              <w:t>г. Калуга, ул. Пушкина, д. 4</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50</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объединенный музей-заповедник «Музейно-краеведческий комплекс «Усадьба Золотаревых»</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Пушкина, д. 14</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объединенный музей-заповедник «Музейно-краеведческий центр «Палаты Коробовых»</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Плеханова, д. 88</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25</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объединенный музей-заповедник «Музейно-краеведческий центр «Дом Г.С. Батенькова»</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Суворова, д. 42</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25</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объединенный музей-заповедник «Военно-исторический центр «Маршал Победы – Георгий Константинович Жуков»</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Маршала Жукова, д. 23а</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Военно-исторический отдел государственного бюджетного учреждения культуры Калужской области «Калужский объединенный музей-заповедник»</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2-й Красноармейский пер., д. 10</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Выставочный отдел «Галерея художника В.М. Собинкова» государственного бюджетного учреждения культуры Калужской области «Калужский объединенный музей-заповедник»</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Ленина, д. 116</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4931" w:type="dxa"/>
            <w:tcBorders>
              <w:top w:val="single" w:sz="4" w:space="0" w:color="000000"/>
              <w:left w:val="single" w:sz="4" w:space="0" w:color="000000"/>
              <w:bottom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Музейно-выставочный центр «Сергиев скит» государственного бюджетного учреждения культуры Калужской области «Калужский объединенный музей-заповедник»</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 Мстихино, ДОЦ «Спутник»</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музей изобразительных искусств» (главное здание, южный и северный флигели)</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Ленина д. 104</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52</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4931" w:type="dxa"/>
            <w:tcBorders>
              <w:top w:val="single" w:sz="4" w:space="0" w:color="000000"/>
              <w:left w:val="single" w:sz="4" w:space="0" w:color="000000"/>
              <w:bottom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Государственное бюджетное учреждение культуры Калужской области «Калужский музей изобразительных искусств» (Информационно-образовательный и выставочный центр)</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Ленина, д. 103</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74</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Калужский музей изобразительных искусств» (Музей стекла А. Зеля)</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Ленина, д.116</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w:t>
            </w:r>
          </w:p>
        </w:tc>
      </w:tr>
      <w:tr>
        <w:trPr>
          <w:trHeight w:val="549" w:hRule="atLeast"/>
        </w:trPr>
        <w:tc>
          <w:tcPr>
            <w:tcW w:w="66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4931"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bCs/>
                <w:color w:themeColor="text1" w:val="000000"/>
                <w:sz w:val="22"/>
                <w:szCs w:val="22"/>
              </w:rPr>
              <w:t>Картинная галерея заслуженного художника РФ им. Л.К. Климентовской</w:t>
            </w:r>
          </w:p>
        </w:tc>
        <w:tc>
          <w:tcPr>
            <w:tcW w:w="32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bidi="ru-RU"/>
              </w:rPr>
            </w:pPr>
            <w:r>
              <w:rPr>
                <w:color w:themeColor="text1" w:val="000000"/>
                <w:sz w:val="22"/>
                <w:szCs w:val="22"/>
              </w:rPr>
              <w:t>г. Калуга, ул. Театральная, д. 30</w:t>
            </w:r>
          </w:p>
          <w:p>
            <w:pPr>
              <w:pStyle w:val="Normal"/>
              <w:widowControl w:val="false"/>
              <w:rPr>
                <w:color w:themeColor="text1" w:val="000000"/>
                <w:sz w:val="22"/>
                <w:szCs w:val="22"/>
              </w:rPr>
            </w:pPr>
            <w:r>
              <w:rPr>
                <w:color w:themeColor="text1" w:val="000000"/>
                <w:sz w:val="22"/>
                <w:szCs w:val="22"/>
                <w:lang w:eastAsia="ru-RU" w:bidi="ru-RU"/>
              </w:rPr>
              <w:t>(помещение в жилом доме)</w:t>
            </w:r>
          </w:p>
        </w:tc>
        <w:tc>
          <w:tcPr>
            <w:tcW w:w="12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40</w:t>
            </w:r>
          </w:p>
        </w:tc>
      </w:tr>
    </w:tbl>
    <w:p>
      <w:pPr>
        <w:pStyle w:val="Style70"/>
        <w:spacing w:before="0" w:after="0"/>
        <w:jc w:val="right"/>
        <w:rPr>
          <w:color w:themeColor="text1" w:val="000000"/>
        </w:rPr>
      </w:pPr>
      <w:r>
        <w:rPr>
          <w:color w:themeColor="text1" w:val="000000"/>
        </w:rPr>
        <w:t>Таблица 5.3.13.</w:t>
      </w:r>
    </w:p>
    <w:p>
      <w:pPr>
        <w:pStyle w:val="Style70"/>
        <w:spacing w:before="0" w:after="0"/>
        <w:ind w:hanging="0"/>
        <w:jc w:val="center"/>
        <w:rPr>
          <w:color w:themeColor="text1" w:val="000000"/>
        </w:rPr>
      </w:pPr>
      <w:r>
        <w:rPr>
          <w:color w:themeColor="text1" w:val="000000"/>
        </w:rPr>
        <w:t xml:space="preserve">Перечень детских школ искусств, </w:t>
      </w:r>
    </w:p>
    <w:p>
      <w:pPr>
        <w:pStyle w:val="Style70"/>
        <w:spacing w:before="0" w:after="0"/>
        <w:ind w:hanging="0"/>
        <w:jc w:val="center"/>
        <w:rPr>
          <w:color w:themeColor="text1" w:val="000000"/>
          <w:sz w:val="2"/>
          <w:szCs w:val="2"/>
        </w:rPr>
      </w:pPr>
      <w:r>
        <w:rPr>
          <w:color w:themeColor="text1" w:val="000000"/>
        </w:rPr>
        <w:t>расположенных на территории городского округа</w:t>
      </w:r>
    </w:p>
    <w:tbl>
      <w:tblPr>
        <w:tblW w:w="10211"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706"/>
        <w:gridCol w:w="4276"/>
        <w:gridCol w:w="3617"/>
        <w:gridCol w:w="1611"/>
      </w:tblGrid>
      <w:tr>
        <w:trPr>
          <w:tblHeader w:val="true"/>
          <w:trHeight w:val="23" w:hRule="atLeast"/>
        </w:trPr>
        <w:tc>
          <w:tcPr>
            <w:tcW w:w="70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427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61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61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 мест</w:t>
            </w:r>
          </w:p>
        </w:tc>
      </w:tr>
      <w:tr>
        <w:trPr>
          <w:trHeight w:val="201"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427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 1</w:t>
            </w:r>
          </w:p>
          <w:p>
            <w:pPr>
              <w:pStyle w:val="Normal"/>
              <w:widowControl w:val="false"/>
              <w:rPr>
                <w:color w:themeColor="text1" w:val="000000"/>
                <w:sz w:val="22"/>
                <w:szCs w:val="22"/>
              </w:rPr>
            </w:pPr>
            <w:r>
              <w:rPr>
                <w:color w:themeColor="text1" w:val="000000"/>
                <w:sz w:val="22"/>
                <w:szCs w:val="22"/>
              </w:rPr>
              <w:t>им.</w:t>
            </w:r>
            <w:r>
              <w:rPr>
                <w:color w:themeColor="text1" w:val="000000"/>
                <w:sz w:val="22"/>
                <w:szCs w:val="22"/>
                <w:lang w:val="en-US"/>
              </w:rPr>
              <w:t> </w:t>
            </w:r>
            <w:r>
              <w:rPr>
                <w:color w:themeColor="text1" w:val="000000"/>
                <w:sz w:val="22"/>
                <w:szCs w:val="22"/>
              </w:rPr>
              <w:t>Н.П. Ракова</w:t>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Московская, д. 13</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358"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pPr>
            <w:r>
              <w:rPr>
                <w:color w:themeColor="text1" w:val="000000"/>
                <w:sz w:val="22"/>
                <w:szCs w:val="22"/>
              </w:rPr>
              <w:t>ул. 5-я Линия, д. 1 к. 2</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23"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427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 2 им.</w:t>
            </w:r>
            <w:r>
              <w:rPr>
                <w:color w:themeColor="text1" w:val="000000"/>
                <w:sz w:val="22"/>
                <w:szCs w:val="22"/>
                <w:lang w:val="en-US"/>
              </w:rPr>
              <w:t> </w:t>
            </w:r>
            <w:r>
              <w:rPr>
                <w:color w:themeColor="text1" w:val="000000"/>
                <w:sz w:val="22"/>
                <w:szCs w:val="22"/>
              </w:rPr>
              <w:t>С.С.</w:t>
            </w:r>
            <w:r>
              <w:rPr>
                <w:color w:themeColor="text1" w:val="000000"/>
                <w:sz w:val="22"/>
                <w:szCs w:val="22"/>
                <w:lang w:val="en-US"/>
              </w:rPr>
              <w:t> </w:t>
            </w:r>
            <w:r>
              <w:rPr>
                <w:color w:themeColor="text1" w:val="000000"/>
                <w:sz w:val="22"/>
                <w:szCs w:val="22"/>
              </w:rPr>
              <w:t>Туликова</w:t>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Воронина, д.7</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150</w:t>
            </w:r>
          </w:p>
        </w:tc>
      </w:tr>
      <w:tr>
        <w:trPr>
          <w:trHeight w:val="23"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Телевизионная, д.20а</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352"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427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художественная школа</w:t>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Ленина, д. 47</w:t>
            </w:r>
          </w:p>
        </w:tc>
        <w:tc>
          <w:tcPr>
            <w:tcW w:w="1611"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150</w:t>
            </w:r>
          </w:p>
        </w:tc>
      </w:tr>
      <w:tr>
        <w:trPr>
          <w:trHeight w:val="225"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Ленина, д. 77</w:t>
            </w:r>
          </w:p>
        </w:tc>
        <w:tc>
          <w:tcPr>
            <w:tcW w:w="1611"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r>
          </w:p>
        </w:tc>
      </w:tr>
      <w:tr>
        <w:trPr>
          <w:trHeight w:val="355"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427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№4</w:t>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Вишневского, д.2а</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161</w:t>
            </w:r>
          </w:p>
        </w:tc>
      </w:tr>
      <w:tr>
        <w:trPr>
          <w:trHeight w:val="218"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w:t>
            </w:r>
            <w:r>
              <w:rPr>
                <w:color w:themeColor="text1" w:val="000000"/>
                <w:sz w:val="22"/>
                <w:szCs w:val="22"/>
                <w:lang w:val="en-US"/>
              </w:rPr>
              <w:t> </w:t>
            </w:r>
            <w:r>
              <w:rPr>
                <w:color w:themeColor="text1" w:val="000000"/>
                <w:sz w:val="22"/>
                <w:szCs w:val="22"/>
              </w:rPr>
              <w:t>Мстихино, ул.</w:t>
            </w:r>
            <w:r>
              <w:rPr>
                <w:color w:themeColor="text1" w:val="000000"/>
                <w:sz w:val="22"/>
                <w:szCs w:val="22"/>
                <w:lang w:val="en-US"/>
              </w:rPr>
              <w:t> </w:t>
            </w:r>
            <w:r>
              <w:rPr>
                <w:color w:themeColor="text1" w:val="000000"/>
                <w:sz w:val="22"/>
                <w:szCs w:val="22"/>
              </w:rPr>
              <w:t>Лесная, д. 24 корп.1</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317"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с. Резвань, ул. Школьная, д.6</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334"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4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 5</w:t>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w:t>
            </w:r>
            <w:r>
              <w:rPr>
                <w:color w:themeColor="text1" w:val="000000"/>
                <w:sz w:val="22"/>
                <w:szCs w:val="22"/>
                <w:lang w:val="en-US"/>
              </w:rPr>
              <w:t> </w:t>
            </w:r>
            <w:r>
              <w:rPr>
                <w:color w:themeColor="text1" w:val="000000"/>
                <w:sz w:val="22"/>
                <w:szCs w:val="22"/>
              </w:rPr>
              <w:t>Калуга, пер.</w:t>
            </w:r>
            <w:r>
              <w:rPr>
                <w:color w:themeColor="text1" w:val="000000"/>
                <w:sz w:val="22"/>
                <w:szCs w:val="22"/>
                <w:lang w:val="en-US"/>
              </w:rPr>
              <w:t> </w:t>
            </w:r>
            <w:r>
              <w:rPr>
                <w:color w:themeColor="text1" w:val="000000"/>
                <w:sz w:val="22"/>
                <w:szCs w:val="22"/>
              </w:rPr>
              <w:t>Малинники, д.8а</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267"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427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 6</w:t>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r>
              <w:rPr>
                <w:bCs/>
                <w:color w:themeColor="text1" w:val="000000"/>
                <w:sz w:val="22"/>
                <w:szCs w:val="22"/>
              </w:rPr>
              <w:t xml:space="preserve"> ул.</w:t>
            </w:r>
            <w:r>
              <w:rPr>
                <w:bCs/>
                <w:color w:themeColor="text1" w:val="000000"/>
                <w:sz w:val="22"/>
                <w:szCs w:val="22"/>
                <w:lang w:val="en-US"/>
              </w:rPr>
              <w:t> </w:t>
            </w:r>
            <w:r>
              <w:rPr>
                <w:bCs/>
                <w:color w:themeColor="text1" w:val="000000"/>
                <w:sz w:val="22"/>
                <w:szCs w:val="22"/>
              </w:rPr>
              <w:t>Комсомольская, д.5</w:t>
            </w:r>
          </w:p>
        </w:tc>
        <w:tc>
          <w:tcPr>
            <w:tcW w:w="1611"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391"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r>
              <w:rPr>
                <w:bCs/>
                <w:color w:themeColor="text1" w:val="000000"/>
                <w:sz w:val="22"/>
                <w:szCs w:val="22"/>
              </w:rPr>
              <w:t xml:space="preserve"> ул.</w:t>
            </w:r>
            <w:r>
              <w:rPr>
                <w:bCs/>
                <w:color w:themeColor="text1" w:val="000000"/>
                <w:sz w:val="22"/>
                <w:szCs w:val="22"/>
                <w:lang w:val="en-US"/>
              </w:rPr>
              <w:t> </w:t>
            </w:r>
            <w:r>
              <w:rPr>
                <w:bCs/>
                <w:color w:themeColor="text1" w:val="000000"/>
                <w:sz w:val="22"/>
                <w:szCs w:val="22"/>
              </w:rPr>
              <w:t>Звездная, д.19а</w:t>
            </w:r>
          </w:p>
        </w:tc>
        <w:tc>
          <w:tcPr>
            <w:tcW w:w="1611"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r>
          </w:p>
        </w:tc>
      </w:tr>
      <w:tr>
        <w:trPr>
          <w:trHeight w:val="226"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427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 7</w:t>
            </w:r>
          </w:p>
        </w:tc>
        <w:tc>
          <w:tcPr>
            <w:tcW w:w="36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Генерала Попова, д.5</w:t>
            </w:r>
          </w:p>
        </w:tc>
        <w:tc>
          <w:tcPr>
            <w:tcW w:w="1611"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392"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Генерала Попова,</w:t>
            </w:r>
          </w:p>
          <w:p>
            <w:pPr>
              <w:pStyle w:val="Normal"/>
              <w:widowControl w:val="false"/>
              <w:rPr/>
            </w:pPr>
            <w:r>
              <w:rPr>
                <w:color w:themeColor="text1" w:val="000000"/>
                <w:sz w:val="22"/>
                <w:szCs w:val="22"/>
              </w:rPr>
              <w:t>д. 2/1 к. 2</w:t>
            </w:r>
          </w:p>
        </w:tc>
        <w:tc>
          <w:tcPr>
            <w:tcW w:w="1611"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r>
          </w:p>
        </w:tc>
      </w:tr>
      <w:tr>
        <w:trPr>
          <w:trHeight w:val="23" w:hRule="atLeast"/>
        </w:trPr>
        <w:tc>
          <w:tcPr>
            <w:tcW w:w="70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427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 8</w:t>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Московская, д.315 к.1</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w:t>
            </w:r>
          </w:p>
          <w:p>
            <w:pPr>
              <w:pStyle w:val="Normal"/>
              <w:widowControl w:val="false"/>
              <w:jc w:val="center"/>
              <w:rPr>
                <w:color w:themeColor="text1" w:val="000000"/>
                <w:sz w:val="22"/>
                <w:szCs w:val="22"/>
              </w:rPr>
            </w:pPr>
            <w:r>
              <w:rPr>
                <w:color w:themeColor="text1" w:val="000000"/>
                <w:sz w:val="22"/>
                <w:szCs w:val="22"/>
              </w:rPr>
            </w:r>
          </w:p>
        </w:tc>
      </w:tr>
      <w:tr>
        <w:trPr>
          <w:trHeight w:val="23"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Московская, д.315 к.3</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70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tc>
        <w:tc>
          <w:tcPr>
            <w:tcW w:w="427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w:t>
            </w:r>
            <w:r>
              <w:rPr>
                <w:color w:themeColor="text1" w:val="000000"/>
                <w:sz w:val="22"/>
                <w:szCs w:val="22"/>
                <w:lang w:val="en-US"/>
              </w:rPr>
              <w:t> </w:t>
            </w:r>
            <w:r>
              <w:rPr>
                <w:color w:themeColor="text1" w:val="000000"/>
                <w:sz w:val="22"/>
                <w:szCs w:val="22"/>
              </w:rPr>
              <w:t>Гурьянова, д.6 к.1</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7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4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Детская школа искусств № 9</w:t>
            </w:r>
          </w:p>
        </w:tc>
        <w:tc>
          <w:tcPr>
            <w:tcW w:w="36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 Калуга, ул. Мира, д.8а</w:t>
            </w:r>
          </w:p>
        </w:tc>
        <w:tc>
          <w:tcPr>
            <w:tcW w:w="161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48</w:t>
            </w:r>
          </w:p>
        </w:tc>
      </w:tr>
    </w:tbl>
    <w:p>
      <w:pPr>
        <w:pStyle w:val="Normal"/>
        <w:spacing w:before="0" w:after="60"/>
        <w:ind w:firstLine="709"/>
        <w:jc w:val="both"/>
        <w:rPr>
          <w:b/>
          <w:bCs/>
          <w:color w:themeColor="text1" w:val="000000"/>
        </w:rPr>
      </w:pPr>
      <w:r>
        <w:rPr>
          <w:b/>
          <w:bCs/>
          <w:color w:themeColor="text1" w:val="000000"/>
        </w:rPr>
      </w:r>
    </w:p>
    <w:p>
      <w:pPr>
        <w:pStyle w:val="Normal"/>
        <w:spacing w:before="0" w:after="60"/>
        <w:ind w:firstLine="709"/>
        <w:jc w:val="both"/>
        <w:rPr>
          <w:b/>
          <w:bCs/>
          <w:color w:themeColor="text1" w:val="000000"/>
        </w:rPr>
      </w:pPr>
      <w:r>
        <w:rPr>
          <w:b/>
          <w:bCs/>
          <w:color w:themeColor="text1" w:val="000000"/>
        </w:rPr>
      </w:r>
    </w:p>
    <w:p>
      <w:pPr>
        <w:pStyle w:val="Normal"/>
        <w:spacing w:before="0" w:after="60"/>
        <w:ind w:firstLine="709"/>
        <w:jc w:val="both"/>
        <w:rPr>
          <w:b/>
          <w:bCs/>
          <w:color w:themeColor="text1" w:val="000000"/>
        </w:rPr>
      </w:pPr>
      <w:r>
        <w:rPr>
          <w:b/>
          <w:bCs/>
          <w:color w:themeColor="text1" w:val="000000"/>
        </w:rPr>
        <w:t>Учреждения социального обслуживания</w:t>
      </w:r>
    </w:p>
    <w:p>
      <w:pPr>
        <w:pStyle w:val="Normal"/>
        <w:ind w:firstLine="709"/>
        <w:jc w:val="both"/>
        <w:rPr/>
      </w:pPr>
      <w:r>
        <w:rPr>
          <w:color w:themeColor="text1" w:val="000000"/>
          <w:sz w:val="23"/>
          <w:szCs w:val="23"/>
        </w:rPr>
        <w:t>На территории городского округа расположены государственные учреждения социального обслуживания, подведомственные министерству по делам семьи, демографической и социальной политике Калужской области:</w:t>
      </w:r>
    </w:p>
    <w:p>
      <w:pPr>
        <w:pStyle w:val="ListParagraph"/>
        <w:ind w:firstLine="709" w:left="0"/>
        <w:jc w:val="both"/>
        <w:rPr>
          <w:color w:themeColor="text1" w:val="000000"/>
          <w:sz w:val="23"/>
          <w:szCs w:val="23"/>
        </w:rPr>
      </w:pPr>
      <w:r>
        <w:rPr>
          <w:color w:themeColor="text1" w:val="000000"/>
          <w:sz w:val="23"/>
          <w:szCs w:val="23"/>
          <w:lang w:val="ru-RU"/>
        </w:rPr>
        <w:t>-</w:t>
      </w:r>
      <w:r>
        <w:rPr>
          <w:color w:themeColor="text1" w:val="000000"/>
          <w:sz w:val="23"/>
          <w:szCs w:val="23"/>
          <w:lang w:val="en-US"/>
        </w:rPr>
        <w:t> </w:t>
      </w:r>
      <w:r>
        <w:rPr>
          <w:color w:themeColor="text1" w:val="000000"/>
          <w:sz w:val="23"/>
          <w:szCs w:val="23"/>
        </w:rPr>
        <w:t>Государственное бюджетное учреждение Калужской области «Калужский дом-интернат для престарелых и инвалидов» (г.</w:t>
      </w:r>
      <w:r>
        <w:rPr>
          <w:color w:themeColor="text1" w:val="000000"/>
          <w:sz w:val="23"/>
          <w:szCs w:val="23"/>
          <w:lang w:val="en-US"/>
        </w:rPr>
        <w:t> </w:t>
      </w:r>
      <w:r>
        <w:rPr>
          <w:color w:themeColor="text1" w:val="000000"/>
          <w:sz w:val="23"/>
          <w:szCs w:val="23"/>
        </w:rPr>
        <w:t>Калуга. ул.</w:t>
      </w:r>
      <w:r>
        <w:rPr>
          <w:color w:themeColor="text1" w:val="000000"/>
          <w:sz w:val="23"/>
          <w:szCs w:val="23"/>
          <w:lang w:val="ru-RU"/>
        </w:rPr>
        <w:t xml:space="preserve"> </w:t>
      </w:r>
      <w:r>
        <w:rPr>
          <w:color w:themeColor="text1" w:val="000000"/>
          <w:sz w:val="23"/>
          <w:szCs w:val="23"/>
        </w:rPr>
        <w:t xml:space="preserve">Маяковского, </w:t>
      </w:r>
      <w:r>
        <w:rPr>
          <w:color w:themeColor="text1" w:val="000000"/>
          <w:sz w:val="23"/>
          <w:szCs w:val="23"/>
          <w:lang w:val="ru-RU"/>
        </w:rPr>
        <w:t>д.</w:t>
      </w:r>
      <w:r>
        <w:rPr>
          <w:color w:themeColor="text1" w:val="000000"/>
          <w:sz w:val="23"/>
          <w:szCs w:val="23"/>
        </w:rPr>
        <w:t>35);</w:t>
      </w:r>
    </w:p>
    <w:p>
      <w:pPr>
        <w:pStyle w:val="ListParagraph"/>
        <w:ind w:firstLine="709" w:left="0"/>
        <w:jc w:val="both"/>
        <w:rPr>
          <w:color w:themeColor="text1" w:val="000000"/>
          <w:sz w:val="23"/>
          <w:szCs w:val="23"/>
        </w:rPr>
      </w:pPr>
      <w:r>
        <w:rPr>
          <w:color w:themeColor="text1" w:val="000000"/>
          <w:sz w:val="23"/>
          <w:szCs w:val="23"/>
          <w:lang w:val="ru-RU"/>
        </w:rPr>
        <w:t>-</w:t>
      </w:r>
      <w:r>
        <w:rPr>
          <w:color w:themeColor="text1" w:val="000000"/>
          <w:sz w:val="23"/>
          <w:szCs w:val="23"/>
          <w:lang w:val="en-US"/>
        </w:rPr>
        <w:t> </w:t>
      </w:r>
      <w:r>
        <w:rPr>
          <w:color w:themeColor="text1" w:val="000000"/>
          <w:sz w:val="23"/>
          <w:szCs w:val="23"/>
        </w:rPr>
        <w:t>Государственное бюджетное учреждение Калужской области «Калужский областной центр помощи семье и детям «Доверие» (г.</w:t>
      </w:r>
      <w:r>
        <w:rPr>
          <w:color w:themeColor="text1" w:val="000000"/>
          <w:sz w:val="23"/>
          <w:szCs w:val="23"/>
          <w:lang w:val="ru-RU"/>
        </w:rPr>
        <w:t xml:space="preserve"> </w:t>
      </w:r>
      <w:r>
        <w:rPr>
          <w:color w:themeColor="text1" w:val="000000"/>
          <w:sz w:val="23"/>
          <w:szCs w:val="23"/>
        </w:rPr>
        <w:t xml:space="preserve">Калуга, ул. Билибина, </w:t>
      </w:r>
      <w:r>
        <w:rPr>
          <w:color w:themeColor="text1" w:val="000000"/>
          <w:sz w:val="23"/>
          <w:szCs w:val="23"/>
          <w:lang w:val="ru-RU"/>
        </w:rPr>
        <w:t>д.</w:t>
      </w:r>
      <w:r>
        <w:rPr>
          <w:color w:themeColor="text1" w:val="000000"/>
          <w:sz w:val="23"/>
          <w:szCs w:val="23"/>
        </w:rPr>
        <w:t>35);</w:t>
      </w:r>
    </w:p>
    <w:p>
      <w:pPr>
        <w:pStyle w:val="ListParagraph"/>
        <w:ind w:firstLine="709" w:left="0"/>
        <w:jc w:val="both"/>
        <w:rPr>
          <w:color w:themeColor="text1" w:val="000000"/>
          <w:sz w:val="23"/>
          <w:szCs w:val="23"/>
        </w:rPr>
      </w:pPr>
      <w:r>
        <w:rPr>
          <w:color w:themeColor="text1" w:val="000000"/>
          <w:sz w:val="23"/>
          <w:szCs w:val="23"/>
          <w:lang w:val="ru-RU"/>
        </w:rPr>
        <w:t>-</w:t>
      </w:r>
      <w:r>
        <w:rPr>
          <w:color w:themeColor="text1" w:val="000000"/>
          <w:sz w:val="23"/>
          <w:szCs w:val="23"/>
          <w:lang w:val="en-US"/>
        </w:rPr>
        <w:t> </w:t>
      </w:r>
      <w:r>
        <w:rPr>
          <w:color w:themeColor="text1" w:val="000000"/>
          <w:sz w:val="23"/>
          <w:szCs w:val="23"/>
          <w:lang w:val="ru-RU"/>
        </w:rPr>
        <w:t>Реабилитационный</w:t>
      </w:r>
      <w:r>
        <w:rPr>
          <w:color w:themeColor="text1" w:val="000000"/>
          <w:sz w:val="23"/>
          <w:szCs w:val="23"/>
        </w:rPr>
        <w:t xml:space="preserve"> центр для детей и подростков с ограниченными возможностями «Доброта» (г.</w:t>
      </w:r>
      <w:r>
        <w:rPr>
          <w:color w:themeColor="text1" w:val="000000"/>
          <w:sz w:val="23"/>
          <w:szCs w:val="23"/>
          <w:lang w:val="ru-RU"/>
        </w:rPr>
        <w:t xml:space="preserve"> </w:t>
      </w:r>
      <w:r>
        <w:rPr>
          <w:color w:themeColor="text1" w:val="000000"/>
          <w:sz w:val="23"/>
          <w:szCs w:val="23"/>
        </w:rPr>
        <w:t>Калуга, ул.</w:t>
      </w:r>
      <w:r>
        <w:rPr>
          <w:color w:themeColor="text1" w:val="000000"/>
          <w:sz w:val="23"/>
          <w:szCs w:val="23"/>
          <w:lang w:val="ru-RU"/>
        </w:rPr>
        <w:t xml:space="preserve"> </w:t>
      </w:r>
      <w:r>
        <w:rPr>
          <w:color w:themeColor="text1" w:val="000000"/>
          <w:sz w:val="23"/>
          <w:szCs w:val="23"/>
        </w:rPr>
        <w:t>Врубовая,</w:t>
      </w:r>
      <w:r>
        <w:rPr>
          <w:color w:themeColor="text1" w:val="000000"/>
          <w:sz w:val="23"/>
          <w:szCs w:val="23"/>
          <w:lang w:val="ru-RU"/>
        </w:rPr>
        <w:t xml:space="preserve"> д.</w:t>
      </w:r>
      <w:r>
        <w:rPr>
          <w:color w:themeColor="text1" w:val="000000"/>
          <w:sz w:val="23"/>
          <w:szCs w:val="23"/>
        </w:rPr>
        <w:t>8);</w:t>
      </w:r>
    </w:p>
    <w:p>
      <w:pPr>
        <w:pStyle w:val="ListParagraph"/>
        <w:ind w:firstLine="709" w:left="0"/>
        <w:jc w:val="both"/>
        <w:rPr>
          <w:color w:themeColor="text1" w:val="000000"/>
          <w:sz w:val="23"/>
          <w:szCs w:val="23"/>
        </w:rPr>
      </w:pPr>
      <w:r>
        <w:rPr>
          <w:color w:themeColor="text1" w:val="000000"/>
          <w:sz w:val="23"/>
          <w:szCs w:val="23"/>
          <w:lang w:val="ru-RU"/>
        </w:rPr>
        <w:t>- </w:t>
      </w:r>
      <w:r>
        <w:rPr>
          <w:color w:themeColor="text1" w:val="000000"/>
          <w:sz w:val="23"/>
          <w:szCs w:val="23"/>
        </w:rPr>
        <w:t>Государственное бюджетное учреждение Калужской области «Калужский социально-реабилитационный центр для несовершеннолетних «Надежда» (г.</w:t>
      </w:r>
      <w:r>
        <w:rPr>
          <w:color w:themeColor="text1" w:val="000000"/>
          <w:sz w:val="23"/>
          <w:szCs w:val="23"/>
          <w:lang w:val="ru-RU"/>
        </w:rPr>
        <w:t xml:space="preserve"> </w:t>
      </w:r>
      <w:r>
        <w:rPr>
          <w:color w:themeColor="text1" w:val="000000"/>
          <w:sz w:val="23"/>
          <w:szCs w:val="23"/>
        </w:rPr>
        <w:t>Калуга. ул.</w:t>
      </w:r>
      <w:r>
        <w:rPr>
          <w:color w:themeColor="text1" w:val="000000"/>
          <w:sz w:val="23"/>
          <w:szCs w:val="23"/>
          <w:lang w:val="ru-RU"/>
        </w:rPr>
        <w:t xml:space="preserve"> </w:t>
      </w:r>
      <w:r>
        <w:rPr>
          <w:color w:themeColor="text1" w:val="000000"/>
          <w:sz w:val="23"/>
          <w:szCs w:val="23"/>
        </w:rPr>
        <w:t xml:space="preserve">Пушкина, </w:t>
      </w:r>
      <w:r>
        <w:rPr>
          <w:color w:themeColor="text1" w:val="000000"/>
          <w:sz w:val="23"/>
          <w:szCs w:val="23"/>
          <w:lang w:val="ru-RU"/>
        </w:rPr>
        <w:t>д.</w:t>
      </w:r>
      <w:r>
        <w:rPr>
          <w:color w:themeColor="text1" w:val="000000"/>
          <w:sz w:val="23"/>
          <w:szCs w:val="23"/>
        </w:rPr>
        <w:t>17);</w:t>
      </w:r>
    </w:p>
    <w:p>
      <w:pPr>
        <w:pStyle w:val="ListParagraph"/>
        <w:ind w:firstLine="709" w:left="0"/>
        <w:jc w:val="both"/>
        <w:rPr>
          <w:color w:themeColor="text1" w:val="000000"/>
          <w:sz w:val="23"/>
          <w:szCs w:val="23"/>
        </w:rPr>
      </w:pPr>
      <w:r>
        <w:rPr>
          <w:color w:themeColor="text1" w:val="000000"/>
          <w:sz w:val="23"/>
          <w:szCs w:val="23"/>
          <w:lang w:val="ru-RU"/>
        </w:rPr>
        <w:t>- </w:t>
      </w:r>
      <w:r>
        <w:rPr>
          <w:color w:themeColor="text1" w:val="000000"/>
          <w:sz w:val="23"/>
          <w:szCs w:val="23"/>
        </w:rPr>
        <w:t>Государственное бюджетное учреждение Калужской области «Калужский социальный приют для детей и подростков «Мечта» (г.</w:t>
      </w:r>
      <w:r>
        <w:rPr>
          <w:color w:themeColor="text1" w:val="000000"/>
          <w:sz w:val="23"/>
          <w:szCs w:val="23"/>
          <w:lang w:val="ru-RU"/>
        </w:rPr>
        <w:t xml:space="preserve"> </w:t>
      </w:r>
      <w:r>
        <w:rPr>
          <w:color w:themeColor="text1" w:val="000000"/>
          <w:sz w:val="23"/>
          <w:szCs w:val="23"/>
        </w:rPr>
        <w:t xml:space="preserve">Калуга. </w:t>
      </w:r>
      <w:r>
        <w:rPr>
          <w:color w:themeColor="text1" w:val="000000"/>
          <w:sz w:val="23"/>
          <w:szCs w:val="23"/>
          <w:lang w:val="ru-RU"/>
        </w:rPr>
        <w:t>ул.</w:t>
      </w:r>
      <w:r>
        <w:rPr>
          <w:color w:themeColor="text1" w:val="000000"/>
          <w:sz w:val="23"/>
          <w:szCs w:val="23"/>
        </w:rPr>
        <w:t xml:space="preserve">Калуга-Бор, </w:t>
      </w:r>
      <w:r>
        <w:rPr>
          <w:color w:themeColor="text1" w:val="000000"/>
          <w:sz w:val="23"/>
          <w:szCs w:val="23"/>
          <w:lang w:val="ru-RU"/>
        </w:rPr>
        <w:t>д.</w:t>
      </w:r>
      <w:r>
        <w:rPr>
          <w:color w:themeColor="text1" w:val="000000"/>
          <w:sz w:val="23"/>
          <w:szCs w:val="23"/>
        </w:rPr>
        <w:t>31);</w:t>
      </w:r>
    </w:p>
    <w:p>
      <w:pPr>
        <w:pStyle w:val="ListParagraph"/>
        <w:ind w:firstLine="709" w:left="0"/>
        <w:jc w:val="both"/>
        <w:rPr>
          <w:color w:themeColor="text1" w:val="000000"/>
          <w:sz w:val="23"/>
          <w:szCs w:val="23"/>
        </w:rPr>
      </w:pPr>
      <w:r>
        <w:rPr>
          <w:color w:themeColor="text1" w:val="000000"/>
          <w:sz w:val="23"/>
          <w:szCs w:val="23"/>
          <w:lang w:val="ru-RU"/>
        </w:rPr>
        <w:t>- </w:t>
      </w:r>
      <w:r>
        <w:rPr>
          <w:color w:themeColor="text1" w:val="000000"/>
          <w:sz w:val="23"/>
          <w:szCs w:val="23"/>
        </w:rPr>
        <w:t>Государственное бюджетное учреждение Калужской области «Калужский социальный приют для детей и подростков «Мечта» (г.</w:t>
      </w:r>
      <w:r>
        <w:rPr>
          <w:color w:themeColor="text1" w:val="000000"/>
          <w:sz w:val="23"/>
          <w:szCs w:val="23"/>
          <w:lang w:val="ru-RU"/>
        </w:rPr>
        <w:t xml:space="preserve"> </w:t>
      </w:r>
      <w:r>
        <w:rPr>
          <w:color w:themeColor="text1" w:val="000000"/>
          <w:sz w:val="23"/>
          <w:szCs w:val="23"/>
        </w:rPr>
        <w:t xml:space="preserve">Калуга. </w:t>
      </w:r>
      <w:r>
        <w:rPr>
          <w:color w:themeColor="text1" w:val="000000"/>
          <w:sz w:val="23"/>
          <w:szCs w:val="23"/>
          <w:lang w:val="ru-RU"/>
        </w:rPr>
        <w:t>ул. Карла Либкнехта, д.9</w:t>
      </w:r>
      <w:r>
        <w:rPr>
          <w:color w:themeColor="text1" w:val="000000"/>
          <w:sz w:val="23"/>
          <w:szCs w:val="23"/>
        </w:rPr>
        <w:t>);</w:t>
      </w:r>
    </w:p>
    <w:p>
      <w:pPr>
        <w:pStyle w:val="ListParagraph"/>
        <w:ind w:firstLine="709" w:left="0"/>
        <w:jc w:val="both"/>
        <w:rPr>
          <w:color w:themeColor="text1" w:val="000000"/>
          <w:sz w:val="23"/>
          <w:szCs w:val="23"/>
        </w:rPr>
      </w:pPr>
      <w:r>
        <w:rPr>
          <w:color w:themeColor="text1" w:val="000000"/>
          <w:sz w:val="23"/>
          <w:szCs w:val="23"/>
          <w:lang w:val="ru-RU"/>
        </w:rPr>
        <w:t>- </w:t>
      </w:r>
      <w:r>
        <w:rPr>
          <w:color w:themeColor="text1" w:val="000000"/>
          <w:sz w:val="23"/>
          <w:szCs w:val="23"/>
        </w:rPr>
        <w:t>Государственное казенное образовательное учреждение начального профессионального образования Калужской области «Калужский реабилитационно-образовательный комплекс» (г.</w:t>
      </w:r>
      <w:r>
        <w:rPr>
          <w:color w:themeColor="text1" w:val="000000"/>
          <w:sz w:val="23"/>
          <w:szCs w:val="23"/>
          <w:lang w:val="ru-RU"/>
        </w:rPr>
        <w:t> </w:t>
      </w:r>
      <w:r>
        <w:rPr>
          <w:color w:themeColor="text1" w:val="000000"/>
          <w:sz w:val="23"/>
          <w:szCs w:val="23"/>
        </w:rPr>
        <w:t xml:space="preserve">Калуга, ул. Тарутинская, </w:t>
      </w:r>
      <w:r>
        <w:rPr>
          <w:color w:themeColor="text1" w:val="000000"/>
          <w:sz w:val="23"/>
          <w:szCs w:val="23"/>
          <w:lang w:val="ru-RU"/>
        </w:rPr>
        <w:t>д.</w:t>
      </w:r>
      <w:r>
        <w:rPr>
          <w:color w:themeColor="text1" w:val="000000"/>
          <w:sz w:val="23"/>
          <w:szCs w:val="23"/>
        </w:rPr>
        <w:t>171</w:t>
      </w:r>
      <w:r>
        <w:rPr>
          <w:color w:themeColor="text1" w:val="000000"/>
          <w:sz w:val="23"/>
          <w:szCs w:val="23"/>
          <w:lang w:val="ru-RU"/>
        </w:rPr>
        <w:t>а</w:t>
      </w:r>
      <w:r>
        <w:rPr>
          <w:color w:themeColor="text1" w:val="000000"/>
          <w:sz w:val="23"/>
          <w:szCs w:val="23"/>
        </w:rPr>
        <w:t>);</w:t>
      </w:r>
    </w:p>
    <w:p>
      <w:pPr>
        <w:pStyle w:val="ListParagraph"/>
        <w:ind w:firstLine="709" w:left="0"/>
        <w:jc w:val="both"/>
        <w:rPr>
          <w:color w:themeColor="text1" w:val="000000"/>
          <w:sz w:val="23"/>
          <w:szCs w:val="23"/>
          <w:lang w:val="ru-RU"/>
        </w:rPr>
      </w:pPr>
      <w:r>
        <w:rPr>
          <w:color w:themeColor="text1" w:val="000000"/>
          <w:sz w:val="23"/>
          <w:szCs w:val="23"/>
          <w:lang w:val="ru-RU"/>
        </w:rPr>
        <w:t>- </w:t>
      </w:r>
      <w:r>
        <w:rPr>
          <w:color w:themeColor="text1" w:val="000000"/>
          <w:sz w:val="23"/>
          <w:szCs w:val="23"/>
        </w:rPr>
        <w:t>Государственное казенное учреждение социального обслуживания «Калужский областной социальный центр помощи лицам без определенного места жительства» (г.</w:t>
      </w:r>
      <w:r>
        <w:rPr>
          <w:color w:themeColor="text1" w:val="000000"/>
          <w:sz w:val="23"/>
          <w:szCs w:val="23"/>
          <w:lang w:val="ru-RU"/>
        </w:rPr>
        <w:t xml:space="preserve"> </w:t>
      </w:r>
      <w:r>
        <w:rPr>
          <w:color w:themeColor="text1" w:val="000000"/>
          <w:sz w:val="23"/>
          <w:szCs w:val="23"/>
        </w:rPr>
        <w:t>Калуга,</w:t>
        <w:br/>
        <w:t>ул.</w:t>
      </w:r>
      <w:r>
        <w:rPr>
          <w:color w:themeColor="text1" w:val="000000"/>
          <w:sz w:val="23"/>
          <w:szCs w:val="23"/>
          <w:lang w:val="ru-RU"/>
        </w:rPr>
        <w:t xml:space="preserve"> </w:t>
      </w:r>
      <w:r>
        <w:rPr>
          <w:color w:themeColor="text1" w:val="000000"/>
          <w:sz w:val="23"/>
          <w:szCs w:val="23"/>
        </w:rPr>
        <w:t xml:space="preserve">Дальняя, </w:t>
      </w:r>
      <w:r>
        <w:rPr>
          <w:color w:themeColor="text1" w:val="000000"/>
          <w:sz w:val="23"/>
          <w:szCs w:val="23"/>
          <w:lang w:val="ru-RU"/>
        </w:rPr>
        <w:t>д.</w:t>
      </w:r>
      <w:r>
        <w:rPr>
          <w:color w:themeColor="text1" w:val="000000"/>
          <w:sz w:val="23"/>
          <w:szCs w:val="23"/>
        </w:rPr>
        <w:t>3. стр.1)</w:t>
      </w:r>
      <w:r>
        <w:rPr>
          <w:color w:themeColor="text1" w:val="000000"/>
          <w:sz w:val="23"/>
          <w:szCs w:val="23"/>
          <w:lang w:val="ru-RU"/>
        </w:rPr>
        <w:t>;</w:t>
      </w:r>
    </w:p>
    <w:p>
      <w:pPr>
        <w:pStyle w:val="ListParagraph"/>
        <w:ind w:firstLine="709" w:left="0"/>
        <w:jc w:val="both"/>
        <w:rPr>
          <w:color w:themeColor="text1" w:val="000000"/>
          <w:sz w:val="23"/>
          <w:szCs w:val="23"/>
          <w:lang w:val="ru-RU"/>
        </w:rPr>
      </w:pPr>
      <w:r>
        <w:rPr>
          <w:color w:themeColor="text1" w:val="000000"/>
          <w:sz w:val="23"/>
          <w:szCs w:val="23"/>
          <w:lang w:val="ru-RU"/>
        </w:rPr>
        <w:t>- </w:t>
      </w:r>
      <w:r>
        <w:rPr>
          <w:color w:themeColor="text1" w:val="000000"/>
          <w:sz w:val="23"/>
          <w:szCs w:val="23"/>
        </w:rPr>
        <w:t xml:space="preserve">Государственное бюджетное учреждение Калужской области </w:t>
      </w:r>
      <w:r>
        <w:rPr>
          <w:color w:themeColor="text1" w:val="000000"/>
          <w:sz w:val="23"/>
          <w:szCs w:val="23"/>
          <w:lang w:val="ru-RU"/>
        </w:rPr>
        <w:t>«</w:t>
      </w:r>
      <w:r>
        <w:rPr>
          <w:color w:themeColor="text1" w:val="000000"/>
          <w:sz w:val="23"/>
          <w:szCs w:val="23"/>
        </w:rPr>
        <w:t>Центр психолого - педагогической, медицинской и социальной помощи</w:t>
      </w:r>
      <w:r>
        <w:rPr>
          <w:color w:themeColor="text1" w:val="000000"/>
          <w:sz w:val="23"/>
          <w:szCs w:val="23"/>
          <w:lang w:val="ru-RU"/>
        </w:rPr>
        <w:t xml:space="preserve"> </w:t>
      </w:r>
      <w:r>
        <w:rPr>
          <w:color w:themeColor="text1" w:val="000000"/>
          <w:sz w:val="23"/>
          <w:szCs w:val="23"/>
        </w:rPr>
        <w:t>«Содействие» (г.</w:t>
      </w:r>
      <w:r>
        <w:rPr>
          <w:color w:themeColor="text1" w:val="000000"/>
          <w:sz w:val="23"/>
          <w:szCs w:val="23"/>
          <w:lang w:val="ru-RU"/>
        </w:rPr>
        <w:t xml:space="preserve"> </w:t>
      </w:r>
      <w:r>
        <w:rPr>
          <w:color w:themeColor="text1" w:val="000000"/>
          <w:sz w:val="23"/>
          <w:szCs w:val="23"/>
        </w:rPr>
        <w:t>Калуга, ул.</w:t>
      </w:r>
      <w:r>
        <w:rPr>
          <w:color w:themeColor="text1" w:val="000000"/>
          <w:sz w:val="23"/>
          <w:szCs w:val="23"/>
          <w:lang w:val="ru-RU"/>
        </w:rPr>
        <w:t xml:space="preserve"> Достоевского</w:t>
      </w:r>
      <w:r>
        <w:rPr>
          <w:color w:themeColor="text1" w:val="000000"/>
          <w:sz w:val="23"/>
          <w:szCs w:val="23"/>
        </w:rPr>
        <w:t xml:space="preserve">, </w:t>
      </w:r>
      <w:r>
        <w:rPr>
          <w:color w:themeColor="text1" w:val="000000"/>
          <w:sz w:val="23"/>
          <w:szCs w:val="23"/>
          <w:lang w:val="ru-RU"/>
        </w:rPr>
        <w:t>д.</w:t>
      </w:r>
      <w:r>
        <w:rPr>
          <w:color w:themeColor="text1" w:val="000000"/>
          <w:sz w:val="23"/>
          <w:szCs w:val="23"/>
        </w:rPr>
        <w:t>44)</w:t>
      </w:r>
      <w:r>
        <w:rPr>
          <w:color w:themeColor="text1" w:val="000000"/>
          <w:sz w:val="23"/>
          <w:szCs w:val="23"/>
          <w:lang w:val="ru-RU"/>
        </w:rPr>
        <w:t>;</w:t>
      </w:r>
    </w:p>
    <w:p>
      <w:pPr>
        <w:pStyle w:val="ListParagraph"/>
        <w:ind w:firstLine="709" w:left="0"/>
        <w:jc w:val="both"/>
        <w:rPr>
          <w:color w:themeColor="text1" w:val="000000"/>
          <w:sz w:val="23"/>
          <w:szCs w:val="23"/>
          <w:lang w:val="ru-RU"/>
        </w:rPr>
      </w:pPr>
      <w:r>
        <w:rPr>
          <w:color w:themeColor="text1" w:val="000000"/>
          <w:sz w:val="23"/>
          <w:szCs w:val="23"/>
          <w:lang w:val="ru-RU"/>
        </w:rPr>
        <w:t>- </w:t>
      </w:r>
      <w:r>
        <w:rPr>
          <w:color w:themeColor="text1" w:val="000000"/>
          <w:sz w:val="23"/>
          <w:szCs w:val="23"/>
        </w:rPr>
        <w:t xml:space="preserve">Государственное бюджетное учреждение Калужской области </w:t>
      </w:r>
      <w:r>
        <w:rPr>
          <w:color w:themeColor="text1" w:val="000000"/>
          <w:sz w:val="23"/>
          <w:szCs w:val="23"/>
          <w:lang w:val="ru-RU"/>
        </w:rPr>
        <w:t>«</w:t>
      </w:r>
      <w:r>
        <w:rPr>
          <w:color w:themeColor="text1" w:val="000000"/>
          <w:sz w:val="23"/>
          <w:szCs w:val="23"/>
        </w:rPr>
        <w:t xml:space="preserve">Центр </w:t>
      </w:r>
      <w:r>
        <w:rPr>
          <w:color w:themeColor="text1" w:val="000000"/>
          <w:sz w:val="23"/>
          <w:szCs w:val="23"/>
          <w:lang w:val="ru-RU"/>
        </w:rPr>
        <w:t>содействия семейному воспитанию имени Попова В.Т.</w:t>
      </w:r>
      <w:r>
        <w:rPr>
          <w:color w:themeColor="text1" w:val="000000"/>
          <w:sz w:val="23"/>
          <w:szCs w:val="23"/>
        </w:rPr>
        <w:t>» (г.</w:t>
      </w:r>
      <w:r>
        <w:rPr>
          <w:color w:themeColor="text1" w:val="000000"/>
          <w:sz w:val="23"/>
          <w:szCs w:val="23"/>
          <w:lang w:val="ru-RU"/>
        </w:rPr>
        <w:t xml:space="preserve"> </w:t>
      </w:r>
      <w:r>
        <w:rPr>
          <w:color w:themeColor="text1" w:val="000000"/>
          <w:sz w:val="23"/>
          <w:szCs w:val="23"/>
        </w:rPr>
        <w:t>Калуга, ул.</w:t>
      </w:r>
      <w:r>
        <w:rPr>
          <w:color w:themeColor="text1" w:val="000000"/>
          <w:sz w:val="23"/>
          <w:szCs w:val="23"/>
          <w:lang w:val="ru-RU"/>
        </w:rPr>
        <w:t xml:space="preserve"> Кубяка</w:t>
      </w:r>
      <w:r>
        <w:rPr>
          <w:color w:themeColor="text1" w:val="000000"/>
          <w:sz w:val="23"/>
          <w:szCs w:val="23"/>
        </w:rPr>
        <w:t xml:space="preserve">, </w:t>
      </w:r>
      <w:r>
        <w:rPr>
          <w:color w:themeColor="text1" w:val="000000"/>
          <w:sz w:val="23"/>
          <w:szCs w:val="23"/>
          <w:lang w:val="ru-RU"/>
        </w:rPr>
        <w:t>д.</w:t>
      </w:r>
      <w:r>
        <w:rPr>
          <w:color w:themeColor="text1" w:val="000000"/>
          <w:sz w:val="23"/>
          <w:szCs w:val="23"/>
        </w:rPr>
        <w:t>20)</w:t>
      </w:r>
      <w:r>
        <w:rPr>
          <w:color w:themeColor="text1" w:val="000000"/>
          <w:sz w:val="23"/>
          <w:szCs w:val="23"/>
          <w:lang w:val="ru-RU"/>
        </w:rPr>
        <w:t>;</w:t>
      </w:r>
    </w:p>
    <w:p>
      <w:pPr>
        <w:pStyle w:val="ListParagraph"/>
        <w:ind w:firstLine="709" w:left="0"/>
        <w:jc w:val="both"/>
        <w:rPr>
          <w:color w:themeColor="text1" w:val="000000"/>
          <w:sz w:val="23"/>
          <w:szCs w:val="23"/>
          <w:lang w:val="ru-RU"/>
        </w:rPr>
      </w:pPr>
      <w:r>
        <w:rPr>
          <w:color w:themeColor="text1" w:val="000000"/>
          <w:sz w:val="23"/>
          <w:szCs w:val="23"/>
          <w:lang w:val="ru-RU"/>
        </w:rPr>
        <w:t>- </w:t>
      </w:r>
      <w:r>
        <w:rPr>
          <w:color w:themeColor="text1" w:val="000000"/>
          <w:sz w:val="23"/>
          <w:szCs w:val="23"/>
        </w:rPr>
        <w:t xml:space="preserve">Государственное бюджетное учреждение Калужской области </w:t>
      </w:r>
      <w:r>
        <w:rPr>
          <w:color w:themeColor="text1" w:val="000000"/>
          <w:sz w:val="23"/>
          <w:szCs w:val="23"/>
          <w:lang w:val="ru-RU"/>
        </w:rPr>
        <w:t>«</w:t>
      </w:r>
      <w:r>
        <w:rPr>
          <w:color w:themeColor="text1" w:val="000000"/>
          <w:sz w:val="23"/>
          <w:szCs w:val="23"/>
        </w:rPr>
        <w:t>Центр</w:t>
      </w:r>
      <w:r>
        <w:rPr>
          <w:color w:themeColor="text1" w:val="000000"/>
          <w:sz w:val="23"/>
          <w:szCs w:val="23"/>
          <w:lang w:val="ru-RU"/>
        </w:rPr>
        <w:t xml:space="preserve"> постинтернатного сопровождения «Расправь крылья»</w:t>
      </w:r>
      <w:r>
        <w:rPr>
          <w:color w:themeColor="text1" w:val="000000"/>
          <w:sz w:val="23"/>
          <w:szCs w:val="23"/>
        </w:rPr>
        <w:t>» (г.</w:t>
      </w:r>
      <w:r>
        <w:rPr>
          <w:color w:themeColor="text1" w:val="000000"/>
          <w:sz w:val="23"/>
          <w:szCs w:val="23"/>
          <w:lang w:val="ru-RU"/>
        </w:rPr>
        <w:t xml:space="preserve"> </w:t>
      </w:r>
      <w:r>
        <w:rPr>
          <w:color w:themeColor="text1" w:val="000000"/>
          <w:sz w:val="23"/>
          <w:szCs w:val="23"/>
        </w:rPr>
        <w:t>Калуга, ул.</w:t>
      </w:r>
      <w:r>
        <w:rPr>
          <w:color w:themeColor="text1" w:val="000000"/>
          <w:sz w:val="23"/>
          <w:szCs w:val="23"/>
          <w:lang w:val="ru-RU"/>
        </w:rPr>
        <w:t xml:space="preserve"> Кубяка</w:t>
      </w:r>
      <w:r>
        <w:rPr>
          <w:color w:themeColor="text1" w:val="000000"/>
          <w:sz w:val="23"/>
          <w:szCs w:val="23"/>
        </w:rPr>
        <w:t xml:space="preserve">, </w:t>
      </w:r>
      <w:r>
        <w:rPr>
          <w:color w:themeColor="text1" w:val="000000"/>
          <w:sz w:val="23"/>
          <w:szCs w:val="23"/>
          <w:lang w:val="ru-RU"/>
        </w:rPr>
        <w:t>д.</w:t>
      </w:r>
      <w:r>
        <w:rPr>
          <w:color w:themeColor="text1" w:val="000000"/>
          <w:sz w:val="23"/>
          <w:szCs w:val="23"/>
        </w:rPr>
        <w:t>26)</w:t>
      </w:r>
      <w:r>
        <w:rPr>
          <w:color w:themeColor="text1" w:val="000000"/>
          <w:sz w:val="23"/>
          <w:szCs w:val="23"/>
          <w:lang w:val="ru-RU"/>
        </w:rPr>
        <w:t>.</w:t>
      </w:r>
    </w:p>
    <w:p>
      <w:pPr>
        <w:pStyle w:val="ListParagraph"/>
        <w:ind w:firstLine="709" w:left="0"/>
        <w:jc w:val="both"/>
        <w:rPr>
          <w:color w:themeColor="text1" w:val="000000"/>
          <w:sz w:val="23"/>
          <w:szCs w:val="23"/>
          <w:lang w:val="ru-RU"/>
        </w:rPr>
      </w:pPr>
      <w:r>
        <w:rPr>
          <w:color w:themeColor="text1" w:val="000000"/>
          <w:sz w:val="23"/>
          <w:szCs w:val="23"/>
          <w:lang w:val="ru-RU"/>
        </w:rPr>
      </w:r>
      <w:r>
        <w:br w:type="page"/>
      </w:r>
    </w:p>
    <w:p>
      <w:pPr>
        <w:pStyle w:val="Normal"/>
        <w:spacing w:before="0" w:after="60"/>
        <w:ind w:firstLine="709"/>
        <w:jc w:val="both"/>
        <w:rPr>
          <w:b/>
          <w:bCs/>
          <w:color w:themeColor="text1" w:val="000000"/>
        </w:rPr>
      </w:pPr>
      <w:r>
        <w:rPr>
          <w:b/>
          <w:bCs/>
          <w:color w:themeColor="text1" w:val="000000"/>
        </w:rPr>
        <w:t>Прочие объекты, обеспечивающие реализацию полномочий по решению вопросов местного значения городского округа</w:t>
      </w:r>
    </w:p>
    <w:p>
      <w:pPr>
        <w:pStyle w:val="Normal"/>
        <w:spacing w:before="60" w:after="60"/>
        <w:ind w:firstLine="709"/>
        <w:jc w:val="both"/>
        <w:rPr>
          <w:bCs/>
          <w:color w:themeColor="text1" w:val="000000"/>
          <w:u w:val="single"/>
        </w:rPr>
      </w:pPr>
      <w:r>
        <w:rPr>
          <w:bCs/>
          <w:color w:themeColor="text1" w:val="000000"/>
          <w:u w:val="single"/>
        </w:rPr>
        <w:t>Объекты социальной защиты населения</w:t>
      </w:r>
    </w:p>
    <w:p>
      <w:pPr>
        <w:pStyle w:val="Style70"/>
        <w:spacing w:before="0" w:after="0"/>
        <w:ind w:firstLine="709"/>
        <w:rPr>
          <w:color w:themeColor="text1" w:val="000000"/>
        </w:rPr>
      </w:pPr>
      <w:r>
        <w:rPr>
          <w:color w:themeColor="text1" w:val="000000"/>
        </w:rPr>
        <w:t>В настоящее время управлению социальной защиты города Калуги подведомственно муниципальное бюджетное учреждение «Комплексный центр социального обслуживания населения «Забота».</w:t>
      </w:r>
    </w:p>
    <w:p>
      <w:pPr>
        <w:pStyle w:val="Style70"/>
        <w:spacing w:before="0" w:after="0"/>
        <w:jc w:val="right"/>
        <w:rPr>
          <w:color w:themeColor="text1" w:val="000000"/>
        </w:rPr>
      </w:pPr>
      <w:r>
        <w:rPr>
          <w:color w:themeColor="text1" w:val="000000"/>
        </w:rPr>
        <w:t>Таблица 5.3.14.</w:t>
      </w:r>
    </w:p>
    <w:p>
      <w:pPr>
        <w:pStyle w:val="Style70"/>
        <w:spacing w:before="0" w:after="0"/>
        <w:ind w:hanging="0"/>
        <w:jc w:val="center"/>
        <w:rPr>
          <w:color w:themeColor="text1" w:val="000000"/>
          <w:sz w:val="22"/>
          <w:szCs w:val="22"/>
        </w:rPr>
      </w:pPr>
      <w:r>
        <w:rPr>
          <w:color w:themeColor="text1" w:val="000000"/>
          <w:sz w:val="2"/>
          <w:szCs w:val="2"/>
        </w:rPr>
        <w:t>Характеристика учреждений социального обслуживания местного значения городского округа</w:t>
      </w:r>
    </w:p>
    <w:tbl>
      <w:tblPr>
        <w:tblW w:w="9874"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4916"/>
        <w:gridCol w:w="2379"/>
        <w:gridCol w:w="2579"/>
      </w:tblGrid>
      <w:tr>
        <w:trPr>
          <w:trHeight w:val="388" w:hRule="atLeast"/>
        </w:trPr>
        <w:tc>
          <w:tcPr>
            <w:tcW w:w="491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237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257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 (мест)</w:t>
            </w:r>
          </w:p>
        </w:tc>
      </w:tr>
      <w:tr>
        <w:trPr>
          <w:trHeight w:val="23" w:hRule="atLeast"/>
        </w:trPr>
        <w:tc>
          <w:tcPr>
            <w:tcW w:w="491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Муниципальное бюджетное учреждение «Комплексный центр социального обслуживания населения «Забота»</w:t>
            </w:r>
          </w:p>
        </w:tc>
        <w:tc>
          <w:tcPr>
            <w:tcW w:w="237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г. Калуга, ул. Московская,</w:t>
            </w:r>
          </w:p>
          <w:p>
            <w:pPr>
              <w:pStyle w:val="Normal"/>
              <w:widowControl w:val="false"/>
              <w:jc w:val="center"/>
              <w:rPr>
                <w:color w:themeColor="text1" w:val="000000"/>
                <w:sz w:val="22"/>
                <w:szCs w:val="22"/>
              </w:rPr>
            </w:pPr>
            <w:r>
              <w:rPr>
                <w:color w:themeColor="text1" w:val="000000"/>
                <w:sz w:val="22"/>
                <w:szCs w:val="22"/>
              </w:rPr>
              <w:t>д. 217</w:t>
            </w:r>
          </w:p>
        </w:tc>
        <w:tc>
          <w:tcPr>
            <w:tcW w:w="25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w:t>
            </w:r>
          </w:p>
        </w:tc>
      </w:tr>
      <w:tr>
        <w:trPr>
          <w:trHeight w:val="23" w:hRule="atLeast"/>
        </w:trPr>
        <w:tc>
          <w:tcPr>
            <w:tcW w:w="491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Муниципальное бюджетное учреждение «Комплексный центр социального обслуживания населения «Забота»</w:t>
            </w:r>
          </w:p>
        </w:tc>
        <w:tc>
          <w:tcPr>
            <w:tcW w:w="237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г. Калуга, ул. Врубовая, д.22</w:t>
            </w:r>
          </w:p>
        </w:tc>
        <w:tc>
          <w:tcPr>
            <w:tcW w:w="257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themeColor="text1" w:val="000000"/>
                <w:sz w:val="22"/>
                <w:szCs w:val="22"/>
              </w:rPr>
            </w:pPr>
            <w:r>
              <w:rPr>
                <w:color w:themeColor="text1" w:val="000000"/>
                <w:sz w:val="22"/>
                <w:szCs w:val="22"/>
              </w:rPr>
              <w:t>Полустационарное отделение дневного пребывания «Дом ветеранов» 30 мест</w:t>
            </w:r>
          </w:p>
        </w:tc>
      </w:tr>
    </w:tbl>
    <w:p>
      <w:pPr>
        <w:pStyle w:val="Style70"/>
        <w:spacing w:before="0" w:after="0"/>
        <w:ind w:firstLine="709"/>
        <w:rPr>
          <w:color w:themeColor="text1" w:val="000000"/>
        </w:rPr>
      </w:pPr>
      <w:r>
        <w:rPr>
          <w:color w:themeColor="text1" w:val="000000"/>
        </w:rPr>
        <w:t>Органы социальной защиты города выполняют переданные государственные полномочия по реализации мер социальной поддержки отдельным категориям граждан и социальному обслуживанию в полном объеме, строительство объектов социальной защиты местного значения не запланировано.</w:t>
      </w:r>
    </w:p>
    <w:p>
      <w:pPr>
        <w:pStyle w:val="Normal"/>
        <w:spacing w:before="60" w:after="60"/>
        <w:ind w:firstLine="709"/>
        <w:jc w:val="both"/>
        <w:rPr>
          <w:bCs/>
          <w:color w:themeColor="text1" w:val="000000"/>
          <w:u w:val="single"/>
        </w:rPr>
      </w:pPr>
      <w:r>
        <w:rPr>
          <w:bCs/>
          <w:color w:themeColor="text1" w:val="000000"/>
          <w:u w:val="single"/>
        </w:rPr>
        <w:t>Места массового отдыха населения и проведения культурно-массовых мероприятий</w:t>
      </w:r>
    </w:p>
    <w:p>
      <w:pPr>
        <w:pStyle w:val="Normal"/>
        <w:ind w:firstLine="708"/>
        <w:jc w:val="both"/>
        <w:rPr>
          <w:color w:themeColor="text1" w:val="000000"/>
        </w:rPr>
      </w:pPr>
      <w:r>
        <w:rPr>
          <w:color w:themeColor="text1" w:val="000000"/>
        </w:rPr>
        <w:t xml:space="preserve">В соответствии с частью 20 статьи 16 Федерального закона от 06.10.2003 № 131-ФЗ (ред. от 02.11.2023) «Об общих принципах организации местного самоуправления в Российской Федерации» к вопросам местного значения городского округа относится создание условий для массового отдыха жителей городского округа и организация обустройства мест массового отдыха населения. </w:t>
      </w:r>
    </w:p>
    <w:p>
      <w:pPr>
        <w:pStyle w:val="Style70"/>
        <w:spacing w:before="0" w:after="0"/>
        <w:jc w:val="right"/>
        <w:rPr>
          <w:color w:themeColor="text1" w:val="000000"/>
        </w:rPr>
      </w:pPr>
      <w:r>
        <w:rPr>
          <w:color w:themeColor="text1" w:val="000000"/>
        </w:rPr>
        <w:t>Таблица 5.3.15.</w:t>
      </w:r>
    </w:p>
    <w:p>
      <w:pPr>
        <w:pStyle w:val="Style70"/>
        <w:spacing w:before="0" w:after="0"/>
        <w:ind w:hanging="0"/>
        <w:jc w:val="center"/>
        <w:rPr>
          <w:color w:themeColor="text1" w:val="000000"/>
        </w:rPr>
      </w:pPr>
      <w:r>
        <w:rPr>
          <w:color w:themeColor="text1" w:val="000000"/>
        </w:rPr>
        <w:t xml:space="preserve">Перечень благоустроенных мест массового отдыха населения, </w:t>
      </w:r>
    </w:p>
    <w:p>
      <w:pPr>
        <w:pStyle w:val="Style70"/>
        <w:spacing w:before="0" w:after="0"/>
        <w:ind w:hanging="0"/>
        <w:jc w:val="center"/>
        <w:rPr>
          <w:color w:themeColor="text1" w:val="000000"/>
          <w:sz w:val="2"/>
          <w:szCs w:val="2"/>
        </w:rPr>
      </w:pPr>
      <w:r>
        <w:rPr>
          <w:color w:themeColor="text1" w:val="000000"/>
        </w:rPr>
        <w:t>расположенных на территории городского округа</w:t>
      </w:r>
    </w:p>
    <w:tbl>
      <w:tblPr>
        <w:tblW w:w="10083"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707"/>
        <w:gridCol w:w="3926"/>
        <w:gridCol w:w="3878"/>
        <w:gridCol w:w="1571"/>
      </w:tblGrid>
      <w:tr>
        <w:trPr>
          <w:tblHeader w:val="true"/>
          <w:trHeight w:val="23" w:hRule="atLeast"/>
        </w:trPr>
        <w:tc>
          <w:tcPr>
            <w:tcW w:w="70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392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387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57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Пропускная способность/площадь</w:t>
            </w:r>
          </w:p>
        </w:tc>
      </w:tr>
      <w:tr>
        <w:trPr>
          <w:trHeight w:val="129" w:hRule="atLeast"/>
        </w:trPr>
        <w:tc>
          <w:tcPr>
            <w:tcW w:w="707" w:type="dxa"/>
            <w:tcBorders>
              <w:top w:val="single" w:sz="4" w:space="0" w:color="000000"/>
              <w:lef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3926" w:type="dxa"/>
            <w:tcBorders>
              <w:top w:val="single" w:sz="4" w:space="0" w:color="000000"/>
              <w:lef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База отдыха на Андреевском карьере</w:t>
            </w:r>
          </w:p>
        </w:tc>
        <w:tc>
          <w:tcPr>
            <w:tcW w:w="3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в районе деревни Андреевское, 20-й километр автодороги Калуга-Козельск</w:t>
            </w:r>
          </w:p>
        </w:tc>
        <w:tc>
          <w:tcPr>
            <w:tcW w:w="15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500 человек</w:t>
            </w:r>
          </w:p>
        </w:tc>
      </w:tr>
      <w:tr>
        <w:trPr>
          <w:trHeight w:val="506" w:hRule="atLeast"/>
        </w:trPr>
        <w:tc>
          <w:tcPr>
            <w:tcW w:w="707" w:type="dxa"/>
            <w:tcBorders>
              <w:top w:val="single" w:sz="4" w:space="0" w:color="000000"/>
              <w:lef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3926" w:type="dxa"/>
            <w:tcBorders>
              <w:top w:val="single" w:sz="4" w:space="0" w:color="000000"/>
              <w:lef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База отдыха «Лаврово-Песочня»</w:t>
            </w:r>
          </w:p>
        </w:tc>
        <w:tc>
          <w:tcPr>
            <w:tcW w:w="3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в районе бывшей деревни Лаврово-Песочня</w:t>
            </w:r>
          </w:p>
        </w:tc>
        <w:tc>
          <w:tcPr>
            <w:tcW w:w="15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1000 человек</w:t>
            </w:r>
          </w:p>
        </w:tc>
      </w:tr>
      <w:tr>
        <w:trPr>
          <w:trHeight w:val="506" w:hRule="atLeast"/>
        </w:trPr>
        <w:tc>
          <w:tcPr>
            <w:tcW w:w="70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3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Семейный «Парк МИР»</w:t>
            </w:r>
          </w:p>
        </w:tc>
        <w:tc>
          <w:tcPr>
            <w:tcW w:w="38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на набережной Яченского водохранилища</w:t>
            </w:r>
          </w:p>
        </w:tc>
        <w:tc>
          <w:tcPr>
            <w:tcW w:w="15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100 человек</w:t>
            </w:r>
          </w:p>
        </w:tc>
      </w:tr>
      <w:tr>
        <w:trPr>
          <w:trHeight w:val="506" w:hRule="atLeast"/>
        </w:trPr>
        <w:tc>
          <w:tcPr>
            <w:tcW w:w="70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3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Набережная Яченского водохранилища</w:t>
            </w:r>
          </w:p>
        </w:tc>
        <w:tc>
          <w:tcPr>
            <w:tcW w:w="3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tc>
        <w:tc>
          <w:tcPr>
            <w:tcW w:w="157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06" w:hRule="atLeast"/>
        </w:trPr>
        <w:tc>
          <w:tcPr>
            <w:tcW w:w="70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3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Парк им. К.Э. Циолковского</w:t>
            </w:r>
          </w:p>
        </w:tc>
        <w:tc>
          <w:tcPr>
            <w:tcW w:w="3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tc>
        <w:tc>
          <w:tcPr>
            <w:tcW w:w="157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center"/>
              <w:rPr>
                <w:color w:themeColor="text1" w:val="000000"/>
                <w:sz w:val="22"/>
                <w:szCs w:val="22"/>
              </w:rPr>
            </w:pPr>
            <w:r>
              <w:rPr>
                <w:color w:themeColor="text1" w:val="000000"/>
                <w:sz w:val="22"/>
                <w:szCs w:val="22"/>
              </w:rPr>
              <w:t>Площадь 35515 кв.м</w:t>
            </w:r>
          </w:p>
        </w:tc>
      </w:tr>
      <w:tr>
        <w:trPr>
          <w:trHeight w:val="506" w:hRule="atLeast"/>
        </w:trPr>
        <w:tc>
          <w:tcPr>
            <w:tcW w:w="70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3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Городской парк культуры и отдыха</w:t>
            </w:r>
          </w:p>
        </w:tc>
        <w:tc>
          <w:tcPr>
            <w:tcW w:w="3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пл. Старый торг</w:t>
            </w:r>
          </w:p>
        </w:tc>
        <w:tc>
          <w:tcPr>
            <w:tcW w:w="157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center"/>
              <w:rPr>
                <w:color w:themeColor="text1" w:val="000000"/>
                <w:sz w:val="22"/>
                <w:szCs w:val="22"/>
              </w:rPr>
            </w:pPr>
            <w:r>
              <w:rPr>
                <w:color w:themeColor="text1" w:val="000000"/>
                <w:sz w:val="22"/>
                <w:szCs w:val="22"/>
              </w:rPr>
              <w:t>Площадь 49803,56 кв.м</w:t>
            </w:r>
          </w:p>
        </w:tc>
      </w:tr>
      <w:tr>
        <w:trPr>
          <w:trHeight w:val="506" w:hRule="atLeast"/>
        </w:trPr>
        <w:tc>
          <w:tcPr>
            <w:tcW w:w="70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3926"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Экопарк «Биосфера»</w:t>
            </w:r>
          </w:p>
        </w:tc>
        <w:tc>
          <w:tcPr>
            <w:tcW w:w="38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Комфортная, д.15</w:t>
            </w:r>
          </w:p>
        </w:tc>
        <w:tc>
          <w:tcPr>
            <w:tcW w:w="1571"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jc w:val="center"/>
              <w:rPr>
                <w:color w:themeColor="text1" w:val="000000"/>
                <w:sz w:val="22"/>
                <w:szCs w:val="22"/>
              </w:rPr>
            </w:pPr>
            <w:r>
              <w:rPr>
                <w:color w:themeColor="text1" w:val="000000"/>
                <w:sz w:val="22"/>
                <w:szCs w:val="22"/>
              </w:rPr>
              <w:t>Площадь 50000,00 кв.м</w:t>
            </w:r>
          </w:p>
        </w:tc>
      </w:tr>
    </w:tbl>
    <w:p>
      <w:pPr>
        <w:pStyle w:val="Style70"/>
        <w:spacing w:before="0" w:after="0"/>
        <w:ind w:hanging="0"/>
        <w:rPr>
          <w:color w:themeColor="text1" w:val="000000"/>
        </w:rPr>
      </w:pPr>
      <w:r>
        <w:rPr>
          <w:color w:themeColor="text1" w:val="000000"/>
        </w:rPr>
      </w:r>
    </w:p>
    <w:p>
      <w:pPr>
        <w:pStyle w:val="Normal"/>
        <w:ind w:firstLine="708"/>
        <w:jc w:val="both"/>
        <w:rPr>
          <w:color w:themeColor="text1" w:val="000000"/>
        </w:rPr>
      </w:pPr>
      <w:r>
        <w:rPr>
          <w:color w:themeColor="text1" w:val="000000"/>
        </w:rPr>
        <w:t>К традиционным местам массового отдыха, которые являются неблагоустроенными, относятся:</w:t>
      </w:r>
    </w:p>
    <w:p>
      <w:pPr>
        <w:pStyle w:val="Normal"/>
        <w:spacing w:before="0" w:after="0"/>
        <w:ind w:firstLine="709"/>
        <w:contextualSpacing/>
        <w:jc w:val="both"/>
        <w:rPr>
          <w:color w:themeColor="text1" w:val="000000"/>
        </w:rPr>
      </w:pPr>
      <w:r>
        <w:rPr>
          <w:color w:themeColor="text1" w:val="000000"/>
        </w:rPr>
        <w:t>- Озеро Резвань;</w:t>
      </w:r>
    </w:p>
    <w:p>
      <w:pPr>
        <w:pStyle w:val="Normal"/>
        <w:spacing w:before="0" w:after="0"/>
        <w:ind w:firstLine="709"/>
        <w:contextualSpacing/>
        <w:jc w:val="both"/>
        <w:rPr>
          <w:color w:themeColor="text1" w:val="000000"/>
        </w:rPr>
      </w:pPr>
      <w:r>
        <w:rPr>
          <w:color w:themeColor="text1" w:val="000000"/>
        </w:rPr>
        <w:t>- Пруд Вырка;</w:t>
      </w:r>
    </w:p>
    <w:p>
      <w:pPr>
        <w:pStyle w:val="Normal"/>
        <w:spacing w:before="0" w:after="0"/>
        <w:ind w:firstLine="709"/>
        <w:contextualSpacing/>
        <w:jc w:val="both"/>
        <w:rPr>
          <w:color w:themeColor="text1" w:val="000000"/>
        </w:rPr>
      </w:pPr>
      <w:r>
        <w:rPr>
          <w:color w:themeColor="text1" w:val="000000"/>
        </w:rPr>
        <w:t>- Сероводородные озера;</w:t>
      </w:r>
    </w:p>
    <w:p>
      <w:pPr>
        <w:pStyle w:val="Normal"/>
        <w:spacing w:before="0" w:after="0"/>
        <w:ind w:firstLine="709"/>
        <w:contextualSpacing/>
        <w:jc w:val="both"/>
        <w:rPr>
          <w:color w:themeColor="text1" w:val="000000"/>
        </w:rPr>
      </w:pPr>
      <w:r>
        <w:rPr>
          <w:color w:themeColor="text1" w:val="000000"/>
        </w:rPr>
        <w:t>- Река Угра в районе песчаной отмели у моста автомобильной дороги на</w:t>
        <w:br/>
        <w:t>п. Воротынск;</w:t>
      </w:r>
    </w:p>
    <w:p>
      <w:pPr>
        <w:pStyle w:val="Normal"/>
        <w:spacing w:before="0" w:after="0"/>
        <w:ind w:firstLine="709"/>
        <w:contextualSpacing/>
        <w:jc w:val="both"/>
        <w:rPr>
          <w:color w:themeColor="text1" w:val="000000"/>
        </w:rPr>
      </w:pPr>
      <w:r>
        <w:rPr>
          <w:color w:themeColor="text1" w:val="000000"/>
        </w:rPr>
        <w:t>- Район Некрасовской переправы через реку Оку в створе ул. Беляева;</w:t>
      </w:r>
    </w:p>
    <w:p>
      <w:pPr>
        <w:pStyle w:val="Normal"/>
        <w:spacing w:before="0" w:after="0"/>
        <w:ind w:firstLine="709"/>
        <w:contextualSpacing/>
        <w:jc w:val="both"/>
        <w:rPr>
          <w:color w:themeColor="text1" w:val="000000"/>
        </w:rPr>
      </w:pPr>
      <w:r>
        <w:rPr>
          <w:color w:themeColor="text1" w:val="000000"/>
        </w:rPr>
        <w:t>- Район отметки 195,5 лоцманской карты на реке Оке в створе ОАО «КЭМЗ»;</w:t>
      </w:r>
    </w:p>
    <w:p>
      <w:pPr>
        <w:pStyle w:val="Normal"/>
        <w:spacing w:before="0" w:after="0"/>
        <w:ind w:firstLine="709"/>
        <w:contextualSpacing/>
        <w:jc w:val="both"/>
        <w:rPr>
          <w:color w:themeColor="text1" w:val="000000"/>
        </w:rPr>
      </w:pPr>
      <w:r>
        <w:rPr>
          <w:color w:themeColor="text1" w:val="000000"/>
        </w:rPr>
        <w:t>- Район Пучковской переправы через реку Оку.</w:t>
      </w:r>
    </w:p>
    <w:p>
      <w:pPr>
        <w:pStyle w:val="Style70"/>
        <w:spacing w:before="0" w:after="0"/>
        <w:ind w:hanging="0"/>
        <w:jc w:val="right"/>
        <w:rPr>
          <w:color w:themeColor="text1" w:val="000000"/>
        </w:rPr>
      </w:pPr>
      <w:r>
        <w:rPr>
          <w:color w:themeColor="text1" w:val="000000"/>
        </w:rPr>
        <w:t>Таблица 5.3.16.</w:t>
      </w:r>
    </w:p>
    <w:p>
      <w:pPr>
        <w:pStyle w:val="Style70"/>
        <w:spacing w:before="0" w:after="0"/>
        <w:ind w:hanging="0"/>
        <w:jc w:val="center"/>
        <w:rPr>
          <w:color w:themeColor="text1" w:val="000000"/>
        </w:rPr>
      </w:pPr>
      <w:r>
        <w:rPr>
          <w:color w:themeColor="text1" w:val="000000"/>
        </w:rPr>
        <w:t xml:space="preserve">Перечень и объектов массового посещения,  </w:t>
      </w:r>
    </w:p>
    <w:p>
      <w:pPr>
        <w:pStyle w:val="Style70"/>
        <w:spacing w:before="0" w:after="0"/>
        <w:ind w:hanging="0"/>
        <w:jc w:val="center"/>
        <w:rPr>
          <w:color w:themeColor="text1" w:val="000000"/>
        </w:rPr>
      </w:pPr>
      <w:r>
        <w:rPr>
          <w:color w:themeColor="text1" w:val="000000"/>
        </w:rPr>
        <w:t>расположенных на территории городского округа</w:t>
      </w:r>
    </w:p>
    <w:p>
      <w:pPr>
        <w:pStyle w:val="Style70"/>
        <w:spacing w:before="0" w:after="0"/>
        <w:ind w:hanging="0"/>
        <w:jc w:val="center"/>
        <w:rPr>
          <w:color w:themeColor="text1" w:val="000000"/>
          <w:sz w:val="2"/>
          <w:szCs w:val="2"/>
        </w:rPr>
      </w:pPr>
      <w:r>
        <w:rPr>
          <w:color w:themeColor="text1" w:val="000000"/>
          <w:sz w:val="2"/>
          <w:szCs w:val="2"/>
        </w:rPr>
      </w:r>
    </w:p>
    <w:tbl>
      <w:tblPr>
        <w:tblW w:w="9952"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633"/>
        <w:gridCol w:w="3035"/>
        <w:gridCol w:w="3915"/>
        <w:gridCol w:w="2368"/>
      </w:tblGrid>
      <w:tr>
        <w:trPr>
          <w:tblHeader w:val="true"/>
          <w:trHeight w:val="23" w:hRule="atLeast"/>
        </w:trPr>
        <w:tc>
          <w:tcPr>
            <w:tcW w:w="633"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 xml:space="preserve">№ </w:t>
            </w:r>
            <w:r>
              <w:rPr>
                <w:b/>
                <w:color w:themeColor="text1" w:val="000000"/>
                <w:sz w:val="22"/>
                <w:szCs w:val="22"/>
              </w:rPr>
              <w:t>п/п</w:t>
            </w:r>
          </w:p>
        </w:tc>
        <w:tc>
          <w:tcPr>
            <w:tcW w:w="303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объекта</w:t>
            </w:r>
          </w:p>
        </w:tc>
        <w:tc>
          <w:tcPr>
            <w:tcW w:w="391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Местоположение, адресное описание</w:t>
            </w:r>
          </w:p>
        </w:tc>
        <w:tc>
          <w:tcPr>
            <w:tcW w:w="236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Кадастровый номер земельного участка, на котором расположен объект</w:t>
            </w:r>
          </w:p>
        </w:tc>
      </w:tr>
      <w:tr>
        <w:trPr>
          <w:trHeight w:val="411"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Площадь Победы</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площадь Победы</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w:t>
            </w:r>
            <w:r>
              <w:rPr>
                <w:color w:themeColor="text1" w:val="000000"/>
                <w:sz w:val="22"/>
                <w:szCs w:val="22"/>
              </w:rPr>
              <w:t>40:26:000000:2460</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Бульвар Победы</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участок от ул. Суворова до площади Победы</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hyperlink r:id="rId48">
              <w:r>
                <w:rPr>
                  <w:color w:themeColor="text1" w:val="000000"/>
                  <w:sz w:val="22"/>
                  <w:szCs w:val="22"/>
                </w:rPr>
                <w:t>40:26:000298:41</w:t>
              </w:r>
            </w:hyperlink>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Бульвар Степана Разина (1 – 6 секции)</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участок от площади Победы до</w:t>
            </w:r>
          </w:p>
          <w:p>
            <w:pPr>
              <w:pStyle w:val="Normal"/>
              <w:widowControl w:val="false"/>
              <w:rPr>
                <w:color w:themeColor="text1" w:val="000000"/>
                <w:sz w:val="22"/>
                <w:szCs w:val="22"/>
              </w:rPr>
            </w:pPr>
            <w:r>
              <w:rPr>
                <w:color w:themeColor="text1" w:val="000000"/>
                <w:sz w:val="22"/>
                <w:szCs w:val="22"/>
              </w:rPr>
              <w:t>ул. Салтыкова-Щедрина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hyperlink r:id="rId49">
              <w:r>
                <w:rPr>
                  <w:color w:themeColor="text1" w:val="000000"/>
                  <w:sz w:val="22"/>
                  <w:szCs w:val="22"/>
                </w:rPr>
                <w:t>40:26:000000:156</w:t>
              </w:r>
            </w:hyperlink>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Бульвар Кирова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участок от ул. Ленина до площади Победы</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hyperlink r:id="rId50">
              <w:r>
                <w:rPr>
                  <w:color w:themeColor="text1" w:val="000000"/>
                  <w:sz w:val="22"/>
                  <w:szCs w:val="22"/>
                </w:rPr>
                <w:t>40:26:000000:153</w:t>
              </w:r>
            </w:hyperlink>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Кирова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между домами № 74, 76, 78 по ул. Кирова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w:t>
            </w:r>
            <w:r>
              <w:rPr>
                <w:color w:themeColor="text1" w:val="000000"/>
                <w:sz w:val="22"/>
                <w:szCs w:val="22"/>
              </w:rPr>
              <w:t>40:26:000313:468</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Ленина, д.93</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у административного здания по ул. Ленина, д.93</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Жукова</w:t>
            </w:r>
          </w:p>
          <w:p>
            <w:pPr>
              <w:pStyle w:val="Normal"/>
              <w:widowControl w:val="false"/>
              <w:rPr>
                <w:color w:themeColor="text1" w:val="000000"/>
                <w:sz w:val="22"/>
                <w:szCs w:val="22"/>
              </w:rPr>
            </w:pPr>
            <w:r>
              <w:rPr>
                <w:color w:themeColor="text1" w:val="000000"/>
                <w:sz w:val="22"/>
                <w:szCs w:val="22"/>
              </w:rPr>
              <w:t>(по ул. Маршала Жукова)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23а по ул. Маршала Жукова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40:26:000236:59</w:t>
            </w:r>
          </w:p>
        </w:tc>
      </w:tr>
      <w:tr>
        <w:trPr>
          <w:trHeight w:val="607"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С. Туликова (Калуга-1)</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Вокзальная площадь, д.3</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40:26:000159:153</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50 лет ВЛКСМ и территория около Паровоза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напротив дома № 38 по ул.</w:t>
            </w:r>
            <w:r>
              <w:rPr>
                <w:color w:themeColor="text1" w:val="000000"/>
                <w:sz w:val="22"/>
                <w:szCs w:val="22"/>
                <w:lang w:val="en-US"/>
              </w:rPr>
              <w:t> </w:t>
            </w:r>
            <w:r>
              <w:rPr>
                <w:color w:themeColor="text1" w:val="000000"/>
                <w:sz w:val="22"/>
                <w:szCs w:val="22"/>
              </w:rPr>
              <w:t>Ленина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40:26:000195:52</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Мужества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46 по ул.</w:t>
            </w:r>
            <w:r>
              <w:rPr>
                <w:color w:themeColor="text1" w:val="000000"/>
                <w:sz w:val="22"/>
                <w:szCs w:val="22"/>
                <w:lang w:val="en-US"/>
              </w:rPr>
              <w:t> </w:t>
            </w:r>
            <w:r>
              <w:rPr>
                <w:color w:themeColor="text1" w:val="000000"/>
                <w:sz w:val="22"/>
                <w:szCs w:val="22"/>
              </w:rPr>
              <w:t>Ленина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40:26:000230:104</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w:t>
            </w:r>
            <w:r>
              <w:rPr>
                <w:color w:themeColor="text1" w:val="000000"/>
                <w:sz w:val="22"/>
                <w:szCs w:val="22"/>
                <w:lang w:val="en-US"/>
              </w:rPr>
              <w:t> </w:t>
            </w:r>
            <w:r>
              <w:rPr>
                <w:color w:themeColor="text1" w:val="000000"/>
                <w:sz w:val="22"/>
                <w:szCs w:val="22"/>
              </w:rPr>
              <w:t>Чижевского, д.22</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22 по ул.</w:t>
            </w:r>
            <w:r>
              <w:rPr>
                <w:color w:themeColor="text1" w:val="000000"/>
                <w:sz w:val="22"/>
                <w:szCs w:val="22"/>
                <w:lang w:val="en-US"/>
              </w:rPr>
              <w:t> </w:t>
            </w:r>
            <w:r>
              <w:rPr>
                <w:color w:themeColor="text1" w:val="000000"/>
                <w:sz w:val="22"/>
                <w:szCs w:val="22"/>
              </w:rPr>
              <w:t>Чижевского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Маяковского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от дома № 27д по Грабцевскому шоссе до ул.</w:t>
            </w:r>
            <w:r>
              <w:rPr>
                <w:color w:themeColor="text1" w:val="000000"/>
                <w:sz w:val="22"/>
                <w:szCs w:val="22"/>
                <w:lang w:val="en-US"/>
              </w:rPr>
              <w:t> </w:t>
            </w:r>
            <w:r>
              <w:rPr>
                <w:color w:themeColor="text1" w:val="000000"/>
                <w:sz w:val="22"/>
                <w:szCs w:val="22"/>
              </w:rPr>
              <w:t>Маяковского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Грабцевскому шоссе (Тайфун)</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у дома № 108 по Грабцевскому шоссе</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35"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Бульвар Платова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w:t>
            </w:r>
            <w:r>
              <w:rPr>
                <w:color w:themeColor="text1" w:val="000000"/>
                <w:sz w:val="22"/>
                <w:szCs w:val="22"/>
                <w:lang w:val="en-US"/>
              </w:rPr>
              <w:t> </w:t>
            </w:r>
            <w:r>
              <w:rPr>
                <w:color w:themeColor="text1" w:val="000000"/>
                <w:sz w:val="22"/>
                <w:szCs w:val="22"/>
              </w:rPr>
              <w:t>Платова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40:26:000000:154</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Солнечный (ул.</w:t>
            </w:r>
            <w:r>
              <w:rPr>
                <w:color w:themeColor="text1" w:val="000000"/>
                <w:sz w:val="22"/>
                <w:szCs w:val="22"/>
                <w:lang w:val="en-US"/>
              </w:rPr>
              <w:t> </w:t>
            </w:r>
            <w:r>
              <w:rPr>
                <w:color w:themeColor="text1" w:val="000000"/>
                <w:sz w:val="22"/>
                <w:szCs w:val="22"/>
              </w:rPr>
              <w:t>Аллейная)</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ограниченная ул.</w:t>
            </w:r>
            <w:r>
              <w:rPr>
                <w:color w:themeColor="text1" w:val="000000"/>
                <w:sz w:val="22"/>
                <w:szCs w:val="22"/>
                <w:lang w:val="en-US"/>
              </w:rPr>
              <w:t> </w:t>
            </w:r>
            <w:r>
              <w:rPr>
                <w:color w:themeColor="text1" w:val="000000"/>
                <w:sz w:val="22"/>
                <w:szCs w:val="22"/>
              </w:rPr>
              <w:t>Маяковского, Тополиной и Аллейной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639"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pPr>
            <w:r>
              <w:rPr>
                <w:color w:themeColor="text1" w:val="000000"/>
                <w:sz w:val="22"/>
                <w:szCs w:val="22"/>
              </w:rPr>
              <w:t>Территория у памятника</w:t>
            </w:r>
          </w:p>
          <w:p>
            <w:pPr>
              <w:pStyle w:val="Normal"/>
              <w:widowControl w:val="false"/>
              <w:rPr>
                <w:color w:themeColor="text1" w:val="000000"/>
                <w:sz w:val="22"/>
                <w:szCs w:val="22"/>
              </w:rPr>
            </w:pPr>
            <w:r>
              <w:rPr>
                <w:color w:themeColor="text1" w:val="000000"/>
                <w:sz w:val="22"/>
                <w:szCs w:val="22"/>
              </w:rPr>
              <w:t>«60-й Арсенал»</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w:t>
            </w:r>
            <w:r>
              <w:rPr>
                <w:color w:themeColor="text1" w:val="000000"/>
                <w:sz w:val="22"/>
                <w:szCs w:val="22"/>
                <w:lang w:val="en-US"/>
              </w:rPr>
              <w:t> </w:t>
            </w:r>
            <w:r>
              <w:rPr>
                <w:color w:themeColor="text1" w:val="000000"/>
                <w:sz w:val="22"/>
                <w:szCs w:val="22"/>
              </w:rPr>
              <w:t>Гвардейская, д.1</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47"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Жукова (Турынино)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ул.40-летия Октября, д.3</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70"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w:t>
            </w:r>
            <w:r>
              <w:rPr>
                <w:color w:themeColor="text1" w:val="000000"/>
                <w:sz w:val="22"/>
                <w:szCs w:val="22"/>
                <w:lang w:val="en-US"/>
              </w:rPr>
              <w:t> </w:t>
            </w:r>
            <w:r>
              <w:rPr>
                <w:color w:themeColor="text1" w:val="000000"/>
                <w:sz w:val="22"/>
                <w:szCs w:val="22"/>
              </w:rPr>
              <w:t>Турынинская, д.15</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w:t>
            </w:r>
            <w:r>
              <w:rPr>
                <w:color w:themeColor="text1" w:val="000000"/>
                <w:sz w:val="22"/>
                <w:szCs w:val="22"/>
                <w:lang w:val="en-US"/>
              </w:rPr>
              <w:t> </w:t>
            </w:r>
            <w:r>
              <w:rPr>
                <w:color w:themeColor="text1" w:val="000000"/>
                <w:sz w:val="22"/>
                <w:szCs w:val="22"/>
              </w:rPr>
              <w:t>Турынинская, д.15</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w:t>
            </w:r>
            <w:r>
              <w:rPr>
                <w:color w:themeColor="text1" w:val="000000"/>
                <w:sz w:val="22"/>
                <w:szCs w:val="22"/>
                <w:lang w:val="en-US"/>
              </w:rPr>
              <w:t> </w:t>
            </w:r>
            <w:r>
              <w:rPr>
                <w:color w:themeColor="text1" w:val="000000"/>
                <w:sz w:val="22"/>
                <w:szCs w:val="22"/>
              </w:rPr>
              <w:t>Л.</w:t>
            </w:r>
            <w:r>
              <w:rPr>
                <w:color w:themeColor="text1" w:val="000000"/>
                <w:sz w:val="22"/>
                <w:szCs w:val="22"/>
                <w:lang w:val="en-US"/>
              </w:rPr>
              <w:t> </w:t>
            </w:r>
            <w:r>
              <w:rPr>
                <w:color w:themeColor="text1" w:val="000000"/>
                <w:sz w:val="22"/>
                <w:szCs w:val="22"/>
              </w:rPr>
              <w:t>Толстого,</w:t>
            </w:r>
          </w:p>
          <w:p>
            <w:pPr>
              <w:pStyle w:val="Normal"/>
              <w:widowControl w:val="false"/>
              <w:rPr>
                <w:color w:themeColor="text1" w:val="000000"/>
                <w:sz w:val="22"/>
                <w:szCs w:val="22"/>
              </w:rPr>
            </w:pPr>
            <w:r>
              <w:rPr>
                <w:color w:themeColor="text1" w:val="000000"/>
                <w:sz w:val="22"/>
                <w:szCs w:val="22"/>
              </w:rPr>
              <w:t>д.39 – 41</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между д.39 и 41 по ул.</w:t>
            </w:r>
            <w:r>
              <w:rPr>
                <w:color w:themeColor="text1" w:val="000000"/>
                <w:sz w:val="22"/>
                <w:szCs w:val="22"/>
                <w:lang w:val="en-US"/>
              </w:rPr>
              <w:t> </w:t>
            </w:r>
            <w:r>
              <w:rPr>
                <w:color w:themeColor="text1" w:val="000000"/>
                <w:sz w:val="22"/>
                <w:szCs w:val="22"/>
              </w:rPr>
              <w:t>Льва Толстого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у м/к «50-й Армии»</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12 по ул. Ромодановской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w:t>
            </w:r>
            <w:r>
              <w:rPr>
                <w:color w:themeColor="text1" w:val="000000"/>
                <w:sz w:val="22"/>
                <w:szCs w:val="22"/>
                <w:lang w:val="en-US"/>
              </w:rPr>
              <w:t> </w:t>
            </w:r>
            <w:r>
              <w:rPr>
                <w:color w:themeColor="text1" w:val="000000"/>
                <w:sz w:val="22"/>
                <w:szCs w:val="22"/>
              </w:rPr>
              <w:t>Генерала Попова, д.4</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4 по ул. Генерала Попова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40:26:000377:2103</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Матери</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Спартака, д.3</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40:26:000377:1868, 40:26:000377:2099</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Краснопивцева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Фомушина и ул. Новоспасской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по границам сквера (зеленым зонам) без междворового проезда</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Аллея Баранова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ул.65 лет Победы и ул. Новоспасской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Бульвар по ул.65 лет Победы</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пешеходная зона вдоль Губернского парка (от д.21 до д.41корп1 по ул.65 лет Победы)</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Новый парк театра юного зрителя</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ограниченная улицами Марата, Рылеева, Дзержинского, Кирова г. Калуги</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Площадь Театральная</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Театральная площадь, д.1</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40:26:000296:160</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Пешеходная часть ул. Театральной</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участок между ул. Кирова и ул. Дзержинского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Медработников</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Герцена и ул. Кирова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40:26:000295:67, 40:26:000295:66</w:t>
            </w:r>
          </w:p>
        </w:tc>
      </w:tr>
      <w:tr>
        <w:trPr>
          <w:trHeight w:val="291"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Мира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площадь Мира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40:26:000000:2078</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Добровольского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Октябрьской и ул. Добровольского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40:26:000292:390</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Гоголя</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Академика Королева и ул. Гоголя</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40:26:000292:389</w:t>
            </w:r>
          </w:p>
        </w:tc>
      </w:tr>
      <w:tr>
        <w:trPr>
          <w:trHeight w:val="44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Парк им. К.Э. Циолковского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Октябрьской и ул. Академика Королева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40:26:000305:27</w:t>
            </w:r>
          </w:p>
        </w:tc>
      </w:tr>
      <w:tr>
        <w:trPr>
          <w:trHeight w:val="264"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Парк Малиновка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Тарутинская, д.231 к.5, 9</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40:25:000105:1047</w:t>
            </w:r>
          </w:p>
        </w:tc>
      </w:tr>
      <w:tr>
        <w:trPr>
          <w:trHeight w:val="225"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Шахтеров</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Шахтеров, д.9</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w:t>
            </w:r>
            <w:r>
              <w:rPr>
                <w:color w:themeColor="text1" w:val="000000"/>
                <w:sz w:val="22"/>
                <w:szCs w:val="22"/>
              </w:rPr>
              <w:t>40:26:000127:805</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Канищево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у д. 2а по ул. Новой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Дорожной, д.17а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между д.17а и 15 по ул. Дорожная</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Дорожная, д.32</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у д.32 по ул. Дорожной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Байконур</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вдоль д.11, 19а по ул. Звездной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Авдеева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Кибальчича и ул. Ермоловской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40:26:000013:263</w:t>
            </w:r>
          </w:p>
        </w:tc>
      </w:tr>
      <w:tr>
        <w:trPr>
          <w:trHeight w:val="276"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Содружество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Кибальчича, д.3</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40:26:000014:2560</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Кубяка (1 – 2 очередь)</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вдоль д.1, 2 по ул. Малоярославецкой и д.2 по ул. Кубяка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40:26:000021:1700</w:t>
            </w:r>
          </w:p>
        </w:tc>
      </w:tr>
      <w:tr>
        <w:trPr>
          <w:trHeight w:val="131"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Терепец</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Б-р Моторостроителей, д.12</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40:26:000052:56</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Энтузиастов, между д.1 и 2</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Б-р Энтузиастов д. 1, 2, 3</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40:26:000052:2690</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Середа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между д.4 по пер. Строительному и д.3 по ул. Поселковой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Кирюхина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Московская, д.262 (у троллейбусного депо)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40:26:000122:237</w:t>
            </w:r>
          </w:p>
        </w:tc>
      </w:tr>
      <w:tr>
        <w:trPr>
          <w:trHeight w:val="279"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Ветеранов</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площадь Московская</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40:26:000185:48</w:t>
            </w:r>
          </w:p>
        </w:tc>
      </w:tr>
      <w:tr>
        <w:trPr>
          <w:trHeight w:val="175"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у м/к «Пушки» (вазоны)</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Московская, д.180</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по ул. Московская, д.188 (Доска Почета)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зеленая зона по ул. Московская, д.188</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19"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Героев России</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Билибина, д.28</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40:26:000193:25</w:t>
            </w:r>
          </w:p>
        </w:tc>
      </w:tr>
      <w:tr>
        <w:trPr>
          <w:trHeight w:val="541"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Билибина, д.17</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между д.15 и 19 по ул. Билибина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40:26:000186:19</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Воронина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Между д.111 по ул. Пролетарской и д.129 по ул. Поле Свободы</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40:26:000263:68</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у клуба Машзавода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Пухова, д.52, в том числе у спортивной школы Темп</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40:26:000225:228</w:t>
            </w:r>
          </w:p>
        </w:tc>
      </w:tr>
      <w:tr>
        <w:trPr>
          <w:trHeight w:val="44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Труда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Труда, д.1а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40:26:000255:102</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Зеленая зона на пересечении ул.</w:t>
            </w:r>
            <w:r>
              <w:rPr>
                <w:color w:themeColor="text1" w:val="000000"/>
                <w:sz w:val="22"/>
                <w:szCs w:val="22"/>
                <w:lang w:val="en-US"/>
              </w:rPr>
              <w:t> </w:t>
            </w:r>
            <w:r>
              <w:rPr>
                <w:color w:themeColor="text1" w:val="000000"/>
                <w:sz w:val="22"/>
                <w:szCs w:val="22"/>
              </w:rPr>
              <w:t>Кирова и ул. Московской (календарь, альпинарий)</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w:t>
            </w:r>
            <w:r>
              <w:rPr>
                <w:color w:themeColor="text1" w:val="000000"/>
                <w:sz w:val="22"/>
                <w:szCs w:val="22"/>
                <w:lang w:val="en-US"/>
              </w:rPr>
              <w:t> </w:t>
            </w:r>
            <w:r>
              <w:rPr>
                <w:color w:themeColor="text1" w:val="000000"/>
                <w:sz w:val="22"/>
                <w:szCs w:val="22"/>
              </w:rPr>
              <w:t>Кирова и ул.</w:t>
            </w:r>
            <w:r>
              <w:rPr>
                <w:color w:themeColor="text1" w:val="000000"/>
                <w:sz w:val="22"/>
                <w:szCs w:val="22"/>
                <w:lang w:val="en-US"/>
              </w:rPr>
              <w:t> </w:t>
            </w:r>
            <w:r>
              <w:rPr>
                <w:color w:themeColor="text1" w:val="000000"/>
                <w:sz w:val="22"/>
                <w:szCs w:val="22"/>
              </w:rPr>
              <w:t>Московской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Зеленая зона по ул. Кирова (Дом Быта – цветник и Куб со скамейками)</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перед домом № 27 по ул. Кирова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67"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Болдина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Болдина, д.23</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496"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Бульвар Чичерина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Чичерина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40:26:000000:956</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прилегающая к пруду по ул. Пухова, д.11</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Пухова, д.11</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прилегающая к палатам Коробовых</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Плеханова, д.84</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40:26:000319:57</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60 лет ВЛКСМ</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между домами № 4, 4/2, 6а и 4б по ул. Пушкина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36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Золотая аллея</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К. Маркса, д.2, 4</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40:26:000338:111</w:t>
            </w:r>
          </w:p>
        </w:tc>
      </w:tr>
      <w:tr>
        <w:trPr>
          <w:trHeight w:val="309"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Пушкина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Баженова, д.1</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40:26:000310:86</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Ленина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между улицами Театральной, Кропоткина и пер. Гостинорядскому</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40:26:000340:38</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Центральный парк культуры и отдыха и цветы «Радуга»</w:t>
            </w:r>
          </w:p>
          <w:p>
            <w:pPr>
              <w:pStyle w:val="Normal"/>
              <w:widowControl w:val="false"/>
              <w:rPr>
                <w:color w:themeColor="text1" w:val="000000"/>
                <w:sz w:val="22"/>
                <w:szCs w:val="22"/>
              </w:rPr>
            </w:pPr>
            <w:r>
              <w:rPr>
                <w:color w:themeColor="text1" w:val="000000"/>
                <w:sz w:val="22"/>
                <w:szCs w:val="22"/>
              </w:rPr>
              <w:t xml:space="preserve"> </w:t>
            </w:r>
            <w:r>
              <w:rPr>
                <w:color w:themeColor="text1" w:val="000000"/>
                <w:sz w:val="22"/>
                <w:szCs w:val="22"/>
              </w:rPr>
              <w:t>4 шт.</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территория ул. Баженова, д.2 и площадь Старый Торг, д.4</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40:26:000339:53</w:t>
            </w:r>
          </w:p>
        </w:tc>
      </w:tr>
      <w:tr>
        <w:trPr>
          <w:trHeight w:val="309"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Склон ЦПКиО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Набережная</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Площадь Старый торг и остановка (вазы 4 шт.)</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 дома № 2 по площади Старый торг</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40:26:000341:258</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Вилонова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19 по ул. Кутузова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40:26:000346:94</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С. Перовской</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13 по ул. Воскресенской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40:26:000343:29</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Новобрачных</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Ориентир – дом № 4/25 по ул. Воскресенской</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40:26:000342:59</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71</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 Маркса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Московской и ул. Ленина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40:26:000322:75</w:t>
            </w:r>
          </w:p>
        </w:tc>
      </w:tr>
      <w:tr>
        <w:trPr>
          <w:trHeight w:val="370"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72</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Ленина, д.96 (Глобус)</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 дома № 96 по ул. Ленина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517"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73</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Карпова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Ленина и ул. Дзержинского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40:26:000312:205</w:t>
            </w:r>
          </w:p>
        </w:tc>
      </w:tr>
      <w:tr>
        <w:trPr>
          <w:trHeight w:val="228"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74</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Калуга-2</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Привокзальная, д.9</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166"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75</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по ул. Вишневского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Вишневского, д.15-17</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76</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Набережная Яченского водохранилища (благоустроенная часть)</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от ул. Калуга-Бор до ул. Добровольского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71"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77</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Волкова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Волкова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78</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«600 лет основания Калуги»</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Гагарина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40:26:000336:529,  40:26:000336:530,  40:26:000336:524</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79</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Бульвар Комарова</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между домами № 11, 13 к.1 по ул. Гагарина и домом № 58 по ул. Циолковского</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40:26:000317:229</w:t>
            </w:r>
          </w:p>
        </w:tc>
      </w:tr>
      <w:tr>
        <w:trPr>
          <w:trHeight w:val="23" w:hRule="atLeast"/>
        </w:trPr>
        <w:tc>
          <w:tcPr>
            <w:tcW w:w="63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80</w:t>
            </w:r>
          </w:p>
        </w:tc>
        <w:tc>
          <w:tcPr>
            <w:tcW w:w="30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Сквер Королева-Циолковского</w:t>
            </w:r>
          </w:p>
        </w:tc>
        <w:tc>
          <w:tcPr>
            <w:tcW w:w="391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пересечение ул. Циолковского и ул. Академика Королева</w:t>
            </w:r>
          </w:p>
        </w:tc>
        <w:tc>
          <w:tcPr>
            <w:tcW w:w="23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 </w:t>
            </w:r>
            <w:r>
              <w:rPr>
                <w:color w:themeColor="text1" w:val="000000"/>
                <w:sz w:val="22"/>
                <w:szCs w:val="22"/>
              </w:rPr>
              <w:t>40:26:000306:50</w:t>
            </w:r>
          </w:p>
        </w:tc>
      </w:tr>
    </w:tbl>
    <w:p>
      <w:pPr>
        <w:pStyle w:val="FootnoteText"/>
        <w:ind w:firstLine="709"/>
        <w:jc w:val="both"/>
        <w:rPr>
          <w:color w:themeColor="text1" w:val="000000"/>
          <w:sz w:val="24"/>
          <w:szCs w:val="24"/>
        </w:rPr>
      </w:pPr>
      <w:r>
        <w:rPr>
          <w:color w:themeColor="text1" w:val="000000"/>
          <w:sz w:val="24"/>
          <w:szCs w:val="24"/>
        </w:rPr>
        <w:t xml:space="preserve">Ежегодно на территории городского округа проходит туристический форум, который собирает представителей туристической отрасли города и области, представителей муниципальных и региональных органов власти, а также федеральных экспертов в этой сфере. Количество участников 100-200 человек. </w:t>
      </w:r>
    </w:p>
    <w:p>
      <w:pPr>
        <w:pStyle w:val="FootnoteText"/>
        <w:ind w:firstLine="709"/>
        <w:jc w:val="both"/>
        <w:rPr>
          <w:color w:themeColor="text1" w:val="000000"/>
          <w:sz w:val="24"/>
          <w:szCs w:val="24"/>
        </w:rPr>
      </w:pPr>
      <w:r>
        <w:rPr>
          <w:color w:themeColor="text1" w:val="000000"/>
          <w:sz w:val="24"/>
          <w:szCs w:val="24"/>
        </w:rPr>
        <w:t>На территории городского округа проходят крупные массовые мероприятия:</w:t>
      </w:r>
    </w:p>
    <w:p>
      <w:pPr>
        <w:pStyle w:val="Style70"/>
        <w:spacing w:before="0" w:after="0"/>
        <w:jc w:val="right"/>
        <w:rPr>
          <w:color w:themeColor="text1" w:val="000000"/>
        </w:rPr>
      </w:pPr>
      <w:r>
        <w:rPr>
          <w:color w:themeColor="text1" w:val="000000"/>
        </w:rPr>
        <w:t>Таблица 5.3.17.</w:t>
      </w:r>
    </w:p>
    <w:tbl>
      <w:tblPr>
        <w:tblW w:w="10075"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711"/>
        <w:gridCol w:w="3025"/>
        <w:gridCol w:w="4774"/>
        <w:gridCol w:w="1564"/>
      </w:tblGrid>
      <w:tr>
        <w:trPr>
          <w:tblHeader w:val="true"/>
          <w:trHeight w:val="23" w:hRule="atLeast"/>
        </w:trPr>
        <w:tc>
          <w:tcPr>
            <w:tcW w:w="71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302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w:t>
            </w:r>
          </w:p>
        </w:tc>
        <w:tc>
          <w:tcPr>
            <w:tcW w:w="477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Адрес</w:t>
            </w:r>
          </w:p>
        </w:tc>
        <w:tc>
          <w:tcPr>
            <w:tcW w:w="156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Оценка численности посетителей</w:t>
            </w:r>
          </w:p>
        </w:tc>
      </w:tr>
      <w:tr>
        <w:trPr>
          <w:trHeight w:val="129" w:hRule="atLeast"/>
        </w:trPr>
        <w:tc>
          <w:tcPr>
            <w:tcW w:w="7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3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Проект «Новогодняя столица Российской Федерации»</w:t>
            </w:r>
          </w:p>
          <w:p>
            <w:pPr>
              <w:pStyle w:val="Normal"/>
              <w:widowControl w:val="false"/>
              <w:rPr>
                <w:color w:themeColor="text1" w:val="000000"/>
                <w:sz w:val="22"/>
                <w:szCs w:val="22"/>
              </w:rPr>
            </w:pPr>
            <w:r>
              <w:rPr>
                <w:color w:themeColor="text1" w:val="000000"/>
                <w:sz w:val="22"/>
                <w:szCs w:val="22"/>
              </w:rPr>
              <w:t>Декабрь 2020-январь 2021 г.</w:t>
            </w:r>
          </w:p>
        </w:tc>
        <w:tc>
          <w:tcPr>
            <w:tcW w:w="4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Центральный парк культуры и отдыха, Площадь Старый торг. Сквер имени А.Л.Чижевского, пешеходная часть улицы Театральной, парк «МИР» и другие площадки города</w:t>
            </w:r>
          </w:p>
        </w:tc>
        <w:tc>
          <w:tcPr>
            <w:tcW w:w="15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165 000 человек</w:t>
            </w:r>
          </w:p>
        </w:tc>
      </w:tr>
      <w:tr>
        <w:trPr>
          <w:trHeight w:val="506" w:hRule="atLeast"/>
        </w:trPr>
        <w:tc>
          <w:tcPr>
            <w:tcW w:w="7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3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Полуфинал Всероссийского конкурса «Мастера Гостеприимства»</w:t>
            </w:r>
          </w:p>
          <w:p>
            <w:pPr>
              <w:pStyle w:val="Normal"/>
              <w:widowControl w:val="false"/>
              <w:rPr>
                <w:color w:themeColor="text1" w:val="000000"/>
                <w:sz w:val="22"/>
                <w:szCs w:val="22"/>
              </w:rPr>
            </w:pPr>
            <w:r>
              <w:rPr>
                <w:color w:themeColor="text1" w:val="000000"/>
                <w:sz w:val="22"/>
                <w:szCs w:val="22"/>
              </w:rPr>
              <w:t>Апрель 2021 г.</w:t>
            </w:r>
          </w:p>
        </w:tc>
        <w:tc>
          <w:tcPr>
            <w:tcW w:w="47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Отель «Амбассадор Калуга»</w:t>
            </w:r>
          </w:p>
        </w:tc>
        <w:tc>
          <w:tcPr>
            <w:tcW w:w="15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150 человек</w:t>
            </w:r>
          </w:p>
        </w:tc>
      </w:tr>
      <w:tr>
        <w:trPr>
          <w:trHeight w:val="506" w:hRule="atLeast"/>
        </w:trPr>
        <w:tc>
          <w:tcPr>
            <w:tcW w:w="7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3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Празднование 650-летия основания города</w:t>
            </w:r>
          </w:p>
          <w:p>
            <w:pPr>
              <w:pStyle w:val="Normal"/>
              <w:widowControl w:val="false"/>
              <w:rPr>
                <w:color w:themeColor="text1" w:val="000000"/>
                <w:sz w:val="22"/>
                <w:szCs w:val="22"/>
              </w:rPr>
            </w:pPr>
            <w:r>
              <w:rPr>
                <w:color w:themeColor="text1" w:val="000000"/>
                <w:sz w:val="22"/>
                <w:szCs w:val="22"/>
              </w:rPr>
            </w:r>
          </w:p>
          <w:p>
            <w:pPr>
              <w:pStyle w:val="Normal"/>
              <w:widowControl w:val="false"/>
              <w:rPr>
                <w:color w:themeColor="text1" w:val="000000"/>
                <w:sz w:val="22"/>
                <w:szCs w:val="22"/>
              </w:rPr>
            </w:pPr>
            <w:r>
              <w:rPr>
                <w:color w:themeColor="text1" w:val="000000"/>
                <w:sz w:val="22"/>
                <w:szCs w:val="22"/>
              </w:rPr>
              <w:t>Август 2021 г.</w:t>
            </w:r>
          </w:p>
        </w:tc>
        <w:tc>
          <w:tcPr>
            <w:tcW w:w="4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Центральный парк культуры и отдыха, Площадь Старый торг, сквер имени В.И.Ленина, Гостиные ряды, сквер имени А.Л.Чижевского, пешеходная часть улицы Театральной и другие площадки города</w:t>
            </w:r>
          </w:p>
        </w:tc>
        <w:tc>
          <w:tcPr>
            <w:tcW w:w="15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jc w:val="center"/>
              <w:rPr>
                <w:color w:themeColor="text1" w:val="000000"/>
                <w:sz w:val="22"/>
                <w:szCs w:val="22"/>
              </w:rPr>
            </w:pPr>
            <w:r>
              <w:rPr>
                <w:color w:themeColor="text1" w:val="000000"/>
                <w:sz w:val="22"/>
                <w:szCs w:val="22"/>
              </w:rPr>
              <w:t>100 000 человек</w:t>
            </w:r>
          </w:p>
        </w:tc>
      </w:tr>
      <w:tr>
        <w:trPr>
          <w:trHeight w:val="506" w:hRule="atLeast"/>
        </w:trPr>
        <w:tc>
          <w:tcPr>
            <w:tcW w:w="7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30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Международный фестиваль «Космическая еда»</w:t>
            </w:r>
          </w:p>
          <w:p>
            <w:pPr>
              <w:pStyle w:val="Normal"/>
              <w:widowControl w:val="false"/>
              <w:rPr>
                <w:color w:themeColor="text1" w:val="000000"/>
                <w:sz w:val="22"/>
                <w:szCs w:val="22"/>
              </w:rPr>
            </w:pPr>
            <w:r>
              <w:rPr>
                <w:color w:themeColor="text1" w:val="000000"/>
                <w:sz w:val="22"/>
                <w:szCs w:val="22"/>
              </w:rPr>
              <w:t>Август 2023 г.</w:t>
            </w:r>
          </w:p>
        </w:tc>
        <w:tc>
          <w:tcPr>
            <w:tcW w:w="47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FootnoteText"/>
              <w:widowControl w:val="false"/>
              <w:rPr>
                <w:color w:themeColor="text1" w:val="000000"/>
                <w:sz w:val="22"/>
                <w:szCs w:val="22"/>
              </w:rPr>
            </w:pPr>
            <w:r>
              <w:rPr>
                <w:color w:themeColor="text1" w:val="000000"/>
                <w:sz w:val="22"/>
                <w:szCs w:val="22"/>
              </w:rPr>
              <w:t>Территории ГМИК им. К.Э. Циолковского и ИКЦ</w:t>
            </w:r>
          </w:p>
        </w:tc>
        <w:tc>
          <w:tcPr>
            <w:tcW w:w="1564" w:type="dxa"/>
            <w:tcBorders>
              <w:top w:val="single" w:sz="4" w:space="0" w:color="000000"/>
              <w:left w:val="single" w:sz="4" w:space="0" w:color="000000"/>
              <w:bottom w:val="single" w:sz="4" w:space="0" w:color="000000"/>
              <w:right w:val="single" w:sz="4" w:space="0" w:color="000000"/>
            </w:tcBorders>
            <w:shd w:fill="auto" w:val="clear"/>
            <w:vAlign w:val="center"/>
          </w:tcPr>
          <w:p>
            <w:pPr>
              <w:pStyle w:val="FootnoteText"/>
              <w:widowControl w:val="false"/>
              <w:jc w:val="center"/>
              <w:rPr>
                <w:color w:themeColor="text1" w:val="000000"/>
                <w:sz w:val="22"/>
                <w:szCs w:val="22"/>
              </w:rPr>
            </w:pPr>
            <w:r>
              <w:rPr>
                <w:color w:themeColor="text1" w:val="000000"/>
                <w:sz w:val="22"/>
                <w:szCs w:val="22"/>
              </w:rPr>
              <w:t>10 000 человек</w:t>
            </w:r>
          </w:p>
        </w:tc>
      </w:tr>
    </w:tbl>
    <w:p>
      <w:pPr>
        <w:pStyle w:val="Normal"/>
        <w:spacing w:before="60" w:after="60"/>
        <w:ind w:firstLine="709"/>
        <w:jc w:val="both"/>
        <w:rPr>
          <w:bCs/>
          <w:color w:themeColor="text1" w:val="000000"/>
          <w:u w:val="single"/>
        </w:rPr>
      </w:pPr>
      <w:r>
        <w:rPr>
          <w:bCs/>
          <w:color w:themeColor="text1" w:val="000000"/>
          <w:u w:val="single"/>
        </w:rPr>
        <w:t>Объекты торговли и общественного питания</w:t>
      </w:r>
    </w:p>
    <w:p>
      <w:pPr>
        <w:pStyle w:val="Normal"/>
        <w:ind w:firstLine="709"/>
        <w:jc w:val="both"/>
        <w:rPr>
          <w:color w:themeColor="text1" w:val="000000"/>
        </w:rPr>
      </w:pPr>
      <w:r>
        <w:rPr>
          <w:color w:themeColor="text1" w:val="000000"/>
        </w:rPr>
        <w:t>Для последних лет характерны следующие тенденции развития торговых предприятий:</w:t>
      </w:r>
    </w:p>
    <w:p>
      <w:pPr>
        <w:pStyle w:val="Normal"/>
        <w:ind w:firstLine="709"/>
        <w:jc w:val="both"/>
        <w:rPr>
          <w:color w:themeColor="text1" w:val="000000"/>
        </w:rPr>
      </w:pPr>
      <w:r>
        <w:rPr>
          <w:color w:themeColor="text1" w:val="000000"/>
        </w:rPr>
        <w:t>- рост количества объектов и торговых площадей в условиях рыночной экономики в зависимости от спроса с ростом уровня обеспеченности населения;</w:t>
      </w:r>
    </w:p>
    <w:p>
      <w:pPr>
        <w:pStyle w:val="Normal"/>
        <w:ind w:firstLine="709"/>
        <w:jc w:val="both"/>
        <w:rPr>
          <w:color w:themeColor="text1" w:val="000000"/>
        </w:rPr>
      </w:pPr>
      <w:r>
        <w:rPr>
          <w:color w:themeColor="text1" w:val="000000"/>
        </w:rPr>
        <w:t xml:space="preserve">- размещение объектов торговли и общественного питания в первых (иногда и вторых) этажах домов, расположенных в наиболее людных местах города, прежде всего в его центральной части; </w:t>
      </w:r>
    </w:p>
    <w:p>
      <w:pPr>
        <w:pStyle w:val="Normal"/>
        <w:ind w:firstLine="709"/>
        <w:jc w:val="both"/>
        <w:rPr>
          <w:color w:themeColor="text1" w:val="000000"/>
        </w:rPr>
      </w:pPr>
      <w:r>
        <w:rPr>
          <w:color w:themeColor="text1" w:val="000000"/>
        </w:rPr>
        <w:t xml:space="preserve">- помимо традиционного базирования в центре города, за последние годы при размещении новых крупномасштабных торговых объектов усилилось тяготение к крупным жилым массивам и пассажирским узлам с высоким сосредоточением населения, а также к вылетным магистралям на въезде в город (пример: </w:t>
      </w:r>
      <w:r>
        <w:rPr>
          <w:bCs/>
          <w:color w:themeColor="text1" w:val="000000"/>
        </w:rPr>
        <w:t>ТЦ «Метро Кэш энд Керри» к югу от</w:t>
        <w:br/>
        <w:t>г. Калуги на Тульском шоссе, д.51, ТРК «Торговый квартал» по ул. Московская, д.338а и др.</w:t>
      </w:r>
      <w:r>
        <w:rPr>
          <w:color w:themeColor="text1" w:val="000000"/>
        </w:rPr>
        <w:t xml:space="preserve">). </w:t>
      </w:r>
    </w:p>
    <w:p>
      <w:pPr>
        <w:pStyle w:val="Normal"/>
        <w:ind w:firstLine="709"/>
        <w:jc w:val="both"/>
        <w:rPr>
          <w:color w:themeColor="text1" w:val="000000"/>
        </w:rPr>
      </w:pPr>
      <w:r>
        <w:rPr>
          <w:color w:themeColor="text1" w:val="000000"/>
        </w:rPr>
      </w:r>
    </w:p>
    <w:p>
      <w:pPr>
        <w:pStyle w:val="Style70"/>
        <w:spacing w:before="0" w:after="0"/>
        <w:ind w:hanging="0" w:left="1069"/>
        <w:jc w:val="right"/>
        <w:rPr>
          <w:color w:themeColor="text1" w:val="000000"/>
        </w:rPr>
      </w:pPr>
      <w:r>
        <w:rPr>
          <w:color w:themeColor="text1" w:val="000000"/>
        </w:rPr>
        <w:t>Таблица 5.3.18.</w:t>
      </w:r>
    </w:p>
    <w:p>
      <w:pPr>
        <w:pStyle w:val="Style70"/>
        <w:spacing w:before="0" w:after="0"/>
        <w:ind w:hanging="0"/>
        <w:jc w:val="center"/>
        <w:rPr>
          <w:color w:themeColor="text1" w:val="000000"/>
        </w:rPr>
      </w:pPr>
      <w:r>
        <w:rPr>
          <w:color w:themeColor="text1" w:val="000000"/>
        </w:rPr>
        <w:t xml:space="preserve">Характеристика объектов торговли и общественного питания,  </w:t>
      </w:r>
    </w:p>
    <w:p>
      <w:pPr>
        <w:pStyle w:val="Style70"/>
        <w:spacing w:before="0" w:after="0"/>
        <w:ind w:hanging="0"/>
        <w:jc w:val="center"/>
        <w:rPr>
          <w:color w:themeColor="text1" w:val="000000"/>
        </w:rPr>
      </w:pPr>
      <w:r>
        <w:rPr>
          <w:color w:themeColor="text1" w:val="000000"/>
        </w:rPr>
        <w:t>расположенных на территории городского округа</w:t>
      </w:r>
    </w:p>
    <w:tbl>
      <w:tblPr>
        <w:tblW w:w="977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61"/>
        <w:gridCol w:w="5667"/>
        <w:gridCol w:w="1496"/>
        <w:gridCol w:w="2051"/>
      </w:tblGrid>
      <w:tr>
        <w:trPr>
          <w:tblHeader w:val="true"/>
        </w:trPr>
        <w:tc>
          <w:tcPr>
            <w:tcW w:w="56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566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показателя</w:t>
            </w:r>
          </w:p>
        </w:tc>
        <w:tc>
          <w:tcPr>
            <w:tcW w:w="149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Единица измерения</w:t>
            </w:r>
          </w:p>
        </w:tc>
        <w:tc>
          <w:tcPr>
            <w:tcW w:w="205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snapToGrid w:val="false"/>
              <w:jc w:val="center"/>
              <w:rPr>
                <w:b/>
                <w:color w:themeColor="text1" w:val="000000"/>
                <w:sz w:val="22"/>
                <w:szCs w:val="22"/>
              </w:rPr>
            </w:pPr>
            <w:r>
              <w:rPr>
                <w:b/>
                <w:color w:themeColor="text1" w:val="000000"/>
                <w:sz w:val="22"/>
                <w:szCs w:val="22"/>
              </w:rPr>
              <w:t>x</w:t>
            </w:r>
          </w:p>
        </w:tc>
      </w:tr>
      <w:tr>
        <w:trPr/>
        <w:tc>
          <w:tcPr>
            <w:tcW w:w="9775"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center"/>
              <w:rPr>
                <w:color w:themeColor="text1" w:val="000000"/>
                <w:sz w:val="22"/>
                <w:szCs w:val="22"/>
              </w:rPr>
            </w:pPr>
            <w:r>
              <w:rPr>
                <w:b/>
                <w:color w:themeColor="text1" w:val="000000"/>
                <w:sz w:val="22"/>
                <w:szCs w:val="22"/>
              </w:rPr>
              <w:t>Объекты розничной торговли и общественного питания</w:t>
            </w:r>
          </w:p>
        </w:tc>
      </w:tr>
      <w:tr>
        <w:trPr>
          <w:trHeight w:val="398" w:hRule="atLeast"/>
        </w:trPr>
        <w:tc>
          <w:tcPr>
            <w:tcW w:w="56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06"/>
              <w:widowControl w:val="false"/>
              <w:snapToGrid w:val="false"/>
              <w:jc w:val="center"/>
              <w:rPr>
                <w:color w:themeColor="text1" w:val="000000"/>
                <w:sz w:val="22"/>
                <w:szCs w:val="22"/>
              </w:rPr>
            </w:pPr>
            <w:r>
              <w:rPr>
                <w:color w:themeColor="text1" w:val="000000"/>
                <w:sz w:val="22"/>
                <w:szCs w:val="22"/>
              </w:rPr>
              <w:t>1</w:t>
            </w:r>
          </w:p>
        </w:tc>
        <w:tc>
          <w:tcPr>
            <w:tcW w:w="5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06"/>
              <w:widowControl w:val="false"/>
              <w:rPr>
                <w:color w:themeColor="text1" w:val="000000"/>
                <w:sz w:val="22"/>
                <w:szCs w:val="22"/>
              </w:rPr>
            </w:pPr>
            <w:r>
              <w:rPr>
                <w:color w:themeColor="text1" w:val="000000"/>
                <w:sz w:val="22"/>
                <w:szCs w:val="22"/>
              </w:rPr>
              <w:t>Магазины, всего</w:t>
            </w:r>
          </w:p>
        </w:tc>
        <w:tc>
          <w:tcPr>
            <w:tcW w:w="14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единица</w:t>
            </w:r>
          </w:p>
        </w:tc>
        <w:tc>
          <w:tcPr>
            <w:tcW w:w="20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502</w:t>
            </w:r>
          </w:p>
        </w:tc>
      </w:tr>
      <w:tr>
        <w:trPr>
          <w:trHeight w:val="398" w:hRule="atLeast"/>
        </w:trPr>
        <w:tc>
          <w:tcPr>
            <w:tcW w:w="56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06"/>
              <w:widowControl w:val="false"/>
              <w:snapToGrid w:val="false"/>
              <w:jc w:val="center"/>
              <w:rPr>
                <w:color w:themeColor="text1" w:val="000000"/>
                <w:sz w:val="22"/>
                <w:szCs w:val="22"/>
              </w:rPr>
            </w:pPr>
            <w:r>
              <w:rPr>
                <w:color w:themeColor="text1" w:val="000000"/>
                <w:sz w:val="22"/>
                <w:szCs w:val="22"/>
              </w:rPr>
            </w:r>
          </w:p>
        </w:tc>
        <w:tc>
          <w:tcPr>
            <w:tcW w:w="5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06"/>
              <w:widowControl w:val="false"/>
              <w:rPr>
                <w:color w:themeColor="text1" w:val="000000"/>
                <w:sz w:val="22"/>
                <w:szCs w:val="22"/>
              </w:rPr>
            </w:pPr>
            <w:r>
              <w:rPr>
                <w:color w:themeColor="text1" w:val="000000"/>
                <w:sz w:val="22"/>
                <w:szCs w:val="22"/>
              </w:rPr>
              <w:t>Площадь торгового зала, всего</w:t>
            </w:r>
          </w:p>
        </w:tc>
        <w:tc>
          <w:tcPr>
            <w:tcW w:w="14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м</w:t>
            </w:r>
            <w:r>
              <w:rPr>
                <w:color w:themeColor="text1" w:val="000000"/>
                <w:sz w:val="22"/>
                <w:szCs w:val="22"/>
                <w:vertAlign w:val="superscript"/>
              </w:rPr>
              <w:t>2</w:t>
            </w:r>
          </w:p>
        </w:tc>
        <w:tc>
          <w:tcPr>
            <w:tcW w:w="20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428631,3</w:t>
            </w:r>
          </w:p>
        </w:tc>
      </w:tr>
      <w:tr>
        <w:trPr>
          <w:trHeight w:val="398" w:hRule="atLeast"/>
        </w:trPr>
        <w:tc>
          <w:tcPr>
            <w:tcW w:w="56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06"/>
              <w:widowControl w:val="false"/>
              <w:snapToGrid w:val="false"/>
              <w:jc w:val="center"/>
              <w:rPr>
                <w:color w:themeColor="text1" w:val="000000"/>
                <w:sz w:val="22"/>
                <w:szCs w:val="22"/>
              </w:rPr>
            </w:pPr>
            <w:r>
              <w:rPr>
                <w:color w:themeColor="text1" w:val="000000"/>
                <w:sz w:val="22"/>
                <w:szCs w:val="22"/>
              </w:rPr>
              <w:t>2</w:t>
            </w:r>
          </w:p>
        </w:tc>
        <w:tc>
          <w:tcPr>
            <w:tcW w:w="5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06"/>
              <w:widowControl w:val="false"/>
              <w:rPr>
                <w:color w:themeColor="text1" w:val="000000"/>
                <w:sz w:val="22"/>
                <w:szCs w:val="22"/>
              </w:rPr>
            </w:pPr>
            <w:r>
              <w:rPr>
                <w:color w:themeColor="text1" w:val="000000"/>
                <w:sz w:val="22"/>
                <w:szCs w:val="22"/>
              </w:rPr>
              <w:t>Предприятия общественного питания, всего</w:t>
            </w:r>
          </w:p>
        </w:tc>
        <w:tc>
          <w:tcPr>
            <w:tcW w:w="14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единица</w:t>
            </w:r>
          </w:p>
        </w:tc>
        <w:tc>
          <w:tcPr>
            <w:tcW w:w="20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301</w:t>
            </w:r>
          </w:p>
        </w:tc>
      </w:tr>
      <w:tr>
        <w:trPr>
          <w:trHeight w:val="398" w:hRule="atLeast"/>
        </w:trPr>
        <w:tc>
          <w:tcPr>
            <w:tcW w:w="56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Style106"/>
              <w:widowControl w:val="false"/>
              <w:snapToGrid w:val="false"/>
              <w:jc w:val="center"/>
              <w:rPr>
                <w:color w:themeColor="text1" w:val="000000"/>
                <w:sz w:val="22"/>
                <w:szCs w:val="22"/>
              </w:rPr>
            </w:pPr>
            <w:r>
              <w:rPr>
                <w:color w:themeColor="text1" w:val="000000"/>
                <w:sz w:val="22"/>
                <w:szCs w:val="22"/>
              </w:rPr>
            </w:r>
          </w:p>
        </w:tc>
        <w:tc>
          <w:tcPr>
            <w:tcW w:w="5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yle106"/>
              <w:widowControl w:val="false"/>
              <w:rPr>
                <w:color w:themeColor="text1" w:val="000000"/>
                <w:sz w:val="22"/>
                <w:szCs w:val="22"/>
              </w:rPr>
            </w:pPr>
            <w:r>
              <w:rPr>
                <w:color w:themeColor="text1" w:val="000000"/>
                <w:sz w:val="22"/>
                <w:szCs w:val="22"/>
              </w:rPr>
              <w:t>Количество посадочных мест, всего</w:t>
            </w:r>
          </w:p>
        </w:tc>
        <w:tc>
          <w:tcPr>
            <w:tcW w:w="14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место</w:t>
            </w:r>
          </w:p>
        </w:tc>
        <w:tc>
          <w:tcPr>
            <w:tcW w:w="20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color w:themeColor="text1" w:val="000000"/>
                <w:sz w:val="22"/>
                <w:szCs w:val="22"/>
              </w:rPr>
            </w:pPr>
            <w:r>
              <w:rPr>
                <w:color w:themeColor="text1" w:val="000000"/>
                <w:sz w:val="22"/>
                <w:szCs w:val="22"/>
              </w:rPr>
              <w:t>14268</w:t>
            </w:r>
          </w:p>
        </w:tc>
      </w:tr>
    </w:tbl>
    <w:p>
      <w:pPr>
        <w:pStyle w:val="Normal"/>
        <w:spacing w:before="60" w:after="60"/>
        <w:ind w:firstLine="709"/>
        <w:jc w:val="both"/>
        <w:rPr>
          <w:bCs/>
          <w:color w:themeColor="text1" w:val="000000"/>
          <w:u w:val="single"/>
        </w:rPr>
      </w:pPr>
      <w:r>
        <w:rPr>
          <w:bCs/>
          <w:color w:themeColor="text1" w:val="000000"/>
          <w:u w:val="single"/>
        </w:rPr>
      </w:r>
    </w:p>
    <w:p>
      <w:pPr>
        <w:pStyle w:val="Normal"/>
        <w:spacing w:before="60" w:after="60"/>
        <w:ind w:firstLine="709"/>
        <w:jc w:val="both"/>
        <w:rPr>
          <w:bCs/>
          <w:color w:themeColor="text1" w:val="000000"/>
          <w:u w:val="single"/>
        </w:rPr>
      </w:pPr>
      <w:r>
        <w:rPr>
          <w:bCs/>
          <w:color w:themeColor="text1" w:val="000000"/>
          <w:u w:val="single"/>
        </w:rPr>
        <w:t>Содержание мест захоронения</w:t>
      </w:r>
    </w:p>
    <w:p>
      <w:pPr>
        <w:pStyle w:val="Style70"/>
        <w:spacing w:before="0" w:after="0"/>
        <w:ind w:firstLine="709"/>
        <w:rPr>
          <w:color w:themeColor="text1" w:val="000000"/>
          <w:spacing w:val="-3"/>
        </w:rPr>
      </w:pPr>
      <w:r>
        <w:rPr>
          <w:color w:themeColor="text1" w:val="000000"/>
        </w:rPr>
        <w:t>К вопросам местного значения городского округа также относится организация ритуальных услуг и содержание мест захоронения.</w:t>
      </w:r>
    </w:p>
    <w:p>
      <w:pPr>
        <w:pStyle w:val="Normal"/>
        <w:shd w:val="clear" w:color="auto" w:fill="FFFFFF"/>
        <w:spacing w:lineRule="exact" w:line="274"/>
        <w:ind w:firstLine="709"/>
        <w:jc w:val="both"/>
        <w:rPr>
          <w:color w:themeColor="text1" w:val="000000"/>
        </w:rPr>
      </w:pPr>
      <w:r>
        <w:rPr>
          <w:color w:themeColor="text1" w:val="000000"/>
          <w:spacing w:val="-3"/>
        </w:rPr>
        <w:t xml:space="preserve">По данным управления жилищно-коммунального хозяйства города Калуги на территории городского округа расположено 24 </w:t>
      </w:r>
      <w:r>
        <w:rPr>
          <w:color w:themeColor="text1" w:val="000000"/>
        </w:rPr>
        <w:t>гражданских кладбища и 1 воинское, представленные в таблице 5.3.19.</w:t>
      </w:r>
    </w:p>
    <w:p>
      <w:pPr>
        <w:pStyle w:val="Style70"/>
        <w:spacing w:before="0" w:after="0"/>
        <w:jc w:val="right"/>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5.3.19.</w:t>
      </w:r>
    </w:p>
    <w:p>
      <w:pPr>
        <w:pStyle w:val="Style70"/>
        <w:spacing w:before="0" w:after="0"/>
        <w:ind w:hanging="0"/>
        <w:jc w:val="center"/>
        <w:rPr>
          <w:color w:themeColor="text1" w:val="000000"/>
        </w:rPr>
      </w:pPr>
      <w:r>
        <w:rPr>
          <w:color w:themeColor="text1" w:val="000000"/>
        </w:rPr>
        <w:t xml:space="preserve">Реестр действующих и закрытых кладбищ,  </w:t>
      </w:r>
    </w:p>
    <w:p>
      <w:pPr>
        <w:pStyle w:val="Style70"/>
        <w:spacing w:before="0" w:after="0"/>
        <w:ind w:hanging="0"/>
        <w:jc w:val="center"/>
        <w:rPr>
          <w:color w:themeColor="text1" w:val="000000"/>
        </w:rPr>
      </w:pPr>
      <w:r>
        <w:rPr>
          <w:color w:themeColor="text1" w:val="000000"/>
        </w:rPr>
        <w:t>расположенных на территории городского округа</w:t>
      </w:r>
    </w:p>
    <w:tbl>
      <w:tblPr>
        <w:tblW w:w="9937" w:type="dxa"/>
        <w:jc w:val="left"/>
        <w:tblInd w:w="119" w:type="dxa"/>
        <w:tblLayout w:type="fixed"/>
        <w:tblCellMar>
          <w:top w:w="0" w:type="dxa"/>
          <w:left w:w="40" w:type="dxa"/>
          <w:bottom w:w="0" w:type="dxa"/>
          <w:right w:w="40" w:type="dxa"/>
        </w:tblCellMar>
        <w:tblLook w:firstRow="0" w:noVBand="0" w:lastRow="0" w:firstColumn="0" w:lastColumn="0" w:noHBand="0" w:val="0000"/>
      </w:tblPr>
      <w:tblGrid>
        <w:gridCol w:w="612"/>
        <w:gridCol w:w="1809"/>
        <w:gridCol w:w="2374"/>
        <w:gridCol w:w="5141"/>
      </w:tblGrid>
      <w:tr>
        <w:trPr>
          <w:tblHeader w:val="true"/>
          <w:trHeight w:val="510" w:hRule="atLeast"/>
        </w:trPr>
        <w:tc>
          <w:tcPr>
            <w:tcW w:w="612" w:type="dxa"/>
            <w:tcBorders>
              <w:top w:val="single" w:sz="6" w:space="0" w:color="000000"/>
              <w:left w:val="single" w:sz="6" w:space="0" w:color="000000"/>
              <w:bottom w:val="single" w:sz="6"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1809" w:type="dxa"/>
            <w:tcBorders>
              <w:top w:val="single" w:sz="6" w:space="0" w:color="000000"/>
              <w:left w:val="single" w:sz="6" w:space="0" w:color="000000"/>
              <w:bottom w:val="single" w:sz="6"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Кладбище</w:t>
            </w:r>
          </w:p>
        </w:tc>
        <w:tc>
          <w:tcPr>
            <w:tcW w:w="2374" w:type="dxa"/>
            <w:tcBorders>
              <w:top w:val="single" w:sz="6" w:space="0" w:color="000000"/>
              <w:left w:val="single" w:sz="6" w:space="0" w:color="000000"/>
              <w:bottom w:val="single" w:sz="6"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Местоположение</w:t>
            </w:r>
          </w:p>
        </w:tc>
        <w:tc>
          <w:tcPr>
            <w:tcW w:w="5141" w:type="dxa"/>
            <w:tcBorders>
              <w:top w:val="single" w:sz="6" w:space="0" w:color="000000"/>
              <w:left w:val="single" w:sz="6" w:space="0" w:color="000000"/>
              <w:bottom w:val="single" w:sz="6" w:space="0" w:color="000000"/>
              <w:right w:val="single" w:sz="6"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Примечание</w:t>
            </w:r>
          </w:p>
        </w:tc>
      </w:tr>
      <w:tr>
        <w:trPr>
          <w:trHeight w:val="23" w:hRule="atLeast"/>
        </w:trPr>
        <w:tc>
          <w:tcPr>
            <w:tcW w:w="9936" w:type="dxa"/>
            <w:gridSpan w:val="4"/>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spacing w:lineRule="exact" w:line="274"/>
              <w:ind w:hanging="0" w:left="54"/>
              <w:jc w:val="center"/>
              <w:rPr>
                <w:b/>
                <w:color w:themeColor="text1" w:val="000000"/>
                <w:sz w:val="22"/>
                <w:szCs w:val="22"/>
              </w:rPr>
            </w:pPr>
            <w:r>
              <w:rPr>
                <w:b/>
                <w:color w:themeColor="text1" w:val="000000"/>
                <w:sz w:val="22"/>
                <w:szCs w:val="22"/>
              </w:rPr>
              <w:t>Кладбища, расположенные в границе города Калуга:</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Кладбище</w:t>
            </w:r>
            <w:r>
              <w:rPr>
                <w:color w:themeColor="text1" w:val="000000"/>
                <w:sz w:val="22"/>
                <w:szCs w:val="22"/>
              </w:rPr>
              <w:t xml:space="preserve"> «Литвиновское»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Литвиново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всех видов захоронений тел (останков) умерших</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2</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 xml:space="preserve">Кладбище </w:t>
            </w:r>
            <w:r>
              <w:rPr>
                <w:color w:themeColor="text1" w:val="000000"/>
                <w:sz w:val="22"/>
                <w:szCs w:val="22"/>
              </w:rPr>
              <w:t>«Трифоновское»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Трифоновской на Малинниках</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3</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 xml:space="preserve">Кладбище </w:t>
            </w:r>
            <w:r>
              <w:rPr>
                <w:color w:themeColor="text1" w:val="000000"/>
                <w:sz w:val="22"/>
                <w:szCs w:val="22"/>
              </w:rPr>
              <w:t>«Ждамировское»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Калужка</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4</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 xml:space="preserve">Кладбище </w:t>
            </w:r>
            <w:r>
              <w:rPr>
                <w:color w:themeColor="text1" w:val="000000"/>
                <w:sz w:val="22"/>
                <w:szCs w:val="22"/>
              </w:rPr>
              <w:t>«Карачевское»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Гурьянова</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5</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 xml:space="preserve">Кладбище </w:t>
            </w:r>
            <w:r>
              <w:rPr>
                <w:color w:themeColor="text1" w:val="000000"/>
                <w:sz w:val="22"/>
                <w:szCs w:val="22"/>
              </w:rPr>
              <w:t>«Ромодановское»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Заречной</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6</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Кладбище</w:t>
            </w:r>
            <w:r>
              <w:rPr>
                <w:color w:themeColor="text1" w:val="000000"/>
                <w:sz w:val="22"/>
                <w:szCs w:val="22"/>
              </w:rPr>
              <w:t xml:space="preserve"> «Семионовское»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Труда. Семионово Городище</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7</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Кладбище</w:t>
            </w:r>
            <w:r>
              <w:rPr>
                <w:color w:themeColor="text1" w:val="000000"/>
                <w:sz w:val="22"/>
                <w:szCs w:val="22"/>
              </w:rPr>
              <w:t xml:space="preserve"> «Пятницкое»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Телевизионной и ул. Труда</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закрыто для всех видов захоронений тел (останков) умерших, за исключением урны с прахом</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8</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 xml:space="preserve">Кладбище </w:t>
            </w:r>
            <w:r>
              <w:rPr>
                <w:color w:themeColor="text1" w:val="000000"/>
                <w:sz w:val="22"/>
                <w:szCs w:val="22"/>
              </w:rPr>
              <w:t>«Анненское»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Вишневского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закрыто для всех видов захоронений тел (останков) умерших, за исключением урны с прахом</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9</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 xml:space="preserve">Кладбище </w:t>
            </w:r>
            <w:r>
              <w:rPr>
                <w:color w:themeColor="text1" w:val="000000"/>
                <w:sz w:val="22"/>
                <w:szCs w:val="22"/>
              </w:rPr>
              <w:t>«Галкинское»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д. Галкино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закрыто для всех видов захоронений тел (останков) умерших, за исключением урны с прахом</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10</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Кладбище</w:t>
            </w:r>
            <w:r>
              <w:rPr>
                <w:color w:themeColor="text1" w:val="000000"/>
                <w:sz w:val="22"/>
                <w:szCs w:val="22"/>
              </w:rPr>
              <w:t xml:space="preserve"> «Борщевское»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Карачевской птицефабрики</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закрыто для всех видов захоронений тел (останков) умерших, за исключением урны с прахом</w:t>
            </w:r>
          </w:p>
        </w:tc>
      </w:tr>
      <w:tr>
        <w:trPr>
          <w:trHeight w:val="23" w:hRule="atLeast"/>
        </w:trPr>
        <w:tc>
          <w:tcPr>
            <w:tcW w:w="9936" w:type="dxa"/>
            <w:gridSpan w:val="4"/>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ind w:hanging="0" w:left="54"/>
              <w:jc w:val="center"/>
              <w:rPr>
                <w:b/>
                <w:color w:themeColor="text1" w:val="000000"/>
                <w:sz w:val="22"/>
                <w:szCs w:val="22"/>
              </w:rPr>
            </w:pPr>
            <w:r>
              <w:rPr>
                <w:b/>
                <w:color w:themeColor="text1" w:val="000000"/>
                <w:sz w:val="22"/>
                <w:szCs w:val="22"/>
              </w:rPr>
              <w:t>Кладбища, расположенные в пригороде:</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11</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Большая Каменка</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всех видов захоронений тел (останков) умерших</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12</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Шопино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всех видов захоронений тел (останков) умерших</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13</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Рождественно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14</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Чижовка</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15</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Георгиевское</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16</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с. Горенское</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17</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Крутицы</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18</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Козлово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19</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Плетеневка</w:t>
            </w:r>
          </w:p>
        </w:tc>
        <w:tc>
          <w:tcPr>
            <w:tcW w:w="51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rPr>
                <w:color w:themeColor="text1" w:val="000000"/>
                <w:sz w:val="22"/>
                <w:szCs w:val="22"/>
              </w:rPr>
            </w:pPr>
            <w:r>
              <w:rPr>
                <w:color w:themeColor="text1" w:val="000000"/>
                <w:sz w:val="22"/>
                <w:szCs w:val="22"/>
              </w:rPr>
              <w:t>открыто для захоронений тел (останков) 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20</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в д. Николо-Лапиносово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rPr>
                <w:color w:themeColor="text1" w:val="000000"/>
                <w:sz w:val="22"/>
                <w:szCs w:val="22"/>
              </w:rPr>
            </w:pPr>
            <w:r>
              <w:rPr>
                <w:color w:themeColor="text1" w:val="000000"/>
                <w:spacing w:val="-1"/>
                <w:sz w:val="22"/>
                <w:szCs w:val="22"/>
              </w:rPr>
              <w:t xml:space="preserve">открыто для захоронений тел (останков) </w:t>
            </w:r>
            <w:r>
              <w:rPr>
                <w:color w:themeColor="text1" w:val="000000"/>
                <w:sz w:val="22"/>
                <w:szCs w:val="22"/>
              </w:rPr>
              <w:t>умерших в родственные ограды и родственные могилы</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21</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Мстихино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rPr>
                <w:color w:themeColor="text1" w:val="000000"/>
                <w:sz w:val="22"/>
                <w:szCs w:val="22"/>
              </w:rPr>
            </w:pPr>
            <w:r>
              <w:rPr>
                <w:color w:themeColor="text1" w:val="000000"/>
                <w:sz w:val="22"/>
                <w:szCs w:val="22"/>
              </w:rPr>
              <w:t>закрыто для всех видов захоронений тел (останков) умерших, за исключением урны с прахом</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22</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Некрасово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rPr>
                <w:color w:themeColor="text1" w:val="000000"/>
                <w:sz w:val="22"/>
                <w:szCs w:val="22"/>
              </w:rPr>
            </w:pPr>
            <w:r>
              <w:rPr>
                <w:color w:themeColor="text1" w:val="000000"/>
                <w:sz w:val="22"/>
                <w:szCs w:val="22"/>
              </w:rPr>
              <w:t>закрыто для всех видов захоронений тел (останков) умерших, за исключением урны с прахом</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23</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rPr>
                <w:color w:themeColor="text1" w:val="000000"/>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д. Спас</w:t>
            </w:r>
          </w:p>
        </w:tc>
        <w:tc>
          <w:tcPr>
            <w:tcW w:w="51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rPr>
                <w:color w:themeColor="text1" w:val="000000"/>
                <w:sz w:val="22"/>
                <w:szCs w:val="22"/>
              </w:rPr>
            </w:pPr>
            <w:r>
              <w:rPr>
                <w:color w:themeColor="text1" w:val="000000"/>
                <w:sz w:val="22"/>
                <w:szCs w:val="22"/>
              </w:rPr>
              <w:t>закрыто для всех видов захоронений тел (останков) умерших. за исключением урны с прахом</w:t>
            </w:r>
          </w:p>
        </w:tc>
      </w:tr>
      <w:tr>
        <w:trPr>
          <w:trHeight w:val="23"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24</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Кладбище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pacing w:val="-1"/>
                <w:sz w:val="22"/>
                <w:szCs w:val="22"/>
              </w:rPr>
              <w:t>в д. Сокорево</w:t>
            </w:r>
          </w:p>
        </w:tc>
        <w:tc>
          <w:tcPr>
            <w:tcW w:w="5141" w:type="dxa"/>
            <w:tcBorders>
              <w:top w:val="single" w:sz="6" w:space="0" w:color="000000"/>
              <w:left w:val="single" w:sz="6" w:space="0" w:color="000000"/>
              <w:bottom w:val="single" w:sz="6" w:space="0" w:color="000000"/>
              <w:right w:val="single" w:sz="6" w:space="0" w:color="000000"/>
            </w:tcBorders>
            <w:shd w:color="auto" w:fill="FFFFFF" w:val="clear"/>
          </w:tcPr>
          <w:p>
            <w:pPr>
              <w:pStyle w:val="Normal"/>
              <w:widowControl w:val="false"/>
              <w:shd w:val="clear" w:color="auto" w:fill="FFFFFF"/>
              <w:rPr>
                <w:color w:themeColor="text1" w:val="000000"/>
                <w:sz w:val="22"/>
                <w:szCs w:val="22"/>
              </w:rPr>
            </w:pPr>
            <w:r>
              <w:rPr>
                <w:color w:themeColor="text1" w:val="000000"/>
                <w:spacing w:val="-1"/>
                <w:sz w:val="22"/>
                <w:szCs w:val="22"/>
              </w:rPr>
              <w:t xml:space="preserve">закрыто для всех видов захоронений тел (останков) </w:t>
            </w:r>
            <w:r>
              <w:rPr>
                <w:color w:themeColor="text1" w:val="000000"/>
                <w:sz w:val="22"/>
                <w:szCs w:val="22"/>
              </w:rPr>
              <w:t>умерших, за исключением урны с прахом</w:t>
            </w:r>
          </w:p>
        </w:tc>
      </w:tr>
      <w:tr>
        <w:trPr>
          <w:trHeight w:val="396" w:hRule="atLeast"/>
        </w:trPr>
        <w:tc>
          <w:tcPr>
            <w:tcW w:w="612"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jc w:val="center"/>
              <w:rPr>
                <w:color w:themeColor="text1" w:val="000000"/>
                <w:sz w:val="22"/>
                <w:szCs w:val="22"/>
              </w:rPr>
            </w:pPr>
            <w:r>
              <w:rPr>
                <w:color w:themeColor="text1" w:val="000000"/>
                <w:sz w:val="22"/>
                <w:szCs w:val="22"/>
              </w:rPr>
              <w:t>25</w:t>
            </w:r>
          </w:p>
        </w:tc>
        <w:tc>
          <w:tcPr>
            <w:tcW w:w="1809"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Кладбище «Воинское»</w:t>
            </w:r>
          </w:p>
        </w:tc>
        <w:tc>
          <w:tcPr>
            <w:tcW w:w="2374" w:type="dxa"/>
            <w:tcBorders>
              <w:top w:val="single" w:sz="6" w:space="0" w:color="000000"/>
              <w:left w:val="single" w:sz="6" w:space="0" w:color="000000"/>
              <w:bottom w:val="single" w:sz="6" w:space="0" w:color="000000"/>
            </w:tcBorders>
            <w:shd w:color="auto" w:fill="FFFFFF" w:val="clear"/>
            <w:vAlign w:val="center"/>
          </w:tcPr>
          <w:p>
            <w:pPr>
              <w:pStyle w:val="Normal"/>
              <w:widowControl w:val="false"/>
              <w:shd w:val="clear" w:color="auto" w:fill="FFFFFF"/>
              <w:rPr>
                <w:color w:themeColor="text1" w:val="000000"/>
                <w:sz w:val="22"/>
                <w:szCs w:val="22"/>
              </w:rPr>
            </w:pPr>
            <w:r>
              <w:rPr>
                <w:color w:themeColor="text1" w:val="000000"/>
                <w:sz w:val="22"/>
                <w:szCs w:val="22"/>
              </w:rPr>
              <w:t>в районе ул. Чичерина</w:t>
            </w:r>
          </w:p>
        </w:tc>
        <w:tc>
          <w:tcPr>
            <w:tcW w:w="5141"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widowControl w:val="false"/>
              <w:shd w:val="clear" w:color="auto" w:fill="FFFFFF"/>
              <w:snapToGrid w:val="false"/>
              <w:rPr>
                <w:color w:themeColor="text1" w:val="000000"/>
                <w:sz w:val="22"/>
                <w:szCs w:val="22"/>
              </w:rPr>
            </w:pPr>
            <w:r>
              <w:rPr>
                <w:color w:themeColor="text1" w:val="000000"/>
                <w:sz w:val="22"/>
                <w:szCs w:val="22"/>
              </w:rPr>
              <w:t>-</w:t>
            </w:r>
          </w:p>
        </w:tc>
      </w:tr>
    </w:tbl>
    <w:p>
      <w:pPr>
        <w:pStyle w:val="Style70"/>
        <w:rPr>
          <w:color w:themeColor="text1" w:val="000000"/>
        </w:rPr>
      </w:pPr>
      <w:r>
        <w:rPr>
          <w:color w:themeColor="text1" w:val="000000"/>
        </w:rPr>
      </w:r>
      <w:r>
        <w:br w:type="page"/>
      </w:r>
    </w:p>
    <w:p>
      <w:pPr>
        <w:pStyle w:val="Heading3"/>
        <w:numPr>
          <w:ilvl w:val="2"/>
          <w:numId w:val="2"/>
        </w:numPr>
        <w:spacing w:before="0" w:after="100"/>
        <w:ind w:firstLine="709" w:left="0"/>
        <w:rPr>
          <w:rFonts w:eastAsia="Symbol" w:cs="Symbol"/>
          <w:color w:themeColor="text1" w:val="000000"/>
        </w:rPr>
      </w:pPr>
      <w:bookmarkStart w:id="32" w:name="_Toc217312452"/>
      <w:r>
        <w:rPr>
          <w:rFonts w:eastAsia="Symbol" w:cs="Symbol"/>
          <w:color w:themeColor="text1" w:val="000000"/>
        </w:rPr>
        <w:t>5.4. Жилищный фонд</w:t>
      </w:r>
      <w:bookmarkEnd w:id="32"/>
    </w:p>
    <w:p>
      <w:pPr>
        <w:pStyle w:val="Normal"/>
        <w:ind w:firstLine="709"/>
        <w:jc w:val="both"/>
        <w:rPr>
          <w:color w:themeColor="text1" w:val="000000"/>
        </w:rPr>
      </w:pPr>
      <w:r>
        <w:rPr>
          <w:color w:themeColor="text1" w:val="000000"/>
        </w:rPr>
        <w:t xml:space="preserve">Общая площадь жилищного фонда по городскому округу составляет 9,91 млн кв.м. За 2022 год на территории городского округа введено в эксплуатацию 267,11 тыс. кв. м жилья. Средняя жилищная обеспеченность составляет 27,9 кв.м на одного человека. </w:t>
      </w:r>
    </w:p>
    <w:p>
      <w:pPr>
        <w:pStyle w:val="Normal"/>
        <w:ind w:firstLine="709"/>
        <w:jc w:val="both"/>
        <w:rPr/>
      </w:pPr>
      <w:r>
        <w:rPr>
          <w:color w:themeColor="text1" w:val="000000"/>
        </w:rPr>
        <w:t>Характеристика жилищного фонда приведены в таблицах 5.4.1-5.4.8 на конец 2022 года.</w:t>
      </w:r>
    </w:p>
    <w:p>
      <w:pPr>
        <w:pStyle w:val="Normal"/>
        <w:spacing w:before="80" w:after="0"/>
        <w:ind w:firstLine="709"/>
        <w:jc w:val="right"/>
        <w:rPr>
          <w:color w:themeColor="text1" w:val="000000"/>
        </w:rPr>
      </w:pPr>
      <w:r>
        <w:rPr>
          <w:color w:themeColor="text1" w:val="000000"/>
        </w:rPr>
        <w:t>Таблица 5.4.1.</w:t>
      </w:r>
    </w:p>
    <w:p>
      <w:pPr>
        <w:pStyle w:val="Normal"/>
        <w:spacing w:before="0" w:after="100"/>
        <w:jc w:val="center"/>
        <w:rPr>
          <w:color w:themeColor="text1" w:val="000000"/>
        </w:rPr>
      </w:pPr>
      <w:r>
        <w:rPr>
          <w:color w:themeColor="text1" w:val="000000"/>
        </w:rPr>
        <w:t xml:space="preserve"> </w:t>
      </w:r>
      <w:r>
        <w:rPr>
          <w:color w:themeColor="text1" w:val="000000"/>
        </w:rPr>
        <w:t>Движение жилищного фонда</w:t>
      </w:r>
    </w:p>
    <w:tbl>
      <w:tblPr>
        <w:tblStyle w:val="afffffffffffc"/>
        <w:tblW w:w="1083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464"/>
        <w:gridCol w:w="947"/>
        <w:gridCol w:w="1917"/>
        <w:gridCol w:w="1487"/>
        <w:gridCol w:w="1"/>
        <w:gridCol w:w="988"/>
        <w:gridCol w:w="2264"/>
        <w:gridCol w:w="1764"/>
      </w:tblGrid>
      <w:tr>
        <w:trPr>
          <w:trHeight w:val="461" w:hRule="atLeast"/>
        </w:trPr>
        <w:tc>
          <w:tcPr>
            <w:tcW w:w="1464" w:type="dxa"/>
            <w:vMerge w:val="restart"/>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Общая площадь жилых помещений на конец года - всего,</w:t>
            </w:r>
          </w:p>
          <w:p>
            <w:pPr>
              <w:pStyle w:val="Normal"/>
              <w:widowControl w:val="false"/>
              <w:spacing w:before="0" w:after="0"/>
              <w:jc w:val="center"/>
              <w:rPr>
                <w:b/>
                <w:color w:themeColor="text1" w:val="000000"/>
                <w:sz w:val="22"/>
                <w:szCs w:val="22"/>
              </w:rPr>
            </w:pPr>
            <w:r>
              <w:rPr>
                <w:rFonts w:eastAsia="SimSun"/>
                <w:b/>
                <w:color w:themeColor="text1" w:val="000000"/>
                <w:sz w:val="22"/>
                <w:szCs w:val="22"/>
              </w:rPr>
              <w:t>тыс. м</w:t>
            </w:r>
            <w:r>
              <w:rPr>
                <w:rFonts w:eastAsia="SimSun"/>
                <w:b/>
                <w:color w:themeColor="text1" w:val="000000"/>
                <w:sz w:val="22"/>
                <w:szCs w:val="22"/>
                <w:vertAlign w:val="superscript"/>
              </w:rPr>
              <w:t>2</w:t>
            </w:r>
          </w:p>
        </w:tc>
        <w:tc>
          <w:tcPr>
            <w:tcW w:w="4352" w:type="dxa"/>
            <w:gridSpan w:val="4"/>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Прибыло площади, тыс. м</w:t>
            </w:r>
            <w:r>
              <w:rPr>
                <w:rFonts w:eastAsia="SimSun"/>
                <w:b/>
                <w:color w:themeColor="text1" w:val="000000"/>
                <w:sz w:val="22"/>
                <w:szCs w:val="22"/>
                <w:vertAlign w:val="superscript"/>
              </w:rPr>
              <w:t>2</w:t>
            </w:r>
          </w:p>
        </w:tc>
        <w:tc>
          <w:tcPr>
            <w:tcW w:w="5016" w:type="dxa"/>
            <w:gridSpan w:val="3"/>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Выбыло площади, тыс. м</w:t>
            </w:r>
            <w:r>
              <w:rPr>
                <w:rFonts w:eastAsia="SimSun"/>
                <w:b/>
                <w:color w:themeColor="text1" w:val="000000"/>
                <w:sz w:val="22"/>
                <w:szCs w:val="22"/>
                <w:vertAlign w:val="superscript"/>
              </w:rPr>
              <w:t>2</w:t>
            </w:r>
          </w:p>
        </w:tc>
      </w:tr>
      <w:tr>
        <w:trPr>
          <w:trHeight w:val="1942" w:hRule="atLeast"/>
        </w:trPr>
        <w:tc>
          <w:tcPr>
            <w:tcW w:w="1464" w:type="dxa"/>
            <w:vMerge w:val="continue"/>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b/>
                <w:color w:themeColor="text1" w:val="000000"/>
                <w:sz w:val="22"/>
                <w:szCs w:val="22"/>
              </w:rPr>
            </w:r>
          </w:p>
        </w:tc>
        <w:tc>
          <w:tcPr>
            <w:tcW w:w="94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Всего</w:t>
            </w:r>
          </w:p>
        </w:tc>
        <w:tc>
          <w:tcPr>
            <w:tcW w:w="1917"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2"/>
                <w:szCs w:val="22"/>
                <w:lang w:eastAsia="ru-RU"/>
              </w:rPr>
            </w:pPr>
            <w:r>
              <w:rPr>
                <w:rFonts w:eastAsia="SimSun"/>
                <w:b/>
                <w:color w:themeColor="text1" w:val="000000"/>
                <w:sz w:val="22"/>
                <w:szCs w:val="22"/>
              </w:rPr>
              <w:t>новое строительство</w:t>
            </w:r>
          </w:p>
          <w:p>
            <w:pPr>
              <w:pStyle w:val="Normal"/>
              <w:widowControl w:val="false"/>
              <w:spacing w:before="0" w:after="0"/>
              <w:jc w:val="center"/>
              <w:rPr>
                <w:b/>
                <w:color w:themeColor="text1" w:val="000000"/>
                <w:sz w:val="22"/>
                <w:szCs w:val="22"/>
              </w:rPr>
            </w:pPr>
            <w:r>
              <w:rPr>
                <w:b/>
                <w:color w:themeColor="text1" w:val="000000"/>
                <w:sz w:val="22"/>
                <w:szCs w:val="22"/>
              </w:rPr>
            </w:r>
          </w:p>
        </w:tc>
        <w:tc>
          <w:tcPr>
            <w:tcW w:w="1487"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2"/>
                <w:szCs w:val="22"/>
                <w:lang w:eastAsia="ru-RU"/>
              </w:rPr>
            </w:pPr>
            <w:r>
              <w:rPr>
                <w:rFonts w:eastAsia="SimSun"/>
                <w:b/>
                <w:color w:themeColor="text1" w:val="000000"/>
                <w:sz w:val="22"/>
                <w:szCs w:val="22"/>
              </w:rPr>
              <w:t>переведено нежилых помещений в жилые</w:t>
            </w:r>
          </w:p>
        </w:tc>
        <w:tc>
          <w:tcPr>
            <w:tcW w:w="989" w:type="dxa"/>
            <w:gridSpan w:val="2"/>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Всего</w:t>
            </w:r>
          </w:p>
        </w:tc>
        <w:tc>
          <w:tcPr>
            <w:tcW w:w="2264"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снесено при реализации решений ген. планов поселений и др. градостроительной документации</w:t>
            </w:r>
          </w:p>
        </w:tc>
        <w:tc>
          <w:tcPr>
            <w:tcW w:w="1764"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2"/>
                <w:szCs w:val="22"/>
                <w:lang w:eastAsia="ru-RU"/>
              </w:rPr>
            </w:pPr>
            <w:r>
              <w:rPr>
                <w:rFonts w:eastAsia="SimSun"/>
                <w:b/>
                <w:color w:themeColor="text1" w:val="000000"/>
                <w:sz w:val="22"/>
                <w:szCs w:val="22"/>
              </w:rPr>
              <w:t>в связи с переоборудо-ванием жилых помещений в нежилые</w:t>
            </w:r>
          </w:p>
          <w:p>
            <w:pPr>
              <w:pStyle w:val="Normal"/>
              <w:widowControl w:val="false"/>
              <w:spacing w:before="0" w:after="0"/>
              <w:jc w:val="center"/>
              <w:rPr>
                <w:b/>
                <w:color w:themeColor="text1" w:val="000000"/>
                <w:sz w:val="22"/>
                <w:szCs w:val="22"/>
              </w:rPr>
            </w:pPr>
            <w:r>
              <w:rPr>
                <w:b/>
                <w:color w:themeColor="text1" w:val="000000"/>
                <w:sz w:val="22"/>
                <w:szCs w:val="22"/>
              </w:rPr>
            </w:r>
          </w:p>
        </w:tc>
      </w:tr>
      <w:tr>
        <w:trPr>
          <w:trHeight w:val="297" w:hRule="atLeast"/>
        </w:trPr>
        <w:tc>
          <w:tcPr>
            <w:tcW w:w="146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9 912,17</w:t>
            </w:r>
          </w:p>
        </w:tc>
        <w:tc>
          <w:tcPr>
            <w:tcW w:w="947"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267,61</w:t>
            </w:r>
          </w:p>
        </w:tc>
        <w:tc>
          <w:tcPr>
            <w:tcW w:w="1917"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267,11</w:t>
            </w:r>
          </w:p>
        </w:tc>
        <w:tc>
          <w:tcPr>
            <w:tcW w:w="1487"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0,50</w:t>
            </w:r>
          </w:p>
        </w:tc>
        <w:tc>
          <w:tcPr>
            <w:tcW w:w="989" w:type="dxa"/>
            <w:gridSpan w:val="2"/>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4,00</w:t>
            </w:r>
          </w:p>
        </w:tc>
        <w:tc>
          <w:tcPr>
            <w:tcW w:w="226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2,50</w:t>
            </w:r>
          </w:p>
        </w:tc>
        <w:tc>
          <w:tcPr>
            <w:tcW w:w="176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1,50</w:t>
            </w:r>
          </w:p>
        </w:tc>
      </w:tr>
    </w:tbl>
    <w:p>
      <w:pPr>
        <w:pStyle w:val="Normal"/>
        <w:spacing w:before="80" w:after="0"/>
        <w:ind w:firstLine="709"/>
        <w:jc w:val="right"/>
        <w:rPr>
          <w:color w:themeColor="text1" w:val="000000"/>
        </w:rPr>
      </w:pPr>
      <w:r>
        <w:rPr>
          <w:color w:themeColor="text1" w:val="000000"/>
        </w:rPr>
      </w:r>
    </w:p>
    <w:p>
      <w:pPr>
        <w:pStyle w:val="Normal"/>
        <w:spacing w:before="80" w:after="0"/>
        <w:ind w:firstLine="709"/>
        <w:jc w:val="right"/>
        <w:rPr>
          <w:color w:themeColor="text1" w:val="000000"/>
        </w:rPr>
      </w:pPr>
      <w:r>
        <w:rPr>
          <w:color w:themeColor="text1" w:val="000000"/>
        </w:rPr>
        <w:t>Таблица 5.4.2.</w:t>
      </w:r>
    </w:p>
    <w:p>
      <w:pPr>
        <w:pStyle w:val="Normal"/>
        <w:spacing w:before="0" w:after="100"/>
        <w:jc w:val="center"/>
        <w:rPr>
          <w:color w:themeColor="text1" w:val="000000"/>
        </w:rPr>
      </w:pPr>
      <w:r>
        <w:rPr>
          <w:color w:themeColor="text1" w:val="000000"/>
        </w:rPr>
        <w:t xml:space="preserve"> </w:t>
      </w:r>
      <w:r>
        <w:rPr>
          <w:color w:themeColor="text1" w:val="000000"/>
        </w:rPr>
        <w:t xml:space="preserve">Общая площадь жилых помещений </w:t>
      </w:r>
    </w:p>
    <w:tbl>
      <w:tblPr>
        <w:tblStyle w:val="afffffffffffc"/>
        <w:tblW w:w="1088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112"/>
        <w:gridCol w:w="3402"/>
        <w:gridCol w:w="3369"/>
      </w:tblGrid>
      <w:tr>
        <w:trPr/>
        <w:tc>
          <w:tcPr>
            <w:tcW w:w="10883" w:type="dxa"/>
            <w:gridSpan w:val="3"/>
            <w:tcBorders/>
            <w:shd w:color="auto" w:fill="EDEDED" w:themeFill="accent3" w:themeFillTint="33" w:val="clear"/>
            <w:vAlign w:val="center"/>
          </w:tcPr>
          <w:p>
            <w:pPr>
              <w:pStyle w:val="Normal"/>
              <w:widowControl w:val="false"/>
              <w:spacing w:before="0" w:after="0"/>
              <w:jc w:val="center"/>
              <w:rPr>
                <w:b/>
                <w:color w:themeColor="text1" w:val="000000"/>
                <w:sz w:val="22"/>
                <w:szCs w:val="22"/>
                <w:vertAlign w:val="superscript"/>
              </w:rPr>
            </w:pPr>
            <w:r>
              <w:rPr>
                <w:rFonts w:eastAsia="SimSun"/>
                <w:b/>
                <w:color w:themeColor="text1" w:val="000000"/>
                <w:sz w:val="22"/>
                <w:szCs w:val="22"/>
              </w:rPr>
              <w:t>Общая площадь жилых помещений – тыс. м</w:t>
            </w:r>
            <w:r>
              <w:rPr>
                <w:rFonts w:eastAsia="SimSun"/>
                <w:b/>
                <w:color w:themeColor="text1" w:val="000000"/>
                <w:sz w:val="22"/>
                <w:szCs w:val="22"/>
                <w:vertAlign w:val="superscript"/>
              </w:rPr>
              <w:t>2</w:t>
            </w:r>
          </w:p>
        </w:tc>
      </w:tr>
      <w:tr>
        <w:trPr>
          <w:trHeight w:val="312" w:hRule="atLeast"/>
        </w:trPr>
        <w:tc>
          <w:tcPr>
            <w:tcW w:w="4112"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Всего</w:t>
            </w:r>
          </w:p>
        </w:tc>
        <w:tc>
          <w:tcPr>
            <w:tcW w:w="3402"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0"/>
                <w:szCs w:val="20"/>
                <w:lang w:eastAsia="ru-RU"/>
              </w:rPr>
            </w:pPr>
            <w:r>
              <w:rPr>
                <w:rFonts w:eastAsia="SimSun"/>
                <w:b/>
                <w:color w:themeColor="text1" w:val="000000"/>
                <w:sz w:val="20"/>
                <w:szCs w:val="20"/>
              </w:rPr>
              <w:t>в городах и поселках городского типа</w:t>
            </w:r>
          </w:p>
        </w:tc>
        <w:tc>
          <w:tcPr>
            <w:tcW w:w="3369"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0"/>
                <w:szCs w:val="20"/>
                <w:lang w:eastAsia="ru-RU"/>
              </w:rPr>
            </w:pPr>
            <w:r>
              <w:rPr>
                <w:rFonts w:eastAsia="SimSun"/>
                <w:b/>
                <w:color w:themeColor="text1" w:val="000000"/>
                <w:sz w:val="20"/>
                <w:szCs w:val="20"/>
              </w:rPr>
              <w:t>в сельских населенных пунктах</w:t>
            </w:r>
          </w:p>
          <w:p>
            <w:pPr>
              <w:pStyle w:val="Normal"/>
              <w:widowControl w:val="false"/>
              <w:suppressAutoHyphens w:val="false"/>
              <w:spacing w:before="0" w:after="0"/>
              <w:jc w:val="center"/>
              <w:rPr>
                <w:b/>
                <w:color w:themeColor="text1" w:val="000000"/>
                <w:sz w:val="22"/>
                <w:szCs w:val="22"/>
                <w:lang w:eastAsia="ru-RU"/>
              </w:rPr>
            </w:pPr>
            <w:r>
              <w:rPr>
                <w:b/>
                <w:color w:themeColor="text1" w:val="000000"/>
                <w:sz w:val="22"/>
                <w:szCs w:val="22"/>
                <w:lang w:eastAsia="ru-RU"/>
              </w:rPr>
            </w:r>
          </w:p>
        </w:tc>
      </w:tr>
      <w:tr>
        <w:trPr>
          <w:trHeight w:val="193" w:hRule="atLeast"/>
        </w:trPr>
        <w:tc>
          <w:tcPr>
            <w:tcW w:w="411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9 912,17</w:t>
            </w:r>
          </w:p>
        </w:tc>
        <w:tc>
          <w:tcPr>
            <w:tcW w:w="340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9 332,35</w:t>
            </w:r>
          </w:p>
        </w:tc>
        <w:tc>
          <w:tcPr>
            <w:tcW w:w="3369"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579,82</w:t>
            </w:r>
          </w:p>
        </w:tc>
      </w:tr>
      <w:tr>
        <w:trPr/>
        <w:tc>
          <w:tcPr>
            <w:tcW w:w="10883" w:type="dxa"/>
            <w:gridSpan w:val="3"/>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Общая площадь жилых помещений, приходящаяся в среднем на одного жителя - м</w:t>
            </w:r>
            <w:r>
              <w:rPr>
                <w:rFonts w:eastAsia="SimSun"/>
                <w:b/>
                <w:color w:themeColor="text1" w:val="000000"/>
                <w:sz w:val="22"/>
                <w:szCs w:val="22"/>
                <w:vertAlign w:val="superscript"/>
              </w:rPr>
              <w:t>2</w:t>
            </w:r>
          </w:p>
        </w:tc>
      </w:tr>
      <w:tr>
        <w:trPr>
          <w:trHeight w:val="245" w:hRule="atLeast"/>
        </w:trPr>
        <w:tc>
          <w:tcPr>
            <w:tcW w:w="4112"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Всего</w:t>
            </w:r>
          </w:p>
        </w:tc>
        <w:tc>
          <w:tcPr>
            <w:tcW w:w="3402"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0"/>
                <w:szCs w:val="20"/>
                <w:lang w:eastAsia="ru-RU"/>
              </w:rPr>
            </w:pPr>
            <w:r>
              <w:rPr>
                <w:rFonts w:eastAsia="SimSun"/>
                <w:b/>
                <w:color w:themeColor="text1" w:val="000000"/>
                <w:sz w:val="20"/>
                <w:szCs w:val="20"/>
              </w:rPr>
              <w:t>в городах и поселках городского типа</w:t>
            </w:r>
          </w:p>
        </w:tc>
        <w:tc>
          <w:tcPr>
            <w:tcW w:w="3369" w:type="dxa"/>
            <w:tcBorders/>
            <w:shd w:color="auto" w:fill="EDEDED" w:themeFill="accent3" w:themeFillTint="33" w:val="clear"/>
            <w:vAlign w:val="center"/>
          </w:tcPr>
          <w:p>
            <w:pPr>
              <w:pStyle w:val="Normal"/>
              <w:widowControl w:val="false"/>
              <w:spacing w:before="0" w:after="0"/>
              <w:jc w:val="center"/>
              <w:rPr>
                <w:b/>
                <w:color w:themeColor="text1" w:val="000000"/>
                <w:sz w:val="20"/>
                <w:szCs w:val="20"/>
              </w:rPr>
            </w:pPr>
            <w:r>
              <w:rPr>
                <w:rFonts w:eastAsia="SimSun"/>
                <w:b/>
                <w:color w:themeColor="text1" w:val="000000"/>
                <w:sz w:val="20"/>
                <w:szCs w:val="20"/>
              </w:rPr>
              <w:t>в сельских населенных пунктах</w:t>
            </w:r>
          </w:p>
        </w:tc>
      </w:tr>
      <w:tr>
        <w:trPr>
          <w:trHeight w:val="208" w:hRule="atLeast"/>
        </w:trPr>
        <w:tc>
          <w:tcPr>
            <w:tcW w:w="411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27,9</w:t>
            </w:r>
          </w:p>
        </w:tc>
        <w:tc>
          <w:tcPr>
            <w:tcW w:w="340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27,9</w:t>
            </w:r>
          </w:p>
        </w:tc>
        <w:tc>
          <w:tcPr>
            <w:tcW w:w="3369"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26,9</w:t>
            </w:r>
          </w:p>
        </w:tc>
      </w:tr>
    </w:tbl>
    <w:p>
      <w:pPr>
        <w:pStyle w:val="Normal"/>
        <w:spacing w:before="80" w:after="0"/>
        <w:ind w:firstLine="709"/>
        <w:jc w:val="right"/>
        <w:rPr>
          <w:color w:themeColor="text1" w:val="000000"/>
        </w:rPr>
      </w:pPr>
      <w:r>
        <w:rPr>
          <w:color w:themeColor="text1" w:val="000000"/>
        </w:rPr>
      </w:r>
    </w:p>
    <w:p>
      <w:pPr>
        <w:pStyle w:val="Normal"/>
        <w:spacing w:before="80" w:after="0"/>
        <w:ind w:firstLine="709"/>
        <w:jc w:val="right"/>
        <w:rPr>
          <w:color w:themeColor="text1" w:val="000000"/>
        </w:rPr>
      </w:pPr>
      <w:r>
        <w:rPr>
          <w:color w:themeColor="text1" w:val="000000"/>
        </w:rPr>
        <w:t>Таблица 5.4.3.</w:t>
      </w:r>
    </w:p>
    <w:p>
      <w:pPr>
        <w:pStyle w:val="Normal"/>
        <w:spacing w:before="0" w:after="100"/>
        <w:jc w:val="center"/>
        <w:rPr>
          <w:color w:themeColor="text1" w:val="000000"/>
        </w:rPr>
      </w:pPr>
      <w:r>
        <w:rPr>
          <w:color w:themeColor="text1" w:val="000000"/>
        </w:rPr>
        <w:t xml:space="preserve">Жилищный фонд по формам собственности </w:t>
      </w:r>
    </w:p>
    <w:tbl>
      <w:tblPr>
        <w:tblStyle w:val="afffffffffffc"/>
        <w:tblW w:w="1077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944"/>
        <w:gridCol w:w="1377"/>
        <w:gridCol w:w="1642"/>
        <w:gridCol w:w="1700"/>
        <w:gridCol w:w="2122"/>
        <w:gridCol w:w="1987"/>
      </w:tblGrid>
      <w:tr>
        <w:trPr>
          <w:trHeight w:val="378" w:hRule="atLeast"/>
        </w:trPr>
        <w:tc>
          <w:tcPr>
            <w:tcW w:w="1944" w:type="dxa"/>
            <w:vMerge w:val="restart"/>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Общая площадь жилых помещений - всего,</w:t>
            </w:r>
          </w:p>
          <w:p>
            <w:pPr>
              <w:pStyle w:val="Normal"/>
              <w:widowControl w:val="false"/>
              <w:spacing w:before="0" w:after="0"/>
              <w:jc w:val="center"/>
              <w:rPr>
                <w:color w:themeColor="text1" w:val="000000"/>
              </w:rPr>
            </w:pPr>
            <w:r>
              <w:rPr>
                <w:rFonts w:eastAsia="SimSun"/>
                <w:b/>
                <w:color w:themeColor="text1" w:val="000000"/>
                <w:sz w:val="22"/>
                <w:szCs w:val="22"/>
              </w:rPr>
              <w:t>тыс. м</w:t>
            </w:r>
            <w:r>
              <w:rPr>
                <w:rFonts w:eastAsia="SimSun"/>
                <w:b/>
                <w:color w:themeColor="text1" w:val="000000"/>
                <w:sz w:val="22"/>
                <w:szCs w:val="22"/>
                <w:vertAlign w:val="superscript"/>
              </w:rPr>
              <w:t>2</w:t>
            </w:r>
          </w:p>
        </w:tc>
        <w:tc>
          <w:tcPr>
            <w:tcW w:w="8828" w:type="dxa"/>
            <w:gridSpan w:val="5"/>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 том числе в:</w:t>
            </w:r>
          </w:p>
        </w:tc>
      </w:tr>
      <w:tr>
        <w:trPr>
          <w:trHeight w:val="411" w:hRule="atLeast"/>
        </w:trPr>
        <w:tc>
          <w:tcPr>
            <w:tcW w:w="1944" w:type="dxa"/>
            <w:vMerge w:val="continue"/>
            <w:tcBorders/>
            <w:shd w:color="auto" w:fill="EDEDED" w:themeFill="accent3" w:themeFillTint="33" w:val="clear"/>
          </w:tcPr>
          <w:p>
            <w:pPr>
              <w:pStyle w:val="Normal"/>
              <w:widowControl w:val="false"/>
              <w:spacing w:before="0" w:after="0"/>
              <w:jc w:val="center"/>
              <w:rPr>
                <w:color w:themeColor="text1" w:val="000000"/>
              </w:rPr>
            </w:pPr>
            <w:r>
              <w:rPr>
                <w:color w:themeColor="text1" w:val="000000"/>
              </w:rPr>
            </w:r>
          </w:p>
        </w:tc>
        <w:tc>
          <w:tcPr>
            <w:tcW w:w="1377" w:type="dxa"/>
            <w:vMerge w:val="restart"/>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Частном жилфонде</w:t>
            </w:r>
          </w:p>
        </w:tc>
        <w:tc>
          <w:tcPr>
            <w:tcW w:w="3342" w:type="dxa"/>
            <w:gridSpan w:val="2"/>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Из него в собственности</w:t>
            </w:r>
          </w:p>
        </w:tc>
        <w:tc>
          <w:tcPr>
            <w:tcW w:w="2122" w:type="dxa"/>
            <w:vMerge w:val="restart"/>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Государственном жилфонде</w:t>
            </w:r>
          </w:p>
        </w:tc>
        <w:tc>
          <w:tcPr>
            <w:tcW w:w="1987" w:type="dxa"/>
            <w:vMerge w:val="restart"/>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Муниципальном жилфонде</w:t>
            </w:r>
          </w:p>
        </w:tc>
      </w:tr>
      <w:tr>
        <w:trPr/>
        <w:tc>
          <w:tcPr>
            <w:tcW w:w="1944" w:type="dxa"/>
            <w:vMerge w:val="continue"/>
            <w:tcBorders/>
            <w:shd w:fill="auto" w:val="clear"/>
          </w:tcPr>
          <w:p>
            <w:pPr>
              <w:pStyle w:val="Normal"/>
              <w:widowControl w:val="false"/>
              <w:spacing w:before="0" w:after="0"/>
              <w:jc w:val="center"/>
              <w:rPr>
                <w:color w:themeColor="text1" w:val="000000"/>
              </w:rPr>
            </w:pPr>
            <w:r>
              <w:rPr>
                <w:color w:themeColor="text1" w:val="000000"/>
              </w:rPr>
            </w:r>
          </w:p>
        </w:tc>
        <w:tc>
          <w:tcPr>
            <w:tcW w:w="1377" w:type="dxa"/>
            <w:vMerge w:val="continue"/>
            <w:tcBorders/>
            <w:shd w:fill="auto" w:val="clear"/>
          </w:tcPr>
          <w:p>
            <w:pPr>
              <w:pStyle w:val="Normal"/>
              <w:widowControl w:val="false"/>
              <w:spacing w:before="0" w:after="0"/>
              <w:jc w:val="center"/>
              <w:rPr>
                <w:color w:themeColor="text1" w:val="000000"/>
              </w:rPr>
            </w:pPr>
            <w:r>
              <w:rPr>
                <w:color w:themeColor="text1" w:val="000000"/>
              </w:rPr>
            </w:r>
          </w:p>
        </w:tc>
        <w:tc>
          <w:tcPr>
            <w:tcW w:w="1642"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граждан</w:t>
            </w:r>
          </w:p>
        </w:tc>
        <w:tc>
          <w:tcPr>
            <w:tcW w:w="1700"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юридических лиц</w:t>
            </w:r>
          </w:p>
        </w:tc>
        <w:tc>
          <w:tcPr>
            <w:tcW w:w="2122" w:type="dxa"/>
            <w:vMerge w:val="continue"/>
            <w:tcBorders/>
            <w:shd w:fill="auto" w:val="clear"/>
          </w:tcPr>
          <w:p>
            <w:pPr>
              <w:pStyle w:val="Normal"/>
              <w:widowControl w:val="false"/>
              <w:spacing w:before="0" w:after="0"/>
              <w:jc w:val="center"/>
              <w:rPr>
                <w:color w:themeColor="text1" w:val="000000"/>
              </w:rPr>
            </w:pPr>
            <w:r>
              <w:rPr>
                <w:color w:themeColor="text1" w:val="000000"/>
              </w:rPr>
            </w:r>
          </w:p>
        </w:tc>
        <w:tc>
          <w:tcPr>
            <w:tcW w:w="1987" w:type="dxa"/>
            <w:vMerge w:val="continue"/>
            <w:tcBorders/>
            <w:shd w:fill="auto" w:val="clear"/>
          </w:tcPr>
          <w:p>
            <w:pPr>
              <w:pStyle w:val="Normal"/>
              <w:widowControl w:val="false"/>
              <w:spacing w:before="0" w:after="0"/>
              <w:jc w:val="center"/>
              <w:rPr>
                <w:color w:themeColor="text1" w:val="000000"/>
              </w:rPr>
            </w:pPr>
            <w:r>
              <w:rPr>
                <w:color w:themeColor="text1" w:val="000000"/>
              </w:rPr>
            </w:r>
          </w:p>
        </w:tc>
      </w:tr>
      <w:tr>
        <w:trPr>
          <w:trHeight w:val="208" w:hRule="atLeast"/>
        </w:trPr>
        <w:tc>
          <w:tcPr>
            <w:tcW w:w="194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9 912,17</w:t>
            </w:r>
          </w:p>
        </w:tc>
        <w:tc>
          <w:tcPr>
            <w:tcW w:w="137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9 255,12</w:t>
            </w:r>
          </w:p>
        </w:tc>
        <w:tc>
          <w:tcPr>
            <w:tcW w:w="164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9 226,72</w:t>
            </w:r>
          </w:p>
        </w:tc>
        <w:tc>
          <w:tcPr>
            <w:tcW w:w="1700"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28,40</w:t>
            </w:r>
          </w:p>
        </w:tc>
        <w:tc>
          <w:tcPr>
            <w:tcW w:w="212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154,77</w:t>
            </w:r>
          </w:p>
        </w:tc>
        <w:tc>
          <w:tcPr>
            <w:tcW w:w="198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502,28</w:t>
            </w:r>
          </w:p>
        </w:tc>
      </w:tr>
    </w:tbl>
    <w:p>
      <w:pPr>
        <w:pStyle w:val="Normal"/>
        <w:spacing w:before="80" w:after="0"/>
        <w:ind w:firstLine="709"/>
        <w:jc w:val="right"/>
        <w:rPr>
          <w:color w:themeColor="text1" w:val="000000"/>
        </w:rPr>
      </w:pPr>
      <w:r>
        <w:rPr>
          <w:color w:themeColor="text1" w:val="000000"/>
        </w:rPr>
      </w:r>
    </w:p>
    <w:p>
      <w:pPr>
        <w:pStyle w:val="Normal"/>
        <w:spacing w:before="80" w:after="0"/>
        <w:ind w:firstLine="709"/>
        <w:jc w:val="right"/>
        <w:rPr>
          <w:color w:themeColor="text1" w:val="000000"/>
        </w:rPr>
      </w:pPr>
      <w:r>
        <w:rPr>
          <w:color w:themeColor="text1" w:val="000000"/>
        </w:rPr>
        <w:t>Таблица 5.4.4.</w:t>
      </w:r>
    </w:p>
    <w:p>
      <w:pPr>
        <w:pStyle w:val="Normal"/>
        <w:spacing w:before="0" w:after="100"/>
        <w:jc w:val="center"/>
        <w:rPr>
          <w:color w:themeColor="text1" w:val="000000"/>
        </w:rPr>
      </w:pPr>
      <w:r>
        <w:rPr>
          <w:color w:themeColor="text1" w:val="000000"/>
        </w:rPr>
        <w:t>Оборудование всего жилищного фонда</w:t>
      </w:r>
    </w:p>
    <w:tbl>
      <w:tblPr>
        <w:tblStyle w:val="afffffffffffc"/>
        <w:tblW w:w="10774"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133"/>
        <w:gridCol w:w="5713"/>
        <w:gridCol w:w="3928"/>
      </w:tblGrid>
      <w:tr>
        <w:trPr>
          <w:tblHeader w:val="true"/>
        </w:trPr>
        <w:tc>
          <w:tcPr>
            <w:tcW w:w="1133"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w:t>
            </w:r>
          </w:p>
          <w:p>
            <w:pPr>
              <w:pStyle w:val="Normal"/>
              <w:widowControl w:val="false"/>
              <w:spacing w:before="0" w:after="0"/>
              <w:jc w:val="center"/>
              <w:rPr>
                <w:b/>
                <w:color w:themeColor="text1" w:val="000000"/>
                <w:sz w:val="22"/>
                <w:szCs w:val="22"/>
              </w:rPr>
            </w:pPr>
            <w:r>
              <w:rPr>
                <w:rFonts w:eastAsia="SimSun"/>
                <w:b/>
                <w:color w:themeColor="text1" w:val="000000"/>
                <w:sz w:val="22"/>
                <w:szCs w:val="22"/>
              </w:rPr>
              <w:t>п/п</w:t>
            </w:r>
          </w:p>
        </w:tc>
        <w:tc>
          <w:tcPr>
            <w:tcW w:w="5713"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Показатель</w:t>
            </w:r>
          </w:p>
        </w:tc>
        <w:tc>
          <w:tcPr>
            <w:tcW w:w="3928"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Площадь,</w:t>
            </w:r>
          </w:p>
          <w:p>
            <w:pPr>
              <w:pStyle w:val="Normal"/>
              <w:widowControl w:val="false"/>
              <w:spacing w:before="0" w:after="0"/>
              <w:jc w:val="center"/>
              <w:rPr>
                <w:b/>
                <w:color w:themeColor="text1" w:val="000000"/>
                <w:sz w:val="22"/>
                <w:szCs w:val="22"/>
              </w:rPr>
            </w:pPr>
            <w:r>
              <w:rPr>
                <w:rFonts w:eastAsia="SimSun"/>
                <w:b/>
                <w:color w:themeColor="text1" w:val="000000"/>
                <w:sz w:val="22"/>
                <w:szCs w:val="22"/>
              </w:rPr>
              <w:t>тыс. м</w:t>
            </w:r>
            <w:r>
              <w:rPr>
                <w:rFonts w:eastAsia="SimSun"/>
                <w:b/>
                <w:color w:themeColor="text1" w:val="000000"/>
                <w:sz w:val="22"/>
                <w:szCs w:val="22"/>
                <w:vertAlign w:val="superscript"/>
              </w:rPr>
              <w:t>2</w:t>
            </w:r>
          </w:p>
        </w:tc>
      </w:tr>
      <w:tr>
        <w:trPr>
          <w:trHeight w:val="197" w:hRule="atLeast"/>
        </w:trPr>
        <w:tc>
          <w:tcPr>
            <w:tcW w:w="1133"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w:t>
            </w:r>
          </w:p>
        </w:tc>
        <w:tc>
          <w:tcPr>
            <w:tcW w:w="5713" w:type="dxa"/>
            <w:tcBorders/>
            <w:shd w:fill="auto" w:val="clear"/>
            <w:vAlign w:val="center"/>
          </w:tcPr>
          <w:p>
            <w:pPr>
              <w:pStyle w:val="Normal"/>
              <w:widowControl w:val="false"/>
              <w:spacing w:before="0" w:after="0"/>
              <w:rPr>
                <w:b/>
                <w:color w:themeColor="text1" w:val="000000"/>
                <w:sz w:val="22"/>
                <w:szCs w:val="22"/>
              </w:rPr>
            </w:pPr>
            <w:r>
              <w:rPr>
                <w:rFonts w:eastAsia="SimSun"/>
                <w:b/>
                <w:color w:themeColor="text1" w:val="000000"/>
                <w:sz w:val="22"/>
                <w:szCs w:val="22"/>
              </w:rPr>
              <w:t>Общая площадь жилых помещений</w:t>
            </w:r>
          </w:p>
        </w:tc>
        <w:tc>
          <w:tcPr>
            <w:tcW w:w="3928" w:type="dxa"/>
            <w:tcBorders/>
            <w:shd w:fill="auto" w:val="clear"/>
            <w:vAlign w:val="center"/>
          </w:tcPr>
          <w:p>
            <w:pPr>
              <w:pStyle w:val="Normal"/>
              <w:widowControl w:val="false"/>
              <w:suppressAutoHyphens w:val="false"/>
              <w:spacing w:before="0" w:after="0"/>
              <w:jc w:val="center"/>
              <w:rPr>
                <w:b/>
                <w:color w:themeColor="text1" w:val="000000"/>
                <w:sz w:val="22"/>
                <w:szCs w:val="22"/>
                <w:lang w:eastAsia="ru-RU"/>
              </w:rPr>
            </w:pPr>
            <w:r>
              <w:rPr>
                <w:rFonts w:eastAsia="SimSun"/>
                <w:b/>
                <w:color w:themeColor="text1" w:val="000000"/>
                <w:sz w:val="22"/>
                <w:szCs w:val="22"/>
              </w:rPr>
              <w:t>9 912,17</w:t>
            </w:r>
          </w:p>
        </w:tc>
      </w:tr>
      <w:tr>
        <w:trPr>
          <w:trHeight w:val="109" w:hRule="atLeast"/>
        </w:trPr>
        <w:tc>
          <w:tcPr>
            <w:tcW w:w="1133" w:type="dxa"/>
            <w:vMerge w:val="restart"/>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1.1</w:t>
            </w:r>
          </w:p>
        </w:tc>
        <w:tc>
          <w:tcPr>
            <w:tcW w:w="571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водопроводом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9 433,19</w:t>
            </w:r>
          </w:p>
        </w:tc>
      </w:tr>
      <w:tr>
        <w:trPr>
          <w:trHeight w:val="71" w:hRule="atLeast"/>
        </w:trPr>
        <w:tc>
          <w:tcPr>
            <w:tcW w:w="1133" w:type="dxa"/>
            <w:vMerge w:val="continue"/>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571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в том числе: централизованным</w:t>
            </w:r>
          </w:p>
        </w:tc>
        <w:tc>
          <w:tcPr>
            <w:tcW w:w="392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8 727,67</w:t>
            </w:r>
          </w:p>
        </w:tc>
      </w:tr>
      <w:tr>
        <w:trPr>
          <w:trHeight w:val="145" w:hRule="atLeast"/>
        </w:trPr>
        <w:tc>
          <w:tcPr>
            <w:tcW w:w="1133" w:type="dxa"/>
            <w:vMerge w:val="restart"/>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1.2</w:t>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водоотведением (канализацией)</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9 136,50</w:t>
            </w:r>
          </w:p>
        </w:tc>
      </w:tr>
      <w:tr>
        <w:trPr>
          <w:trHeight w:val="170" w:hRule="atLeast"/>
        </w:trPr>
        <w:tc>
          <w:tcPr>
            <w:tcW w:w="1133" w:type="dxa"/>
            <w:vMerge w:val="continue"/>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в том числе: централизованным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8 411,81</w:t>
            </w:r>
          </w:p>
        </w:tc>
      </w:tr>
      <w:tr>
        <w:trPr>
          <w:trHeight w:val="194" w:hRule="atLeast"/>
        </w:trPr>
        <w:tc>
          <w:tcPr>
            <w:tcW w:w="1133" w:type="dxa"/>
            <w:vMerge w:val="restart"/>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w:t>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отоплением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9 912,17</w:t>
            </w:r>
          </w:p>
        </w:tc>
      </w:tr>
      <w:tr>
        <w:trPr>
          <w:trHeight w:val="94" w:hRule="atLeast"/>
        </w:trPr>
        <w:tc>
          <w:tcPr>
            <w:tcW w:w="1133" w:type="dxa"/>
            <w:vMerge w:val="continue"/>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в том числе: централизованным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7 201,87</w:t>
            </w:r>
          </w:p>
        </w:tc>
      </w:tr>
      <w:tr>
        <w:trPr>
          <w:trHeight w:val="197" w:hRule="atLeast"/>
        </w:trPr>
        <w:tc>
          <w:tcPr>
            <w:tcW w:w="1133" w:type="dxa"/>
            <w:vMerge w:val="restart"/>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1.4</w:t>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горячим водоснабжением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7 475,87</w:t>
            </w:r>
          </w:p>
        </w:tc>
      </w:tr>
      <w:tr>
        <w:trPr>
          <w:trHeight w:val="197" w:hRule="atLeast"/>
        </w:trPr>
        <w:tc>
          <w:tcPr>
            <w:tcW w:w="1133" w:type="dxa"/>
            <w:vMerge w:val="continue"/>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в том числе централизованным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4 372,99</w:t>
            </w:r>
          </w:p>
        </w:tc>
      </w:tr>
      <w:tr>
        <w:trPr>
          <w:trHeight w:val="109" w:hRule="atLeast"/>
        </w:trPr>
        <w:tc>
          <w:tcPr>
            <w:tcW w:w="1133"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1.5</w:t>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ваннами (душем)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8 808,63</w:t>
            </w:r>
          </w:p>
        </w:tc>
      </w:tr>
      <w:tr>
        <w:trPr>
          <w:trHeight w:val="71" w:hRule="atLeast"/>
        </w:trPr>
        <w:tc>
          <w:tcPr>
            <w:tcW w:w="1133" w:type="dxa"/>
            <w:vMerge w:val="restart"/>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1.6</w:t>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газом (сетевым, сжиженным)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8 563,85</w:t>
            </w:r>
          </w:p>
        </w:tc>
      </w:tr>
      <w:tr>
        <w:trPr>
          <w:trHeight w:val="95" w:hRule="atLeast"/>
        </w:trPr>
        <w:tc>
          <w:tcPr>
            <w:tcW w:w="1133" w:type="dxa"/>
            <w:vMerge w:val="continue"/>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в том числе централизованным</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7 890,48</w:t>
            </w:r>
          </w:p>
        </w:tc>
      </w:tr>
      <w:tr>
        <w:trPr>
          <w:trHeight w:val="120" w:hRule="atLeast"/>
        </w:trPr>
        <w:tc>
          <w:tcPr>
            <w:tcW w:w="1133"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w:t>
            </w:r>
          </w:p>
        </w:tc>
        <w:tc>
          <w:tcPr>
            <w:tcW w:w="5713"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rPr>
              <w:t>напольными электрическими плитами</w:t>
            </w:r>
          </w:p>
        </w:tc>
        <w:tc>
          <w:tcPr>
            <w:tcW w:w="3928" w:type="dxa"/>
            <w:tcBorders/>
            <w:shd w:fill="auto" w:val="clear"/>
            <w:vAlign w:val="center"/>
          </w:tcPr>
          <w:p>
            <w:pPr>
              <w:pStyle w:val="Normal"/>
              <w:widowControl w:val="false"/>
              <w:suppressAutoHyphens w:val="false"/>
              <w:spacing w:before="0" w:after="0"/>
              <w:jc w:val="center"/>
              <w:rPr>
                <w:color w:themeColor="text1" w:val="000000"/>
                <w:sz w:val="22"/>
                <w:szCs w:val="22"/>
                <w:lang w:eastAsia="ru-RU"/>
              </w:rPr>
            </w:pPr>
            <w:r>
              <w:rPr>
                <w:rFonts w:eastAsia="SimSun"/>
                <w:color w:themeColor="text1" w:val="000000"/>
                <w:sz w:val="22"/>
                <w:szCs w:val="22"/>
              </w:rPr>
              <w:t>1 172,04</w:t>
            </w:r>
          </w:p>
        </w:tc>
      </w:tr>
    </w:tbl>
    <w:p>
      <w:pPr>
        <w:pStyle w:val="Normal"/>
        <w:spacing w:before="80" w:after="0"/>
        <w:ind w:firstLine="709"/>
        <w:jc w:val="right"/>
        <w:rPr>
          <w:color w:themeColor="text1" w:val="000000"/>
        </w:rPr>
      </w:pPr>
      <w:r>
        <w:rPr>
          <w:color w:themeColor="text1" w:val="000000"/>
        </w:rPr>
      </w:r>
    </w:p>
    <w:p>
      <w:pPr>
        <w:pStyle w:val="Normal"/>
        <w:spacing w:before="80" w:after="0"/>
        <w:ind w:firstLine="709"/>
        <w:jc w:val="right"/>
        <w:rPr>
          <w:color w:themeColor="text1" w:val="000000"/>
        </w:rPr>
      </w:pPr>
      <w:r>
        <w:rPr>
          <w:color w:themeColor="text1" w:val="000000"/>
        </w:rPr>
        <w:t>Таблица 5.4.5.</w:t>
      </w:r>
    </w:p>
    <w:p>
      <w:pPr>
        <w:pStyle w:val="Normal"/>
        <w:spacing w:before="0" w:after="100"/>
        <w:jc w:val="center"/>
        <w:rPr>
          <w:color w:themeColor="text1" w:val="000000"/>
        </w:rPr>
      </w:pPr>
      <w:r>
        <w:rPr>
          <w:color w:themeColor="text1" w:val="000000"/>
        </w:rPr>
        <w:t>Распределение общей площади жилых помещений по материалу стен</w:t>
      </w:r>
    </w:p>
    <w:tbl>
      <w:tblPr>
        <w:tblStyle w:val="afffffffffffc"/>
        <w:tblW w:w="1076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987"/>
        <w:gridCol w:w="5719"/>
        <w:gridCol w:w="4062"/>
      </w:tblGrid>
      <w:tr>
        <w:trPr>
          <w:tblHeader w:val="true"/>
        </w:trPr>
        <w:tc>
          <w:tcPr>
            <w:tcW w:w="98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w:t>
            </w:r>
          </w:p>
          <w:p>
            <w:pPr>
              <w:pStyle w:val="Normal"/>
              <w:widowControl w:val="false"/>
              <w:spacing w:before="0" w:after="0"/>
              <w:jc w:val="center"/>
              <w:rPr>
                <w:b/>
                <w:color w:themeColor="text1" w:val="000000"/>
                <w:sz w:val="22"/>
                <w:szCs w:val="22"/>
              </w:rPr>
            </w:pPr>
            <w:r>
              <w:rPr>
                <w:rFonts w:eastAsia="SimSun"/>
                <w:b/>
                <w:color w:themeColor="text1" w:val="000000"/>
                <w:sz w:val="22"/>
                <w:szCs w:val="22"/>
              </w:rPr>
              <w:t>п/п</w:t>
            </w:r>
          </w:p>
        </w:tc>
        <w:tc>
          <w:tcPr>
            <w:tcW w:w="5719"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Показатель</w:t>
            </w:r>
          </w:p>
        </w:tc>
        <w:tc>
          <w:tcPr>
            <w:tcW w:w="4062"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Площадь,</w:t>
            </w:r>
          </w:p>
          <w:p>
            <w:pPr>
              <w:pStyle w:val="Normal"/>
              <w:widowControl w:val="false"/>
              <w:spacing w:before="0" w:after="0"/>
              <w:jc w:val="center"/>
              <w:rPr>
                <w:b/>
                <w:color w:themeColor="text1" w:val="000000"/>
                <w:sz w:val="22"/>
                <w:szCs w:val="22"/>
              </w:rPr>
            </w:pPr>
            <w:r>
              <w:rPr>
                <w:rFonts w:eastAsia="SimSun"/>
                <w:b/>
                <w:color w:themeColor="text1" w:val="000000"/>
                <w:sz w:val="22"/>
                <w:szCs w:val="22"/>
              </w:rPr>
              <w:t>тыс. м</w:t>
            </w:r>
            <w:r>
              <w:rPr>
                <w:rFonts w:eastAsia="SimSun"/>
                <w:b/>
                <w:color w:themeColor="text1" w:val="000000"/>
                <w:sz w:val="22"/>
                <w:szCs w:val="22"/>
                <w:vertAlign w:val="superscript"/>
              </w:rPr>
              <w:t>2</w:t>
            </w:r>
          </w:p>
        </w:tc>
      </w:tr>
      <w:tr>
        <w:trPr>
          <w:trHeight w:val="397"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w:t>
            </w:r>
          </w:p>
        </w:tc>
        <w:tc>
          <w:tcPr>
            <w:tcW w:w="5719" w:type="dxa"/>
            <w:tcBorders/>
            <w:shd w:fill="auto" w:val="clear"/>
            <w:vAlign w:val="center"/>
          </w:tcPr>
          <w:p>
            <w:pPr>
              <w:pStyle w:val="Normal"/>
              <w:widowControl w:val="false"/>
              <w:spacing w:before="0" w:after="0"/>
              <w:rPr>
                <w:b/>
                <w:color w:themeColor="text1" w:val="000000"/>
                <w:sz w:val="22"/>
                <w:szCs w:val="22"/>
              </w:rPr>
            </w:pPr>
            <w:r>
              <w:rPr>
                <w:rFonts w:eastAsia="SimSun"/>
                <w:b/>
                <w:color w:themeColor="text1" w:val="000000"/>
                <w:sz w:val="22"/>
                <w:szCs w:val="22"/>
              </w:rPr>
              <w:t>Общая площадь жилых помещений - всего</w:t>
            </w:r>
          </w:p>
        </w:tc>
        <w:tc>
          <w:tcPr>
            <w:tcW w:w="4062" w:type="dxa"/>
            <w:tcBorders/>
            <w:shd w:fill="auto" w:val="clear"/>
            <w:vAlign w:val="center"/>
          </w:tcPr>
          <w:p>
            <w:pPr>
              <w:pStyle w:val="Normal"/>
              <w:widowControl w:val="false"/>
              <w:suppressAutoHyphens w:val="false"/>
              <w:spacing w:before="0" w:after="0"/>
              <w:jc w:val="center"/>
              <w:rPr>
                <w:b/>
                <w:color w:themeColor="text1" w:val="000000"/>
                <w:sz w:val="22"/>
                <w:szCs w:val="22"/>
                <w:lang w:eastAsia="ru-RU"/>
              </w:rPr>
            </w:pPr>
            <w:r>
              <w:rPr>
                <w:rFonts w:eastAsia="SimSun"/>
                <w:b/>
                <w:color w:themeColor="text1" w:val="000000"/>
                <w:sz w:val="22"/>
                <w:szCs w:val="22"/>
              </w:rPr>
              <w:t>9 912,17</w:t>
            </w:r>
          </w:p>
        </w:tc>
      </w:tr>
      <w:tr>
        <w:trPr>
          <w:trHeight w:val="112"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1.1</w:t>
            </w:r>
          </w:p>
        </w:tc>
        <w:tc>
          <w:tcPr>
            <w:tcW w:w="571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каменных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28,69</w:t>
            </w:r>
          </w:p>
        </w:tc>
      </w:tr>
      <w:tr>
        <w:trPr>
          <w:trHeight w:val="124"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1.2</w:t>
            </w:r>
          </w:p>
        </w:tc>
        <w:tc>
          <w:tcPr>
            <w:tcW w:w="571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кирпичных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3 797,35</w:t>
            </w:r>
          </w:p>
        </w:tc>
      </w:tr>
      <w:tr>
        <w:trPr>
          <w:trHeight w:val="149"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1.3</w:t>
            </w:r>
          </w:p>
        </w:tc>
        <w:tc>
          <w:tcPr>
            <w:tcW w:w="571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панельных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3 409,24</w:t>
            </w:r>
          </w:p>
        </w:tc>
      </w:tr>
      <w:tr>
        <w:trPr>
          <w:trHeight w:val="111"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1.4</w:t>
            </w:r>
          </w:p>
        </w:tc>
        <w:tc>
          <w:tcPr>
            <w:tcW w:w="571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блочных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609,86</w:t>
            </w:r>
          </w:p>
        </w:tc>
      </w:tr>
      <w:tr>
        <w:trPr>
          <w:trHeight w:val="73"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1.5</w:t>
            </w:r>
          </w:p>
        </w:tc>
        <w:tc>
          <w:tcPr>
            <w:tcW w:w="571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монолитных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277,77</w:t>
            </w:r>
          </w:p>
        </w:tc>
      </w:tr>
      <w:tr>
        <w:trPr>
          <w:trHeight w:val="210"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1.6</w:t>
            </w:r>
          </w:p>
        </w:tc>
        <w:tc>
          <w:tcPr>
            <w:tcW w:w="571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смешанных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441,63</w:t>
            </w:r>
          </w:p>
        </w:tc>
      </w:tr>
      <w:tr>
        <w:trPr>
          <w:trHeight w:val="234"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w:t>
            </w:r>
          </w:p>
        </w:tc>
        <w:tc>
          <w:tcPr>
            <w:tcW w:w="571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деревянных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724,82</w:t>
            </w:r>
          </w:p>
        </w:tc>
      </w:tr>
      <w:tr>
        <w:trPr>
          <w:trHeight w:val="196" w:hRule="atLeast"/>
        </w:trPr>
        <w:tc>
          <w:tcPr>
            <w:tcW w:w="98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w:t>
            </w:r>
          </w:p>
        </w:tc>
        <w:tc>
          <w:tcPr>
            <w:tcW w:w="5719" w:type="dxa"/>
            <w:tcBorders/>
            <w:shd w:fill="auto" w:val="clear"/>
            <w:vAlign w:val="center"/>
          </w:tcPr>
          <w:p>
            <w:pPr>
              <w:pStyle w:val="Normal"/>
              <w:widowControl w:val="false"/>
              <w:suppressAutoHyphens w:val="false"/>
              <w:spacing w:before="0" w:after="0"/>
              <w:rPr>
                <w:color w:themeColor="text1" w:val="000000"/>
                <w:sz w:val="22"/>
                <w:szCs w:val="22"/>
              </w:rPr>
            </w:pPr>
            <w:r>
              <w:rPr>
                <w:rFonts w:eastAsia="SimSun"/>
                <w:color w:themeColor="text1" w:val="000000"/>
                <w:sz w:val="22"/>
                <w:szCs w:val="22"/>
              </w:rPr>
              <w:t>прочих</w:t>
            </w:r>
          </w:p>
        </w:tc>
        <w:tc>
          <w:tcPr>
            <w:tcW w:w="406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622,81</w:t>
            </w:r>
          </w:p>
        </w:tc>
      </w:tr>
    </w:tbl>
    <w:p>
      <w:pPr>
        <w:pStyle w:val="Normal"/>
        <w:spacing w:before="80" w:after="0"/>
        <w:ind w:firstLine="709"/>
        <w:jc w:val="right"/>
        <w:rPr>
          <w:color w:themeColor="text1" w:val="000000"/>
        </w:rPr>
      </w:pPr>
      <w:r>
        <w:rPr>
          <w:color w:themeColor="text1" w:val="000000"/>
        </w:rPr>
      </w:r>
    </w:p>
    <w:p>
      <w:pPr>
        <w:pStyle w:val="Normal"/>
        <w:spacing w:before="80" w:after="0"/>
        <w:ind w:firstLine="709"/>
        <w:jc w:val="right"/>
        <w:rPr>
          <w:color w:themeColor="text1" w:val="000000"/>
        </w:rPr>
      </w:pPr>
      <w:r>
        <w:rPr>
          <w:color w:themeColor="text1" w:val="000000"/>
        </w:rPr>
        <w:t>Таблица 5.4.6.</w:t>
      </w:r>
    </w:p>
    <w:p>
      <w:pPr>
        <w:pStyle w:val="Normal"/>
        <w:spacing w:before="0" w:after="100"/>
        <w:jc w:val="center"/>
        <w:rPr>
          <w:color w:themeColor="text1" w:val="000000"/>
        </w:rPr>
      </w:pPr>
      <w:r>
        <w:rPr>
          <w:color w:themeColor="text1" w:val="000000"/>
        </w:rPr>
        <w:t xml:space="preserve">Распределение общей площади жилых помещений по годам возведения </w:t>
      </w:r>
    </w:p>
    <w:tbl>
      <w:tblPr>
        <w:tblStyle w:val="afffffffffffc"/>
        <w:tblW w:w="1042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149"/>
        <w:gridCol w:w="1249"/>
        <w:gridCol w:w="1560"/>
        <w:gridCol w:w="1702"/>
        <w:gridCol w:w="2127"/>
        <w:gridCol w:w="1637"/>
      </w:tblGrid>
      <w:tr>
        <w:trPr>
          <w:trHeight w:val="152" w:hRule="atLeast"/>
        </w:trPr>
        <w:tc>
          <w:tcPr>
            <w:tcW w:w="2149" w:type="dxa"/>
            <w:vMerge w:val="restart"/>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Общая площадь жилых</w:t>
            </w:r>
          </w:p>
          <w:p>
            <w:pPr>
              <w:pStyle w:val="Normal"/>
              <w:widowControl w:val="false"/>
              <w:spacing w:before="0" w:after="0"/>
              <w:jc w:val="center"/>
              <w:rPr>
                <w:b/>
                <w:color w:themeColor="text1" w:val="000000"/>
                <w:sz w:val="22"/>
                <w:szCs w:val="22"/>
              </w:rPr>
            </w:pPr>
            <w:r>
              <w:rPr>
                <w:rFonts w:eastAsia="SimSun"/>
                <w:b/>
                <w:color w:themeColor="text1" w:val="000000"/>
                <w:sz w:val="22"/>
                <w:szCs w:val="22"/>
              </w:rPr>
              <w:t>помещений - всего</w:t>
            </w:r>
          </w:p>
          <w:p>
            <w:pPr>
              <w:pStyle w:val="Normal"/>
              <w:widowControl w:val="false"/>
              <w:spacing w:before="0" w:after="0"/>
              <w:jc w:val="center"/>
              <w:rPr>
                <w:color w:themeColor="text1" w:val="000000"/>
                <w:sz w:val="22"/>
                <w:szCs w:val="22"/>
              </w:rPr>
            </w:pPr>
            <w:r>
              <w:rPr>
                <w:rFonts w:eastAsia="SimSun"/>
                <w:b/>
                <w:color w:themeColor="text1" w:val="000000"/>
                <w:sz w:val="22"/>
                <w:szCs w:val="22"/>
              </w:rPr>
              <w:t>тыс. м</w:t>
            </w:r>
            <w:r>
              <w:rPr>
                <w:rFonts w:eastAsia="SimSun"/>
                <w:b/>
                <w:color w:themeColor="text1" w:val="000000"/>
                <w:sz w:val="22"/>
                <w:szCs w:val="22"/>
                <w:vertAlign w:val="superscript"/>
              </w:rPr>
              <w:t>2</w:t>
            </w:r>
          </w:p>
        </w:tc>
        <w:tc>
          <w:tcPr>
            <w:tcW w:w="8275" w:type="dxa"/>
            <w:gridSpan w:val="5"/>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 том числе по годам возведения:</w:t>
            </w:r>
          </w:p>
        </w:tc>
      </w:tr>
      <w:tr>
        <w:trPr>
          <w:trHeight w:val="812" w:hRule="atLeast"/>
        </w:trPr>
        <w:tc>
          <w:tcPr>
            <w:tcW w:w="2149" w:type="dxa"/>
            <w:vMerge w:val="continue"/>
            <w:tcBorders/>
            <w:shd w:color="auto" w:fill="EDEDED" w:themeFill="accent3" w:themeFillTint="33" w:val="clear"/>
          </w:tcPr>
          <w:p>
            <w:pPr>
              <w:pStyle w:val="Normal"/>
              <w:widowControl w:val="false"/>
              <w:spacing w:before="0" w:after="0"/>
              <w:jc w:val="center"/>
              <w:rPr>
                <w:color w:themeColor="text1" w:val="000000"/>
                <w:sz w:val="22"/>
                <w:szCs w:val="22"/>
              </w:rPr>
            </w:pPr>
            <w:r>
              <w:rPr>
                <w:color w:themeColor="text1" w:val="000000"/>
                <w:sz w:val="22"/>
                <w:szCs w:val="22"/>
              </w:rPr>
            </w:r>
          </w:p>
        </w:tc>
        <w:tc>
          <w:tcPr>
            <w:tcW w:w="1249"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2"/>
                <w:szCs w:val="22"/>
                <w:lang w:eastAsia="ru-RU"/>
              </w:rPr>
            </w:pPr>
            <w:r>
              <w:rPr>
                <w:rFonts w:eastAsia="SimSun"/>
                <w:b/>
                <w:color w:themeColor="text1" w:val="000000"/>
                <w:sz w:val="22"/>
                <w:szCs w:val="22"/>
              </w:rPr>
              <w:t>до 1920 года</w:t>
            </w:r>
          </w:p>
        </w:tc>
        <w:tc>
          <w:tcPr>
            <w:tcW w:w="1560"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1921-1945 гг.</w:t>
            </w:r>
          </w:p>
        </w:tc>
        <w:tc>
          <w:tcPr>
            <w:tcW w:w="1702"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1946-1970 гг.</w:t>
            </w:r>
          </w:p>
        </w:tc>
        <w:tc>
          <w:tcPr>
            <w:tcW w:w="212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1971-1995г.г.</w:t>
            </w:r>
          </w:p>
        </w:tc>
        <w:tc>
          <w:tcPr>
            <w:tcW w:w="163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после 1995 года</w:t>
            </w:r>
          </w:p>
        </w:tc>
      </w:tr>
      <w:tr>
        <w:trPr>
          <w:trHeight w:val="175" w:hRule="atLeast"/>
        </w:trPr>
        <w:tc>
          <w:tcPr>
            <w:tcW w:w="2149"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9 912,17</w:t>
            </w:r>
          </w:p>
        </w:tc>
        <w:tc>
          <w:tcPr>
            <w:tcW w:w="1249"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44,50</w:t>
            </w:r>
          </w:p>
        </w:tc>
        <w:tc>
          <w:tcPr>
            <w:tcW w:w="1560"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199,90</w:t>
            </w:r>
          </w:p>
        </w:tc>
        <w:tc>
          <w:tcPr>
            <w:tcW w:w="1702"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747,40</w:t>
            </w:r>
          </w:p>
        </w:tc>
        <w:tc>
          <w:tcPr>
            <w:tcW w:w="212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4 336,46</w:t>
            </w:r>
          </w:p>
        </w:tc>
        <w:tc>
          <w:tcPr>
            <w:tcW w:w="163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4 583,91</w:t>
            </w:r>
          </w:p>
        </w:tc>
      </w:tr>
    </w:tbl>
    <w:p>
      <w:pPr>
        <w:pStyle w:val="Normal"/>
        <w:spacing w:before="80" w:after="0"/>
        <w:ind w:firstLine="709"/>
        <w:jc w:val="right"/>
        <w:rPr>
          <w:color w:themeColor="text1" w:val="000000"/>
        </w:rPr>
      </w:pPr>
      <w:r>
        <w:rPr>
          <w:color w:themeColor="text1" w:val="000000"/>
        </w:rPr>
      </w:r>
    </w:p>
    <w:p>
      <w:pPr>
        <w:pStyle w:val="Normal"/>
        <w:spacing w:before="80" w:after="0"/>
        <w:ind w:firstLine="709"/>
        <w:jc w:val="right"/>
        <w:rPr>
          <w:color w:themeColor="text1" w:val="000000"/>
        </w:rPr>
      </w:pPr>
      <w:r>
        <w:rPr>
          <w:color w:themeColor="text1" w:val="000000"/>
        </w:rPr>
        <w:t>Таблица 5.4.7.</w:t>
      </w:r>
    </w:p>
    <w:p>
      <w:pPr>
        <w:pStyle w:val="Normal"/>
        <w:spacing w:before="0" w:after="100"/>
        <w:jc w:val="center"/>
        <w:rPr>
          <w:color w:themeColor="text1" w:val="000000"/>
        </w:rPr>
      </w:pPr>
      <w:r>
        <w:rPr>
          <w:color w:themeColor="text1" w:val="000000"/>
        </w:rPr>
        <w:t xml:space="preserve">Распределение общей площади жилых помещений по годам возведения </w:t>
      </w:r>
    </w:p>
    <w:tbl>
      <w:tblPr>
        <w:tblStyle w:val="afffffffffffc"/>
        <w:tblW w:w="10452" w:type="dxa"/>
        <w:jc w:val="left"/>
        <w:tblInd w:w="-251" w:type="dxa"/>
        <w:tblLayout w:type="fixed"/>
        <w:tblCellMar>
          <w:top w:w="0" w:type="dxa"/>
          <w:left w:w="108" w:type="dxa"/>
          <w:bottom w:w="0" w:type="dxa"/>
          <w:right w:w="108" w:type="dxa"/>
        </w:tblCellMar>
        <w:tblLook w:firstRow="1" w:noVBand="1" w:lastRow="0" w:firstColumn="1" w:lastColumn="0" w:noHBand="0" w:val="04a0"/>
      </w:tblPr>
      <w:tblGrid>
        <w:gridCol w:w="2084"/>
        <w:gridCol w:w="1204"/>
        <w:gridCol w:w="1584"/>
        <w:gridCol w:w="1988"/>
        <w:gridCol w:w="1865"/>
        <w:gridCol w:w="1726"/>
      </w:tblGrid>
      <w:tr>
        <w:trPr>
          <w:trHeight w:val="152" w:hRule="atLeast"/>
        </w:trPr>
        <w:tc>
          <w:tcPr>
            <w:tcW w:w="2084" w:type="dxa"/>
            <w:vMerge w:val="restart"/>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Общая площадь жилых помещений - всего</w:t>
            </w:r>
          </w:p>
          <w:p>
            <w:pPr>
              <w:pStyle w:val="Normal"/>
              <w:widowControl w:val="false"/>
              <w:spacing w:before="0" w:after="0"/>
              <w:jc w:val="center"/>
              <w:rPr>
                <w:color w:themeColor="text1" w:val="000000"/>
                <w:sz w:val="22"/>
                <w:szCs w:val="22"/>
              </w:rPr>
            </w:pPr>
            <w:r>
              <w:rPr>
                <w:rFonts w:eastAsia="SimSun"/>
                <w:b/>
                <w:color w:themeColor="text1" w:val="000000"/>
                <w:sz w:val="22"/>
                <w:szCs w:val="22"/>
              </w:rPr>
              <w:t>тыс. м</w:t>
            </w:r>
            <w:r>
              <w:rPr>
                <w:rFonts w:eastAsia="SimSun"/>
                <w:b/>
                <w:color w:themeColor="text1" w:val="000000"/>
                <w:sz w:val="22"/>
                <w:szCs w:val="22"/>
                <w:vertAlign w:val="superscript"/>
              </w:rPr>
              <w:t>2</w:t>
            </w:r>
          </w:p>
        </w:tc>
        <w:tc>
          <w:tcPr>
            <w:tcW w:w="8367" w:type="dxa"/>
            <w:gridSpan w:val="5"/>
            <w:tcBorders/>
            <w:shd w:color="auto" w:fill="EDEDED" w:themeFill="accent3" w:themeFillTint="33" w:val="clear"/>
          </w:tcPr>
          <w:p>
            <w:pPr>
              <w:pStyle w:val="Normal"/>
              <w:widowControl w:val="false"/>
              <w:spacing w:before="0" w:after="0"/>
              <w:jc w:val="center"/>
              <w:rPr>
                <w:b/>
                <w:color w:themeColor="text1" w:val="000000"/>
                <w:sz w:val="22"/>
                <w:szCs w:val="22"/>
              </w:rPr>
            </w:pPr>
            <w:r>
              <w:rPr>
                <w:rFonts w:eastAsia="SimSun"/>
                <w:b/>
                <w:color w:themeColor="text1" w:val="000000"/>
                <w:sz w:val="22"/>
                <w:szCs w:val="22"/>
              </w:rPr>
              <w:t>в том числе по годам возведения:</w:t>
            </w:r>
          </w:p>
        </w:tc>
      </w:tr>
      <w:tr>
        <w:trPr/>
        <w:tc>
          <w:tcPr>
            <w:tcW w:w="2084" w:type="dxa"/>
            <w:vMerge w:val="continue"/>
            <w:tcBorders/>
            <w:shd w:color="auto" w:fill="EDEDED" w:themeFill="accent3" w:themeFillTint="33" w:val="clear"/>
          </w:tcPr>
          <w:p>
            <w:pPr>
              <w:pStyle w:val="Normal"/>
              <w:widowControl w:val="false"/>
              <w:spacing w:before="0" w:after="0"/>
              <w:jc w:val="center"/>
              <w:rPr>
                <w:color w:themeColor="text1" w:val="000000"/>
                <w:sz w:val="22"/>
                <w:szCs w:val="22"/>
              </w:rPr>
            </w:pPr>
            <w:r>
              <w:rPr>
                <w:color w:themeColor="text1" w:val="000000"/>
                <w:sz w:val="22"/>
                <w:szCs w:val="22"/>
              </w:rPr>
            </w:r>
          </w:p>
        </w:tc>
        <w:tc>
          <w:tcPr>
            <w:tcW w:w="1204" w:type="dxa"/>
            <w:tcBorders>
              <w:top w:val="nil"/>
              <w:left w:val="nil"/>
              <w:bottom w:val="single" w:sz="8" w:space="0" w:color="000000"/>
              <w:right w:val="single" w:sz="8" w:space="0" w:color="000000"/>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2"/>
                <w:szCs w:val="22"/>
                <w:lang w:eastAsia="ru-RU"/>
              </w:rPr>
            </w:pPr>
            <w:r>
              <w:rPr>
                <w:rFonts w:eastAsia="SimSun"/>
                <w:b/>
                <w:color w:themeColor="text1" w:val="000000"/>
                <w:sz w:val="22"/>
                <w:szCs w:val="22"/>
              </w:rPr>
              <w:t>до 1920 года</w:t>
            </w:r>
          </w:p>
        </w:tc>
        <w:tc>
          <w:tcPr>
            <w:tcW w:w="1584" w:type="dxa"/>
            <w:tcBorders>
              <w:top w:val="nil"/>
              <w:left w:val="nil"/>
              <w:bottom w:val="single" w:sz="8" w:space="0" w:color="000000"/>
              <w:right w:val="single" w:sz="8" w:space="0" w:color="000000"/>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1921-1945 гг.</w:t>
            </w:r>
          </w:p>
        </w:tc>
        <w:tc>
          <w:tcPr>
            <w:tcW w:w="1988" w:type="dxa"/>
            <w:tcBorders>
              <w:top w:val="nil"/>
              <w:left w:val="nil"/>
              <w:bottom w:val="single" w:sz="8" w:space="0" w:color="000000"/>
              <w:right w:val="single" w:sz="8" w:space="0" w:color="000000"/>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1946-1970 гг.</w:t>
            </w:r>
          </w:p>
        </w:tc>
        <w:tc>
          <w:tcPr>
            <w:tcW w:w="1865" w:type="dxa"/>
            <w:tcBorders>
              <w:top w:val="single" w:sz="8" w:space="0" w:color="000000"/>
              <w:left w:val="nil"/>
              <w:bottom w:val="single" w:sz="8" w:space="0" w:color="000000"/>
              <w:right w:val="single" w:sz="8" w:space="0" w:color="000000"/>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1971-1995г.г.</w:t>
            </w:r>
          </w:p>
        </w:tc>
        <w:tc>
          <w:tcPr>
            <w:tcW w:w="1726" w:type="dxa"/>
            <w:tcBorders>
              <w:top w:val="nil"/>
              <w:left w:val="nil"/>
              <w:bottom w:val="single" w:sz="8" w:space="0" w:color="000000"/>
              <w:right w:val="single" w:sz="8" w:space="0" w:color="000000"/>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после 1995 года</w:t>
            </w:r>
          </w:p>
        </w:tc>
      </w:tr>
      <w:tr>
        <w:trPr>
          <w:trHeight w:val="235" w:hRule="atLeast"/>
        </w:trPr>
        <w:tc>
          <w:tcPr>
            <w:tcW w:w="208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9 912,17</w:t>
            </w:r>
          </w:p>
        </w:tc>
        <w:tc>
          <w:tcPr>
            <w:tcW w:w="120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44,50</w:t>
            </w:r>
          </w:p>
        </w:tc>
        <w:tc>
          <w:tcPr>
            <w:tcW w:w="158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199,90</w:t>
            </w:r>
          </w:p>
        </w:tc>
        <w:tc>
          <w:tcPr>
            <w:tcW w:w="1988"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747,40</w:t>
            </w:r>
          </w:p>
        </w:tc>
        <w:tc>
          <w:tcPr>
            <w:tcW w:w="1865"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4 336,46</w:t>
            </w:r>
          </w:p>
        </w:tc>
        <w:tc>
          <w:tcPr>
            <w:tcW w:w="1726"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4 583,91</w:t>
            </w:r>
          </w:p>
        </w:tc>
      </w:tr>
    </w:tbl>
    <w:p>
      <w:pPr>
        <w:pStyle w:val="Normal"/>
        <w:spacing w:before="80" w:after="0"/>
        <w:ind w:firstLine="709"/>
        <w:jc w:val="right"/>
        <w:rPr>
          <w:color w:themeColor="text1" w:val="000000"/>
        </w:rPr>
      </w:pPr>
      <w:r>
        <w:rPr>
          <w:color w:themeColor="text1" w:val="000000"/>
        </w:rPr>
      </w:r>
    </w:p>
    <w:p>
      <w:pPr>
        <w:pStyle w:val="Normal"/>
        <w:spacing w:before="80" w:after="0"/>
        <w:ind w:firstLine="709"/>
        <w:jc w:val="right"/>
        <w:rPr>
          <w:color w:themeColor="text1" w:val="000000"/>
        </w:rPr>
      </w:pPr>
      <w:r>
        <w:rPr>
          <w:color w:themeColor="text1" w:val="000000"/>
        </w:rPr>
        <w:t>Таблица 5.4.8.</w:t>
      </w:r>
    </w:p>
    <w:p>
      <w:pPr>
        <w:pStyle w:val="Normal"/>
        <w:spacing w:before="0" w:after="100"/>
        <w:jc w:val="center"/>
        <w:rPr>
          <w:color w:themeColor="text1" w:val="000000"/>
        </w:rPr>
      </w:pPr>
      <w:r>
        <w:rPr>
          <w:color w:themeColor="text1" w:val="000000"/>
        </w:rPr>
        <w:t xml:space="preserve">Распределение общей площади жилых помещений в жилых домах по проценту износа </w:t>
      </w:r>
    </w:p>
    <w:tbl>
      <w:tblPr>
        <w:tblStyle w:val="afffffffffffc"/>
        <w:tblW w:w="10402" w:type="dxa"/>
        <w:jc w:val="left"/>
        <w:tblInd w:w="-202" w:type="dxa"/>
        <w:tblLayout w:type="fixed"/>
        <w:tblCellMar>
          <w:top w:w="0" w:type="dxa"/>
          <w:left w:w="108" w:type="dxa"/>
          <w:bottom w:w="0" w:type="dxa"/>
          <w:right w:w="108" w:type="dxa"/>
        </w:tblCellMar>
        <w:tblLook w:firstRow="1" w:noVBand="1" w:lastRow="0" w:firstColumn="1" w:lastColumn="0" w:noHBand="0" w:val="04a0"/>
      </w:tblPr>
      <w:tblGrid>
        <w:gridCol w:w="2314"/>
        <w:gridCol w:w="2697"/>
        <w:gridCol w:w="2687"/>
        <w:gridCol w:w="2703"/>
      </w:tblGrid>
      <w:tr>
        <w:trPr>
          <w:trHeight w:val="393" w:hRule="atLeast"/>
        </w:trPr>
        <w:tc>
          <w:tcPr>
            <w:tcW w:w="2314" w:type="dxa"/>
            <w:tcBorders/>
            <w:shd w:color="auto" w:fill="EDEDED" w:themeFill="accent3" w:themeFillTint="33" w:val="clear"/>
            <w:vAlign w:val="center"/>
          </w:tcPr>
          <w:p>
            <w:pPr>
              <w:pStyle w:val="Normal"/>
              <w:widowControl w:val="false"/>
              <w:suppressAutoHyphens w:val="false"/>
              <w:spacing w:before="0" w:after="0"/>
              <w:jc w:val="center"/>
              <w:rPr>
                <w:b/>
                <w:color w:themeColor="text1" w:val="000000"/>
                <w:sz w:val="20"/>
                <w:szCs w:val="20"/>
                <w:lang w:eastAsia="ru-RU"/>
              </w:rPr>
            </w:pPr>
            <w:r>
              <w:rPr>
                <w:rFonts w:eastAsia="SimSun"/>
                <w:b/>
                <w:color w:themeColor="text1" w:val="000000"/>
                <w:sz w:val="20"/>
                <w:szCs w:val="20"/>
              </w:rPr>
              <w:t>от 0 до 30%</w:t>
            </w:r>
          </w:p>
        </w:tc>
        <w:tc>
          <w:tcPr>
            <w:tcW w:w="2697" w:type="dxa"/>
            <w:tcBorders/>
            <w:shd w:color="auto" w:fill="EDEDED" w:themeFill="accent3" w:themeFillTint="33" w:val="clear"/>
            <w:vAlign w:val="center"/>
          </w:tcPr>
          <w:p>
            <w:pPr>
              <w:pStyle w:val="Normal"/>
              <w:widowControl w:val="false"/>
              <w:spacing w:before="0" w:after="0"/>
              <w:jc w:val="center"/>
              <w:rPr>
                <w:b/>
                <w:color w:themeColor="text1" w:val="000000"/>
                <w:sz w:val="20"/>
                <w:szCs w:val="20"/>
              </w:rPr>
            </w:pPr>
            <w:r>
              <w:rPr>
                <w:rFonts w:eastAsia="SimSun"/>
                <w:b/>
                <w:color w:themeColor="text1" w:val="000000"/>
                <w:sz w:val="20"/>
                <w:szCs w:val="20"/>
              </w:rPr>
              <w:t>от 31% до 65%</w:t>
            </w:r>
          </w:p>
        </w:tc>
        <w:tc>
          <w:tcPr>
            <w:tcW w:w="2687" w:type="dxa"/>
            <w:tcBorders/>
            <w:shd w:color="auto" w:fill="EDEDED" w:themeFill="accent3" w:themeFillTint="33" w:val="clear"/>
            <w:vAlign w:val="center"/>
          </w:tcPr>
          <w:p>
            <w:pPr>
              <w:pStyle w:val="Normal"/>
              <w:widowControl w:val="false"/>
              <w:spacing w:before="0" w:after="0"/>
              <w:jc w:val="center"/>
              <w:rPr>
                <w:b/>
                <w:color w:themeColor="text1" w:val="000000"/>
                <w:sz w:val="20"/>
                <w:szCs w:val="20"/>
              </w:rPr>
            </w:pPr>
            <w:r>
              <w:rPr>
                <w:rFonts w:eastAsia="SimSun"/>
                <w:b/>
                <w:color w:themeColor="text1" w:val="000000"/>
                <w:sz w:val="20"/>
                <w:szCs w:val="20"/>
              </w:rPr>
              <w:t>от 66% до 70%</w:t>
            </w:r>
          </w:p>
        </w:tc>
        <w:tc>
          <w:tcPr>
            <w:tcW w:w="2703" w:type="dxa"/>
            <w:tcBorders/>
            <w:shd w:color="auto" w:fill="EDEDED" w:themeFill="accent3" w:themeFillTint="33" w:val="clear"/>
            <w:vAlign w:val="center"/>
          </w:tcPr>
          <w:p>
            <w:pPr>
              <w:pStyle w:val="Normal"/>
              <w:widowControl w:val="false"/>
              <w:spacing w:before="0" w:after="0"/>
              <w:jc w:val="center"/>
              <w:rPr>
                <w:b/>
                <w:color w:themeColor="text1" w:val="000000"/>
                <w:sz w:val="20"/>
                <w:szCs w:val="20"/>
              </w:rPr>
            </w:pPr>
            <w:r>
              <w:rPr>
                <w:rFonts w:eastAsia="SimSun"/>
                <w:b/>
                <w:color w:themeColor="text1" w:val="000000"/>
                <w:sz w:val="20"/>
                <w:szCs w:val="20"/>
              </w:rPr>
              <w:t>Свыше 70%</w:t>
            </w:r>
          </w:p>
        </w:tc>
      </w:tr>
      <w:tr>
        <w:trPr>
          <w:trHeight w:val="279" w:hRule="atLeast"/>
        </w:trPr>
        <w:tc>
          <w:tcPr>
            <w:tcW w:w="10401" w:type="dxa"/>
            <w:gridSpan w:val="4"/>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b/>
                <w:color w:themeColor="text1" w:val="000000"/>
                <w:sz w:val="20"/>
                <w:szCs w:val="20"/>
              </w:rPr>
              <w:t xml:space="preserve">Индивидуально-определенных зданиях, </w:t>
            </w:r>
            <w:r>
              <w:rPr>
                <w:rFonts w:eastAsia="SimSun"/>
                <w:b/>
                <w:color w:themeColor="text1" w:val="000000"/>
                <w:sz w:val="22"/>
                <w:szCs w:val="22"/>
              </w:rPr>
              <w:t>тыс. м</w:t>
            </w:r>
            <w:r>
              <w:rPr>
                <w:rFonts w:eastAsia="SimSun"/>
                <w:b/>
                <w:color w:themeColor="text1" w:val="000000"/>
                <w:sz w:val="22"/>
                <w:szCs w:val="22"/>
                <w:vertAlign w:val="superscript"/>
              </w:rPr>
              <w:t>2</w:t>
            </w:r>
          </w:p>
        </w:tc>
      </w:tr>
      <w:tr>
        <w:trPr>
          <w:trHeight w:val="228" w:hRule="atLeast"/>
        </w:trPr>
        <w:tc>
          <w:tcPr>
            <w:tcW w:w="231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901,20</w:t>
            </w:r>
          </w:p>
        </w:tc>
        <w:tc>
          <w:tcPr>
            <w:tcW w:w="269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298,18</w:t>
            </w:r>
          </w:p>
        </w:tc>
        <w:tc>
          <w:tcPr>
            <w:tcW w:w="268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168,80</w:t>
            </w:r>
          </w:p>
        </w:tc>
        <w:tc>
          <w:tcPr>
            <w:tcW w:w="2703"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40,40</w:t>
            </w:r>
          </w:p>
        </w:tc>
      </w:tr>
      <w:tr>
        <w:trPr>
          <w:trHeight w:val="163" w:hRule="atLeast"/>
        </w:trPr>
        <w:tc>
          <w:tcPr>
            <w:tcW w:w="10401" w:type="dxa"/>
            <w:gridSpan w:val="4"/>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b/>
                <w:color w:themeColor="text1" w:val="000000"/>
                <w:sz w:val="20"/>
                <w:szCs w:val="20"/>
              </w:rPr>
              <w:t xml:space="preserve">Многоквартирных домах, </w:t>
            </w:r>
            <w:r>
              <w:rPr>
                <w:rFonts w:eastAsia="SimSun"/>
                <w:b/>
                <w:color w:themeColor="text1" w:val="000000"/>
                <w:sz w:val="22"/>
                <w:szCs w:val="22"/>
              </w:rPr>
              <w:t>тыс. м</w:t>
            </w:r>
            <w:r>
              <w:rPr>
                <w:rFonts w:eastAsia="SimSun"/>
                <w:b/>
                <w:color w:themeColor="text1" w:val="000000"/>
                <w:sz w:val="22"/>
                <w:szCs w:val="22"/>
                <w:vertAlign w:val="superscript"/>
              </w:rPr>
              <w:t>2</w:t>
            </w:r>
          </w:p>
        </w:tc>
      </w:tr>
      <w:tr>
        <w:trPr>
          <w:trHeight w:val="102" w:hRule="atLeast"/>
        </w:trPr>
        <w:tc>
          <w:tcPr>
            <w:tcW w:w="231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5 343,55</w:t>
            </w:r>
          </w:p>
        </w:tc>
        <w:tc>
          <w:tcPr>
            <w:tcW w:w="269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2 172,60</w:t>
            </w:r>
          </w:p>
        </w:tc>
        <w:tc>
          <w:tcPr>
            <w:tcW w:w="268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304,90</w:t>
            </w:r>
          </w:p>
        </w:tc>
        <w:tc>
          <w:tcPr>
            <w:tcW w:w="2703"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565,90</w:t>
            </w:r>
          </w:p>
        </w:tc>
      </w:tr>
      <w:tr>
        <w:trPr>
          <w:trHeight w:val="224" w:hRule="atLeast"/>
        </w:trPr>
        <w:tc>
          <w:tcPr>
            <w:tcW w:w="10401" w:type="dxa"/>
            <w:gridSpan w:val="4"/>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b/>
                <w:color w:themeColor="text1" w:val="000000"/>
                <w:sz w:val="20"/>
                <w:szCs w:val="20"/>
              </w:rPr>
              <w:t xml:space="preserve">Индивидуально-определенных зданиях, </w:t>
            </w:r>
            <w:r>
              <w:rPr>
                <w:rFonts w:eastAsia="SimSun"/>
                <w:b/>
                <w:color w:themeColor="text1" w:val="000000"/>
                <w:sz w:val="22"/>
                <w:szCs w:val="22"/>
              </w:rPr>
              <w:t>единиц</w:t>
            </w:r>
          </w:p>
        </w:tc>
      </w:tr>
      <w:tr>
        <w:trPr>
          <w:trHeight w:val="225" w:hRule="atLeast"/>
        </w:trPr>
        <w:tc>
          <w:tcPr>
            <w:tcW w:w="231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9 645</w:t>
            </w:r>
          </w:p>
        </w:tc>
        <w:tc>
          <w:tcPr>
            <w:tcW w:w="269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5 119</w:t>
            </w:r>
          </w:p>
        </w:tc>
        <w:tc>
          <w:tcPr>
            <w:tcW w:w="268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2 546</w:t>
            </w:r>
          </w:p>
        </w:tc>
        <w:tc>
          <w:tcPr>
            <w:tcW w:w="2703"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1 082</w:t>
            </w:r>
          </w:p>
        </w:tc>
      </w:tr>
      <w:tr>
        <w:trPr>
          <w:trHeight w:val="136" w:hRule="atLeast"/>
        </w:trPr>
        <w:tc>
          <w:tcPr>
            <w:tcW w:w="10401" w:type="dxa"/>
            <w:gridSpan w:val="4"/>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b/>
                <w:color w:themeColor="text1" w:val="000000"/>
                <w:sz w:val="20"/>
                <w:szCs w:val="20"/>
              </w:rPr>
              <w:t xml:space="preserve">Многоквартирных домах, </w:t>
            </w:r>
            <w:r>
              <w:rPr>
                <w:rFonts w:eastAsia="SimSun"/>
                <w:b/>
                <w:color w:themeColor="text1" w:val="000000"/>
                <w:sz w:val="22"/>
                <w:szCs w:val="22"/>
              </w:rPr>
              <w:t>единиц</w:t>
            </w:r>
          </w:p>
        </w:tc>
      </w:tr>
      <w:tr>
        <w:trPr>
          <w:trHeight w:val="241" w:hRule="atLeast"/>
        </w:trPr>
        <w:tc>
          <w:tcPr>
            <w:tcW w:w="2314"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1 961</w:t>
            </w:r>
          </w:p>
        </w:tc>
        <w:tc>
          <w:tcPr>
            <w:tcW w:w="269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1 295</w:t>
            </w:r>
          </w:p>
        </w:tc>
        <w:tc>
          <w:tcPr>
            <w:tcW w:w="2687"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229</w:t>
            </w:r>
          </w:p>
        </w:tc>
        <w:tc>
          <w:tcPr>
            <w:tcW w:w="2703" w:type="dxa"/>
            <w:tcBorders/>
            <w:shd w:fill="auto" w:val="clear"/>
            <w:vAlign w:val="center"/>
          </w:tcPr>
          <w:p>
            <w:pPr>
              <w:pStyle w:val="Normal"/>
              <w:widowControl w:val="false"/>
              <w:suppressAutoHyphens w:val="false"/>
              <w:spacing w:before="0" w:after="0"/>
              <w:jc w:val="center"/>
              <w:rPr>
                <w:color w:themeColor="text1" w:val="000000"/>
                <w:sz w:val="22"/>
                <w:szCs w:val="22"/>
              </w:rPr>
            </w:pPr>
            <w:r>
              <w:rPr>
                <w:rFonts w:eastAsia="SimSun"/>
                <w:color w:themeColor="text1" w:val="000000"/>
                <w:sz w:val="22"/>
                <w:szCs w:val="22"/>
              </w:rPr>
              <w:t>181</w:t>
            </w:r>
          </w:p>
        </w:tc>
      </w:tr>
    </w:tbl>
    <w:p>
      <w:pPr>
        <w:pStyle w:val="Normal"/>
        <w:ind w:firstLine="397"/>
        <w:jc w:val="both"/>
        <w:rPr>
          <w:color w:themeColor="text1" w:val="000000"/>
        </w:rPr>
      </w:pPr>
      <w:r>
        <w:rPr>
          <w:color w:themeColor="text1" w:val="000000"/>
        </w:rPr>
      </w:r>
    </w:p>
    <w:p>
      <w:pPr>
        <w:pStyle w:val="Normal"/>
        <w:ind w:firstLine="709"/>
        <w:jc w:val="both"/>
        <w:rPr>
          <w:color w:themeColor="text1" w:val="000000"/>
        </w:rPr>
      </w:pPr>
      <w:r>
        <w:rPr>
          <w:color w:themeColor="text1" w:val="000000"/>
        </w:rPr>
        <w:t>В 2021 г. признаны аварийными 11 многоквартирных домов (из них 6 подлежат сносу, 5 - реконструкции). Общая площадь аварийного жилищного фонда (подлежащего расселения) по состоянию на 10.01.2022: 68,7 тыс. кв.м. Число проживающих в многоквартирных домах, признанных аварийными (подлежащих расселению) составляет 4311 чел.</w:t>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Heading2"/>
        <w:numPr>
          <w:ilvl w:val="1"/>
          <w:numId w:val="2"/>
        </w:numPr>
        <w:spacing w:before="0" w:after="0"/>
        <w:ind w:firstLine="709" w:left="0"/>
        <w:rPr>
          <w:rFonts w:cs="Symbol"/>
          <w:color w:themeColor="text1" w:val="000000"/>
        </w:rPr>
      </w:pPr>
      <w:bookmarkStart w:id="33" w:name="_Toc217312453"/>
      <w:r>
        <w:rPr>
          <w:rFonts w:cs="Symbol"/>
          <w:color w:themeColor="text1" w:val="000000"/>
        </w:rPr>
        <w:t>6. Транспортная инфраструктура</w:t>
      </w:r>
      <w:bookmarkEnd w:id="33"/>
    </w:p>
    <w:p>
      <w:pPr>
        <w:pStyle w:val="Heading3"/>
        <w:numPr>
          <w:ilvl w:val="2"/>
          <w:numId w:val="2"/>
        </w:numPr>
        <w:spacing w:before="100" w:after="100"/>
        <w:ind w:firstLine="709" w:left="0"/>
        <w:rPr>
          <w:rFonts w:eastAsia="Symbol" w:cs="Symbol"/>
          <w:color w:themeColor="text1" w:val="000000"/>
        </w:rPr>
      </w:pPr>
      <w:bookmarkStart w:id="34" w:name="_Toc217312454"/>
      <w:r>
        <w:rPr>
          <w:rFonts w:eastAsia="Symbol" w:cs="Symbol"/>
          <w:color w:themeColor="text1" w:val="000000"/>
        </w:rPr>
        <w:t>6.1. Внешний транспорт</w:t>
      </w:r>
      <w:bookmarkEnd w:id="34"/>
    </w:p>
    <w:p>
      <w:pPr>
        <w:pStyle w:val="Normal"/>
        <w:ind w:firstLine="709"/>
        <w:jc w:val="both"/>
        <w:rPr>
          <w:color w:themeColor="text1" w:val="000000"/>
        </w:rPr>
      </w:pPr>
      <w:r>
        <w:rPr>
          <w:color w:themeColor="text1" w:val="000000"/>
        </w:rPr>
        <w:t>Калуга является важным транспортным центром Центрального федерального округа России, находится на пересечении международных и внутренних транспортных маршрутов. Это обуславливает большой транспортный потенциал. Внешние транспортно-экономические связи городского округа осуществляются железнодорожным, автомобильным, воздушным и водным транспортом.</w:t>
      </w:r>
    </w:p>
    <w:p>
      <w:pPr>
        <w:pStyle w:val="Normal"/>
        <w:ind w:firstLine="709"/>
        <w:jc w:val="both"/>
        <w:rPr>
          <w:color w:themeColor="text1" w:val="000000"/>
        </w:rPr>
      </w:pPr>
      <w:r>
        <w:rPr>
          <w:color w:themeColor="text1" w:val="000000"/>
        </w:rPr>
        <w:t>По территории городского округа проходят две основные железнодорожные магистрали по направлению:</w:t>
      </w:r>
    </w:p>
    <w:p>
      <w:pPr>
        <w:pStyle w:val="Normal"/>
        <w:ind w:firstLine="709"/>
        <w:jc w:val="both"/>
        <w:rPr>
          <w:color w:themeColor="text1" w:val="000000"/>
        </w:rPr>
      </w:pPr>
      <w:r>
        <w:rPr>
          <w:color w:themeColor="text1" w:val="000000"/>
        </w:rPr>
        <w:t>- Москва – Киев (Москва – Тихонова Пустынь – Горенская – Калуга II – Сухиничи – Брянск);</w:t>
      </w:r>
    </w:p>
    <w:p>
      <w:pPr>
        <w:pStyle w:val="Normal"/>
        <w:ind w:firstLine="709"/>
        <w:jc w:val="both"/>
        <w:rPr>
          <w:color w:themeColor="text1" w:val="000000"/>
        </w:rPr>
      </w:pPr>
      <w:r>
        <w:rPr>
          <w:color w:themeColor="text1" w:val="000000"/>
        </w:rPr>
        <w:t>- Вязьма – Калуга – Тула (Вязьма – Муратовка – Азарово – Калуга I – Перспективная – Ферзиково – Алексин – Плеханово – Тула).</w:t>
      </w:r>
    </w:p>
    <w:p>
      <w:pPr>
        <w:pStyle w:val="Normal"/>
        <w:ind w:firstLine="709"/>
        <w:jc w:val="both"/>
        <w:rPr>
          <w:color w:themeColor="text1" w:val="000000"/>
        </w:rPr>
      </w:pPr>
      <w:r>
        <w:rPr>
          <w:color w:themeColor="text1" w:val="000000"/>
        </w:rPr>
        <w:t xml:space="preserve">По территории городского округа проходят автомобильные дороги федерального значения: </w:t>
      </w:r>
    </w:p>
    <w:p>
      <w:pPr>
        <w:pStyle w:val="Normal"/>
        <w:ind w:firstLine="709"/>
        <w:jc w:val="both"/>
        <w:rPr>
          <w:color w:themeColor="text1" w:val="000000"/>
        </w:rPr>
      </w:pPr>
      <w:r>
        <w:rPr>
          <w:color w:themeColor="text1" w:val="000000"/>
        </w:rPr>
        <w:t>С северо-запада от города проходит автомобильная дорога федерального значения М</w:t>
        <w:noBreakHyphen/>
        <w:t>3 «Украина» (Москва – Калуга – Брянск – граница с Украиной) (с подъездом к городу Калуге), являющаяся основным автомобильным маршрутом Панъевропейского транспортного коридора № 9.</w:t>
      </w:r>
    </w:p>
    <w:p>
      <w:pPr>
        <w:pStyle w:val="Normal"/>
        <w:ind w:firstLine="709"/>
        <w:jc w:val="both"/>
        <w:rPr>
          <w:color w:themeColor="text1" w:val="000000"/>
        </w:rPr>
      </w:pPr>
      <w:r>
        <w:rPr>
          <w:color w:themeColor="text1" w:val="000000"/>
        </w:rPr>
        <w:t xml:space="preserve">На территории городского округа развита сеть автомобильных дорог регионального и межмуниципального значения, а также местного значения. </w:t>
      </w:r>
    </w:p>
    <w:p>
      <w:pPr>
        <w:pStyle w:val="Normal"/>
        <w:ind w:firstLine="709"/>
        <w:jc w:val="both"/>
        <w:rPr>
          <w:color w:themeColor="text1" w:val="000000"/>
        </w:rPr>
      </w:pPr>
      <w:r>
        <w:rPr>
          <w:color w:themeColor="text1" w:val="000000"/>
        </w:rPr>
        <w:t xml:space="preserve">В восточной части города, в районе индустриального парка «Грабцево» располагается международный аэропорт «Калуга» имени К.Э. Циолковского. </w:t>
      </w:r>
    </w:p>
    <w:p>
      <w:pPr>
        <w:pStyle w:val="Normal"/>
        <w:ind w:firstLine="709"/>
        <w:jc w:val="both"/>
        <w:rPr>
          <w:color w:themeColor="text1" w:val="000000"/>
        </w:rPr>
      </w:pPr>
      <w:r>
        <w:rPr>
          <w:color w:themeColor="text1" w:val="000000"/>
        </w:rPr>
        <w:t>Река Ока, протекающая через городской округ, является судоходной, хотя использование водного транспорта развито слабо, в основном в рамках пассажирских перевозок.</w:t>
      </w:r>
    </w:p>
    <w:p>
      <w:pPr>
        <w:pStyle w:val="Normal"/>
        <w:spacing w:before="60" w:after="60"/>
        <w:ind w:firstLine="709"/>
        <w:jc w:val="both"/>
        <w:rPr>
          <w:b/>
          <w:bCs/>
          <w:color w:themeColor="text1" w:val="000000"/>
        </w:rPr>
      </w:pPr>
      <w:r>
        <w:rPr>
          <w:b/>
          <w:bCs/>
          <w:color w:themeColor="text1" w:val="000000"/>
        </w:rPr>
        <w:t>Железнодорожный транспорт</w:t>
      </w:r>
    </w:p>
    <w:p>
      <w:pPr>
        <w:pStyle w:val="Normal"/>
        <w:ind w:firstLine="709"/>
        <w:jc w:val="both"/>
        <w:rPr>
          <w:color w:themeColor="text1" w:val="000000"/>
        </w:rPr>
      </w:pPr>
      <w:r>
        <w:rPr>
          <w:color w:themeColor="text1" w:val="000000"/>
        </w:rPr>
        <w:t xml:space="preserve">В границах городского округа проходят железнодорожные участки общего пользования Московской железной дороги – филиала ОАО «РЖД»: </w:t>
      </w:r>
    </w:p>
    <w:p>
      <w:pPr>
        <w:pStyle w:val="Normal"/>
        <w:ind w:firstLine="709"/>
        <w:jc w:val="both"/>
        <w:rPr>
          <w:color w:themeColor="text1" w:val="000000"/>
        </w:rPr>
      </w:pPr>
      <w:r>
        <w:rPr>
          <w:color w:themeColor="text1" w:val="000000"/>
        </w:rPr>
        <w:t xml:space="preserve">- двухпутные электрифицированные участки Малоярославец – Тихонова Пустынь (перегон Суходрев (искл.) – Тихонова Пустынь), Тихонова Пустынь – Муратовка (перегон Тихонова Пустынь – Муратовка), Тихонова Пустынь – Сухиничи-Главные (перегоны Тихонова Пустынь – Горенская, Горенская – Калуга II, Калуга II – Воротынск (искл.),     Калуга I – Муратовка (перегоны Калуга I – Азарово, Азарово – Муратовка); </w:t>
      </w:r>
    </w:p>
    <w:p>
      <w:pPr>
        <w:pStyle w:val="Normal"/>
        <w:ind w:firstLine="709"/>
        <w:jc w:val="both"/>
        <w:rPr>
          <w:color w:themeColor="text1" w:val="000000"/>
        </w:rPr>
      </w:pPr>
      <w:r>
        <w:rPr>
          <w:color w:themeColor="text1" w:val="000000"/>
        </w:rPr>
        <w:t xml:space="preserve">- однопутный электрифицированный участок Муратовка – Горенская (перегон Муратовка – Горенская); </w:t>
      </w:r>
    </w:p>
    <w:p>
      <w:pPr>
        <w:pStyle w:val="Normal"/>
        <w:ind w:firstLine="709"/>
        <w:jc w:val="both"/>
        <w:rPr>
          <w:color w:themeColor="text1" w:val="000000"/>
        </w:rPr>
      </w:pPr>
      <w:r>
        <w:rPr>
          <w:color w:themeColor="text1" w:val="000000"/>
        </w:rPr>
        <w:t xml:space="preserve">- однопутные неэлектрифицированные участки Муратовка – Копытцево (перегон Муратовка – Копытцево (искл.), Ферзиково – Перспективная (перегон Ферзиково – Перспективная), Перспективная – Калуга I (перегон Перспективная – Калуга I). </w:t>
      </w:r>
    </w:p>
    <w:p>
      <w:pPr>
        <w:pStyle w:val="Normal"/>
        <w:ind w:firstLine="709"/>
        <w:jc w:val="both"/>
        <w:rPr>
          <w:color w:themeColor="text1" w:val="000000"/>
        </w:rPr>
      </w:pPr>
      <w:r>
        <w:rPr>
          <w:color w:themeColor="text1" w:val="000000"/>
        </w:rPr>
        <w:t xml:space="preserve">На территории городского округа расположены железнодорожные станции Тихонова Пустынь, Калуга I, Перспективная, Горенская, Муратовка, Калуга-Сергиев Скит (бывш. Калуга </w:t>
      </w:r>
      <w:r>
        <w:rPr>
          <w:color w:themeColor="text1" w:val="000000"/>
          <w:lang w:val="en-US"/>
        </w:rPr>
        <w:t>II</w:t>
      </w:r>
      <w:r>
        <w:rPr>
          <w:color w:themeColor="text1" w:val="000000"/>
        </w:rPr>
        <w:t>), Азарово (на станциях Тихонова Пустынь, Калуга I, Сергиев Скит находятся железнодорожные вокзалы), а также остановочные пункты 167 км, 188 км, 147 км, 148 км,   154 км (Садовая), 168 км, 174 км.</w:t>
      </w:r>
    </w:p>
    <w:p>
      <w:pPr>
        <w:pStyle w:val="Normal"/>
        <w:spacing w:before="60" w:after="60"/>
        <w:ind w:firstLine="709"/>
        <w:jc w:val="both"/>
        <w:rPr>
          <w:b/>
          <w:bCs/>
          <w:color w:themeColor="text1" w:val="000000"/>
        </w:rPr>
      </w:pPr>
      <w:r>
        <w:rPr>
          <w:b/>
          <w:bCs/>
          <w:color w:themeColor="text1" w:val="000000"/>
        </w:rPr>
        <w:t>Автомобильные дороги и транспорт</w:t>
      </w:r>
    </w:p>
    <w:p>
      <w:pPr>
        <w:pStyle w:val="Normal"/>
        <w:ind w:firstLine="709"/>
        <w:jc w:val="both"/>
        <w:rPr>
          <w:color w:themeColor="text1" w:val="000000"/>
        </w:rPr>
      </w:pPr>
      <w:r>
        <w:rPr>
          <w:color w:themeColor="text1" w:val="000000"/>
        </w:rPr>
        <w:t>Территория городского округа располагается в зоне влияния Панъевропейского транспортного коридора № 9, входящего в международный транспортный коридор «Север – Юг». Данный коридор представлен автомобильной дорогой федерального значения М</w:t>
        <w:noBreakHyphen/>
        <w:t>3 «Украина» Москва – Калуга – Брянск – граница с Украиной.</w:t>
      </w:r>
    </w:p>
    <w:p>
      <w:pPr>
        <w:pStyle w:val="Style70"/>
        <w:rPr>
          <w:color w:themeColor="text1" w:val="000000"/>
        </w:rPr>
      </w:pPr>
      <w:r>
        <w:rPr>
          <w:color w:themeColor="text1" w:val="000000"/>
        </w:rPr>
        <w:t>С южной стороны к городу подходят две автомобильные дороги федерального значения, обеспечивающие межрегиональные транспортные связи с соседними субъектами Российской Федерации:</w:t>
      </w:r>
    </w:p>
    <w:p>
      <w:pPr>
        <w:pStyle w:val="Normal"/>
        <w:ind w:firstLine="567"/>
        <w:jc w:val="both"/>
        <w:rPr>
          <w:color w:themeColor="text1" w:val="000000"/>
        </w:rPr>
      </w:pPr>
      <w:r>
        <w:rPr>
          <w:color w:themeColor="text1" w:val="000000"/>
        </w:rPr>
        <w:t>- Р</w:t>
        <w:noBreakHyphen/>
        <w:t>92 Калуга – Перемышль – Белев – Орел;</w:t>
      </w:r>
    </w:p>
    <w:p>
      <w:pPr>
        <w:pStyle w:val="Normal"/>
        <w:ind w:firstLine="567"/>
        <w:jc w:val="both"/>
        <w:rPr>
          <w:color w:themeColor="text1" w:val="000000"/>
        </w:rPr>
      </w:pPr>
      <w:r>
        <w:rPr>
          <w:color w:themeColor="text1" w:val="000000"/>
        </w:rPr>
        <w:t>- Р-132 «Золотое кольцо» Ярославль - Кострома - Иваново - Владимир - Гусь-Хрустальный - Рязань - Михайлов - Тула - Калуга - Вязьма - Ржев - Тверь - Углич – Ярославль.</w:t>
      </w:r>
    </w:p>
    <w:p>
      <w:pPr>
        <w:pStyle w:val="Normal"/>
        <w:ind w:firstLine="567"/>
        <w:jc w:val="both"/>
        <w:rPr>
          <w:color w:themeColor="text1" w:val="000000"/>
        </w:rPr>
      </w:pPr>
      <w:r>
        <w:rPr>
          <w:color w:themeColor="text1" w:val="000000"/>
        </w:rPr>
        <w:t xml:space="preserve">Категории и участки прохождения автомобильных дорог общего пользования федерального значения, проходящих по территории городского округа: </w:t>
      </w:r>
    </w:p>
    <w:p>
      <w:pPr>
        <w:pStyle w:val="Normal"/>
        <w:ind w:firstLine="567"/>
        <w:jc w:val="both"/>
        <w:rPr>
          <w:color w:themeColor="text1" w:val="000000"/>
        </w:rPr>
      </w:pPr>
      <w:r>
        <w:rPr>
          <w:color w:themeColor="text1" w:val="000000"/>
        </w:rPr>
        <w:t xml:space="preserve">- М-3 «Украина» категория – IБ, участок прохождения – км 3+177 – км 14+960; </w:t>
      </w:r>
    </w:p>
    <w:p>
      <w:pPr>
        <w:pStyle w:val="Normal"/>
        <w:ind w:firstLine="567"/>
        <w:jc w:val="both"/>
        <w:rPr>
          <w:color w:themeColor="text1" w:val="000000"/>
        </w:rPr>
      </w:pPr>
      <w:r>
        <w:rPr>
          <w:color w:themeColor="text1" w:val="000000"/>
        </w:rPr>
        <w:t>- Р-132 «Золотое кольцо» категория – IБ, участок прохождения – км 806+621 – км 808+472;</w:t>
      </w:r>
    </w:p>
    <w:p>
      <w:pPr>
        <w:pStyle w:val="Normal"/>
        <w:ind w:firstLine="567"/>
        <w:jc w:val="both"/>
        <w:rPr>
          <w:color w:themeColor="text1" w:val="000000"/>
        </w:rPr>
      </w:pPr>
      <w:r>
        <w:rPr>
          <w:color w:themeColor="text1" w:val="000000"/>
        </w:rPr>
        <w:t>- Р-92 категории – IБ, II, участки прохождения – км 8+414 – км 11+948, км 13+300 – км 19+430</w:t>
      </w:r>
    </w:p>
    <w:p>
      <w:pPr>
        <w:pStyle w:val="Normal"/>
        <w:ind w:firstLine="567"/>
        <w:jc w:val="both"/>
        <w:rPr>
          <w:color w:themeColor="text1" w:val="000000"/>
        </w:rPr>
      </w:pPr>
      <w:r>
        <w:rPr>
          <w:color w:themeColor="text1" w:val="000000"/>
        </w:rPr>
        <w:t>Сведения об автомобильных дорогах и их характеристика приведены в таблице 6.1.1</w:t>
      </w:r>
    </w:p>
    <w:p>
      <w:pPr>
        <w:pStyle w:val="Style78"/>
        <w:rPr>
          <w:color w:themeColor="text1" w:val="000000"/>
        </w:rPr>
      </w:pPr>
      <w:r>
        <w:rPr>
          <w:color w:themeColor="text1" w:val="000000"/>
        </w:rPr>
      </w:r>
    </w:p>
    <w:p>
      <w:pPr>
        <w:pStyle w:val="Style78"/>
        <w:rPr>
          <w:color w:themeColor="text1" w:val="000000"/>
        </w:rPr>
      </w:pPr>
      <w:r>
        <w:rPr>
          <w:color w:themeColor="text1" w:val="000000"/>
        </w:rPr>
        <w:t>Таблица 6.1.1</w:t>
      </w:r>
    </w:p>
    <w:p>
      <w:pPr>
        <w:pStyle w:val="Normal"/>
        <w:jc w:val="center"/>
        <w:rPr>
          <w:color w:themeColor="text1" w:val="000000"/>
        </w:rPr>
      </w:pPr>
      <w:r>
        <w:rPr>
          <w:color w:themeColor="text1" w:val="000000"/>
        </w:rPr>
        <w:t xml:space="preserve">Характеристика автомобильных дорог, </w:t>
      </w:r>
    </w:p>
    <w:p>
      <w:pPr>
        <w:pStyle w:val="Normal"/>
        <w:jc w:val="center"/>
        <w:rPr>
          <w:color w:themeColor="text1" w:val="000000"/>
        </w:rPr>
      </w:pPr>
      <w:r>
        <w:rPr>
          <w:color w:themeColor="text1" w:val="000000"/>
        </w:rPr>
        <w:t>проходящих по территории городского округа</w:t>
      </w:r>
    </w:p>
    <w:tbl>
      <w:tblPr>
        <w:tblW w:w="10070"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563"/>
        <w:gridCol w:w="4869"/>
        <w:gridCol w:w="2657"/>
        <w:gridCol w:w="1980"/>
      </w:tblGrid>
      <w:tr>
        <w:trPr>
          <w:tblHeader w:val="true"/>
          <w:trHeight w:val="23" w:hRule="atLeast"/>
        </w:trPr>
        <w:tc>
          <w:tcPr>
            <w:tcW w:w="563"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rPr>
            </w:pPr>
            <w:r>
              <w:rPr>
                <w:b/>
                <w:color w:themeColor="text1" w:val="000000"/>
                <w:sz w:val="22"/>
                <w:szCs w:val="22"/>
              </w:rPr>
              <w:t xml:space="preserve">№ </w:t>
            </w:r>
            <w:r>
              <w:rPr>
                <w:b/>
                <w:color w:themeColor="text1" w:val="000000"/>
                <w:sz w:val="22"/>
                <w:szCs w:val="22"/>
              </w:rPr>
              <w:t>п/п</w:t>
            </w:r>
          </w:p>
        </w:tc>
        <w:tc>
          <w:tcPr>
            <w:tcW w:w="486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spacing w:before="0" w:after="0"/>
              <w:contextualSpacing/>
              <w:rPr>
                <w:b/>
                <w:color w:themeColor="text1" w:val="000000"/>
              </w:rPr>
            </w:pPr>
            <w:r>
              <w:rPr>
                <w:b/>
                <w:color w:themeColor="text1" w:val="000000"/>
              </w:rPr>
              <w:t>Наименование</w:t>
            </w:r>
          </w:p>
        </w:tc>
        <w:tc>
          <w:tcPr>
            <w:tcW w:w="265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spacing w:before="0" w:after="0"/>
              <w:contextualSpacing/>
              <w:rPr>
                <w:b/>
                <w:color w:themeColor="text1" w:val="000000"/>
              </w:rPr>
            </w:pPr>
            <w:r>
              <w:rPr>
                <w:b/>
                <w:color w:themeColor="text1" w:val="000000"/>
              </w:rPr>
              <w:t>Идентификационный</w:t>
              <w:br/>
              <w:t>номер</w:t>
            </w:r>
          </w:p>
        </w:tc>
        <w:tc>
          <w:tcPr>
            <w:tcW w:w="198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spacing w:before="0" w:after="0"/>
              <w:contextualSpacing/>
              <w:rPr>
                <w:b/>
                <w:color w:themeColor="text1" w:val="000000"/>
              </w:rPr>
            </w:pPr>
            <w:r>
              <w:rPr>
                <w:b/>
                <w:color w:themeColor="text1" w:val="000000"/>
              </w:rPr>
              <w:t>Категория</w:t>
            </w:r>
          </w:p>
        </w:tc>
      </w:tr>
      <w:tr>
        <w:trPr>
          <w:trHeight w:val="23" w:hRule="atLeast"/>
        </w:trPr>
        <w:tc>
          <w:tcPr>
            <w:tcW w:w="1006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color w:themeColor="text1" w:val="000000"/>
              </w:rPr>
            </w:pPr>
            <w:r>
              <w:rPr>
                <w:b/>
                <w:color w:themeColor="text1" w:val="000000"/>
                <w:sz w:val="22"/>
                <w:szCs w:val="22"/>
              </w:rPr>
              <w:t>Федерального значения</w:t>
            </w:r>
          </w:p>
        </w:tc>
      </w:tr>
      <w:tr>
        <w:trPr>
          <w:trHeight w:val="23" w:hRule="atLeast"/>
          <w:cantSplit w:val="true"/>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1</w:t>
            </w:r>
          </w:p>
        </w:tc>
        <w:tc>
          <w:tcPr>
            <w:tcW w:w="4869" w:type="dxa"/>
            <w:tcBorders>
              <w:top w:val="single" w:sz="4" w:space="0" w:color="000000"/>
              <w:left w:val="single" w:sz="4" w:space="0" w:color="000000"/>
              <w:bottom w:val="single" w:sz="4" w:space="0" w:color="000000"/>
            </w:tcBorders>
            <w:shd w:color="auto" w:fill="auto" w:val="clear"/>
          </w:tcPr>
          <w:p>
            <w:pPr>
              <w:pStyle w:val="1112"/>
              <w:widowControl w:val="false"/>
              <w:spacing w:before="0" w:after="0"/>
              <w:contextualSpacing/>
              <w:jc w:val="left"/>
              <w:rPr>
                <w:color w:themeColor="text1" w:val="000000"/>
              </w:rPr>
            </w:pPr>
            <w:r>
              <w:rPr>
                <w:color w:themeColor="text1" w:val="000000"/>
              </w:rPr>
              <w:t>М</w:t>
              <w:noBreakHyphen/>
              <w:t>3 «Украина» Москва – Калуга – Брянск – граница с Украиной</w:t>
            </w:r>
          </w:p>
        </w:tc>
        <w:tc>
          <w:tcPr>
            <w:tcW w:w="2657" w:type="dxa"/>
            <w:vMerge w:val="restart"/>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00 ОП ФЗ М</w:t>
              <w:noBreakHyphen/>
              <w:t>3 (Е101, СНГ)</w:t>
            </w:r>
          </w:p>
        </w:tc>
        <w:tc>
          <w:tcPr>
            <w:tcW w:w="198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IБ</w:t>
            </w:r>
          </w:p>
        </w:tc>
      </w:tr>
      <w:tr>
        <w:trPr>
          <w:trHeight w:val="23" w:hRule="atLeast"/>
          <w:cantSplit w:val="true"/>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2</w:t>
            </w:r>
          </w:p>
        </w:tc>
        <w:tc>
          <w:tcPr>
            <w:tcW w:w="4869" w:type="dxa"/>
            <w:tcBorders>
              <w:top w:val="single" w:sz="4" w:space="0" w:color="000000"/>
              <w:left w:val="single" w:sz="4" w:space="0" w:color="000000"/>
              <w:bottom w:val="single" w:sz="4" w:space="0" w:color="000000"/>
            </w:tcBorders>
            <w:shd w:color="auto" w:fill="auto" w:val="clear"/>
          </w:tcPr>
          <w:p>
            <w:pPr>
              <w:pStyle w:val="1112"/>
              <w:widowControl w:val="false"/>
              <w:spacing w:before="0" w:after="0"/>
              <w:contextualSpacing/>
              <w:jc w:val="left"/>
              <w:rPr>
                <w:color w:themeColor="text1" w:val="000000"/>
              </w:rPr>
            </w:pPr>
            <w:r>
              <w:rPr>
                <w:color w:themeColor="text1" w:val="000000"/>
              </w:rPr>
              <w:t>М3 «Украина» Москва - Калуга - Брянск- Граница с Украиной. Подъезд к городу Калуга.</w:t>
            </w:r>
          </w:p>
        </w:tc>
        <w:tc>
          <w:tcPr>
            <w:tcW w:w="2657" w:type="dxa"/>
            <w:vMerge w:val="continue"/>
            <w:tcBorders>
              <w:left w:val="single" w:sz="4" w:space="0" w:color="000000"/>
              <w:bottom w:val="single" w:sz="4" w:space="0" w:color="000000"/>
            </w:tcBorders>
            <w:shd w:color="auto" w:fill="auto" w:val="clear"/>
          </w:tcPr>
          <w:p>
            <w:pPr>
              <w:pStyle w:val="1112"/>
              <w:widowControl w:val="false"/>
              <w:snapToGrid w:val="false"/>
              <w:spacing w:before="0" w:after="0"/>
              <w:contextualSpacing/>
              <w:rPr>
                <w:color w:themeColor="text1" w:val="000000"/>
              </w:rPr>
            </w:pPr>
            <w:r>
              <w:rPr>
                <w:color w:themeColor="text1" w:val="000000"/>
              </w:rPr>
            </w:r>
          </w:p>
        </w:tc>
        <w:tc>
          <w:tcPr>
            <w:tcW w:w="1980" w:type="dxa"/>
            <w:vMerge w:val="continue"/>
            <w:tcBorders>
              <w:left w:val="single" w:sz="4" w:space="0" w:color="000000"/>
              <w:bottom w:val="single" w:sz="4" w:space="0" w:color="000000"/>
              <w:right w:val="single" w:sz="4" w:space="0" w:color="000000"/>
            </w:tcBorders>
            <w:shd w:color="auto" w:fill="auto" w:val="clear"/>
          </w:tcPr>
          <w:p>
            <w:pPr>
              <w:pStyle w:val="1112"/>
              <w:widowControl w:val="false"/>
              <w:snapToGrid w:val="false"/>
              <w:spacing w:before="0" w:after="0"/>
              <w:contextualSpacing/>
              <w:rPr>
                <w:color w:themeColor="text1" w:val="000000"/>
              </w:rPr>
            </w:pPr>
            <w:r>
              <w:rPr>
                <w:color w:themeColor="text1" w:val="000000"/>
              </w:rPr>
            </w:r>
          </w:p>
        </w:tc>
      </w:tr>
      <w:tr>
        <w:trPr>
          <w:trHeight w:val="452"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3</w:t>
            </w:r>
          </w:p>
        </w:tc>
        <w:tc>
          <w:tcPr>
            <w:tcW w:w="4869"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jc w:val="left"/>
              <w:rPr>
                <w:color w:themeColor="text1" w:val="000000"/>
              </w:rPr>
            </w:pPr>
            <w:r>
              <w:rPr>
                <w:color w:themeColor="text1" w:val="000000"/>
              </w:rPr>
              <w:t>Р</w:t>
              <w:noBreakHyphen/>
              <w:t>92 Калуга – Перемышль – Белев – Орел</w:t>
            </w:r>
          </w:p>
        </w:tc>
        <w:tc>
          <w:tcPr>
            <w:tcW w:w="2657"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00 ОП ФЗ Р</w:t>
              <w:noBreakHyphen/>
              <w:t>92</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IБ; II</w:t>
            </w:r>
          </w:p>
        </w:tc>
      </w:tr>
      <w:tr>
        <w:trPr>
          <w:trHeight w:val="962"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4</w:t>
            </w:r>
          </w:p>
        </w:tc>
        <w:tc>
          <w:tcPr>
            <w:tcW w:w="4869" w:type="dxa"/>
            <w:tcBorders>
              <w:top w:val="single" w:sz="4" w:space="0" w:color="000000"/>
              <w:left w:val="single" w:sz="4" w:space="0" w:color="000000"/>
              <w:bottom w:val="single" w:sz="4" w:space="0" w:color="000000"/>
            </w:tcBorders>
            <w:shd w:color="auto" w:fill="auto" w:val="clear"/>
          </w:tcPr>
          <w:p>
            <w:pPr>
              <w:pStyle w:val="1112"/>
              <w:widowControl w:val="false"/>
              <w:spacing w:before="0" w:after="0"/>
              <w:contextualSpacing/>
              <w:jc w:val="left"/>
              <w:rPr>
                <w:color w:themeColor="text1" w:val="000000"/>
              </w:rPr>
            </w:pPr>
            <w:r>
              <w:rPr>
                <w:color w:themeColor="text1" w:val="000000"/>
              </w:rPr>
              <w:t>Р-132 «Золотое кольцо» Ярославль - Кострома - Иваново - Владимир - Гусь-Хрустальный - Рязань - Михайлов - Тула - Калуга - Вязьма - Ржев - Тверь - Углич - Ярославль</w:t>
            </w:r>
          </w:p>
        </w:tc>
        <w:tc>
          <w:tcPr>
            <w:tcW w:w="2657" w:type="dxa"/>
            <w:vMerge w:val="restart"/>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00 ОП ФЗ Р</w:t>
              <w:noBreakHyphen/>
              <w:t>132</w:t>
            </w:r>
          </w:p>
        </w:tc>
        <w:tc>
          <w:tcPr>
            <w:tcW w:w="198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IБ</w:t>
            </w:r>
          </w:p>
        </w:tc>
      </w:tr>
      <w:tr>
        <w:trPr>
          <w:trHeight w:val="1103"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4869" w:type="dxa"/>
            <w:tcBorders>
              <w:top w:val="single" w:sz="4" w:space="0" w:color="000000"/>
              <w:left w:val="single" w:sz="4" w:space="0" w:color="000000"/>
              <w:bottom w:val="single" w:sz="4" w:space="0" w:color="000000"/>
            </w:tcBorders>
            <w:shd w:color="auto" w:fill="auto" w:val="clear"/>
          </w:tcPr>
          <w:p>
            <w:pPr>
              <w:pStyle w:val="1112"/>
              <w:widowControl w:val="false"/>
              <w:spacing w:before="0" w:after="0"/>
              <w:contextualSpacing/>
              <w:jc w:val="left"/>
              <w:rPr>
                <w:color w:themeColor="text1" w:val="000000"/>
              </w:rPr>
            </w:pPr>
            <w:r>
              <w:rPr>
                <w:color w:themeColor="text1" w:val="000000"/>
              </w:rPr>
              <w:t>Р-132 «Золотое кольцо» Ярославль - Кострома - Иваново - Владимир - Гусь -Хрустальный - Рязань - Михайлов - Тула - Калуга - Вязьма - Ржев - Тверь - Углич - Ярославль, обход г. Калуги</w:t>
            </w:r>
          </w:p>
        </w:tc>
        <w:tc>
          <w:tcPr>
            <w:tcW w:w="2657" w:type="dxa"/>
            <w:vMerge w:val="continue"/>
            <w:tcBorders>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r>
          </w:p>
        </w:tc>
        <w:tc>
          <w:tcPr>
            <w:tcW w:w="1980" w:type="dxa"/>
            <w:vMerge w:val="continue"/>
            <w:tcBorders>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r>
          </w:p>
        </w:tc>
      </w:tr>
      <w:tr>
        <w:trPr>
          <w:trHeight w:val="23" w:hRule="atLeast"/>
        </w:trPr>
        <w:tc>
          <w:tcPr>
            <w:tcW w:w="1006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color w:themeColor="text1" w:val="000000"/>
              </w:rPr>
            </w:pPr>
            <w:r>
              <w:rPr>
                <w:b/>
                <w:color w:themeColor="text1" w:val="000000"/>
                <w:sz w:val="22"/>
                <w:szCs w:val="22"/>
              </w:rPr>
              <w:t>Регионального значения</w:t>
            </w:r>
          </w:p>
        </w:tc>
      </w:tr>
      <w:tr>
        <w:trPr>
          <w:trHeight w:val="340"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6</w:t>
            </w:r>
          </w:p>
        </w:tc>
        <w:tc>
          <w:tcPr>
            <w:tcW w:w="4869"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jc w:val="left"/>
              <w:rPr>
                <w:color w:themeColor="text1" w:val="000000"/>
              </w:rPr>
            </w:pPr>
            <w:r>
              <w:rPr>
                <w:color w:themeColor="text1" w:val="000000"/>
              </w:rPr>
              <w:t>Мстихино-индустриальный парк «Росва» -</w:t>
            </w:r>
          </w:p>
          <w:p>
            <w:pPr>
              <w:pStyle w:val="1112"/>
              <w:widowControl w:val="false"/>
              <w:spacing w:before="0" w:after="0"/>
              <w:contextualSpacing/>
              <w:jc w:val="left"/>
              <w:rPr>
                <w:color w:themeColor="text1" w:val="000000"/>
              </w:rPr>
            </w:pPr>
            <w:r>
              <w:rPr>
                <w:color w:themeColor="text1" w:val="000000"/>
              </w:rPr>
              <w:t>М-3 «Украина»</w:t>
            </w:r>
          </w:p>
        </w:tc>
        <w:tc>
          <w:tcPr>
            <w:tcW w:w="2657"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29 ОП РЗ 29К</w:t>
              <w:noBreakHyphen/>
              <w:t>001</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III</w:t>
            </w:r>
          </w:p>
        </w:tc>
      </w:tr>
      <w:tr>
        <w:trPr>
          <w:trHeight w:val="242"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7</w:t>
            </w:r>
          </w:p>
        </w:tc>
        <w:tc>
          <w:tcPr>
            <w:tcW w:w="4869"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jc w:val="left"/>
              <w:rPr>
                <w:color w:themeColor="text1" w:val="000000"/>
              </w:rPr>
            </w:pPr>
            <w:r>
              <w:rPr>
                <w:color w:themeColor="text1" w:val="000000"/>
              </w:rPr>
              <w:t>Бабынино – Воротынск – поворот Росва</w:t>
            </w:r>
          </w:p>
        </w:tc>
        <w:tc>
          <w:tcPr>
            <w:tcW w:w="2657"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29 ОП РЗ 29К</w:t>
              <w:noBreakHyphen/>
              <w:t>002</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IV</w:t>
            </w:r>
          </w:p>
        </w:tc>
      </w:tr>
      <w:tr>
        <w:trPr>
          <w:trHeight w:val="316"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4869"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jc w:val="left"/>
              <w:rPr>
                <w:color w:themeColor="text1" w:val="000000"/>
              </w:rPr>
            </w:pPr>
            <w:r>
              <w:rPr>
                <w:color w:themeColor="text1" w:val="000000"/>
              </w:rPr>
              <w:t>Обход г. Калуги на участке Анненки-Жерело</w:t>
            </w:r>
          </w:p>
        </w:tc>
        <w:tc>
          <w:tcPr>
            <w:tcW w:w="2657"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29 ОП РЗ 29К-031</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IБ</w:t>
            </w:r>
          </w:p>
        </w:tc>
      </w:tr>
      <w:tr>
        <w:trPr>
          <w:trHeight w:val="23" w:hRule="atLeast"/>
        </w:trPr>
        <w:tc>
          <w:tcPr>
            <w:tcW w:w="10069"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color w:themeColor="text1" w:val="000000"/>
              </w:rPr>
            </w:pPr>
            <w:r>
              <w:rPr>
                <w:b/>
                <w:color w:themeColor="text1" w:val="000000"/>
                <w:sz w:val="22"/>
                <w:szCs w:val="22"/>
              </w:rPr>
              <w:t>Межмуниципального значения</w:t>
            </w:r>
          </w:p>
        </w:tc>
      </w:tr>
      <w:tr>
        <w:trPr>
          <w:trHeight w:val="219"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9</w:t>
            </w:r>
          </w:p>
        </w:tc>
        <w:tc>
          <w:tcPr>
            <w:tcW w:w="4869"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rPr>
                <w:color w:themeColor="text1" w:val="000000"/>
              </w:rPr>
            </w:pPr>
            <w:r>
              <w:rPr>
                <w:rFonts w:cs="Times New Roman" w:ascii="Times New Roman" w:hAnsi="Times New Roman"/>
                <w:color w:themeColor="text1" w:val="000000"/>
              </w:rPr>
              <w:t>М</w:t>
              <w:noBreakHyphen/>
              <w:t>3 «Украина» – станция Тихонова Пустынь</w:t>
            </w:r>
          </w:p>
        </w:tc>
        <w:tc>
          <w:tcPr>
            <w:tcW w:w="2657"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jc w:val="center"/>
              <w:rPr>
                <w:color w:themeColor="text1" w:val="000000"/>
              </w:rPr>
            </w:pPr>
            <w:r>
              <w:rPr>
                <w:rFonts w:cs="Times New Roman" w:ascii="Times New Roman" w:hAnsi="Times New Roman"/>
                <w:color w:themeColor="text1" w:val="000000"/>
              </w:rPr>
              <w:t>29 ОП МЗ 29Н</w:t>
              <w:noBreakHyphen/>
              <w:t>087</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IV</w:t>
            </w:r>
          </w:p>
        </w:tc>
      </w:tr>
      <w:tr>
        <w:trPr>
          <w:trHeight w:val="131"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4869"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rPr>
                <w:color w:themeColor="text1" w:val="000000"/>
              </w:rPr>
            </w:pPr>
            <w:r>
              <w:rPr>
                <w:rFonts w:cs="Times New Roman" w:ascii="Times New Roman" w:hAnsi="Times New Roman"/>
                <w:color w:themeColor="text1" w:val="000000"/>
              </w:rPr>
              <w:t>Р-132 «Калуга-Тула-Михайлов-Рязань» - Большая Козлы</w:t>
            </w:r>
          </w:p>
        </w:tc>
        <w:tc>
          <w:tcPr>
            <w:tcW w:w="2657"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jc w:val="center"/>
              <w:rPr>
                <w:color w:themeColor="text1" w:val="000000"/>
              </w:rPr>
            </w:pPr>
            <w:r>
              <w:rPr>
                <w:rFonts w:cs="Times New Roman" w:ascii="Times New Roman" w:hAnsi="Times New Roman"/>
                <w:color w:themeColor="text1" w:val="000000"/>
              </w:rPr>
              <w:t>29 ОП МЗ 29Н</w:t>
              <w:noBreakHyphen/>
              <w:t>379</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IV</w:t>
            </w:r>
          </w:p>
        </w:tc>
      </w:tr>
      <w:tr>
        <w:trPr>
          <w:trHeight w:val="353"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4869"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rPr>
                <w:rFonts w:ascii="Times New Roman" w:hAnsi="Times New Roman" w:cs="Times New Roman"/>
                <w:color w:themeColor="text1" w:val="000000"/>
              </w:rPr>
            </w:pPr>
            <w:r>
              <w:rPr>
                <w:rFonts w:cs="Times New Roman" w:ascii="Times New Roman" w:hAnsi="Times New Roman"/>
                <w:color w:themeColor="text1" w:val="000000"/>
              </w:rPr>
              <w:t>«Калуга - Ферзиково - Таруса - Серпухов» - Красный Городок</w:t>
            </w:r>
          </w:p>
        </w:tc>
        <w:tc>
          <w:tcPr>
            <w:tcW w:w="2657" w:type="dxa"/>
            <w:tcBorders>
              <w:top w:val="single" w:sz="4" w:space="0" w:color="000000"/>
              <w:left w:val="single" w:sz="4" w:space="0" w:color="000000"/>
              <w:bottom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29 ОП МЗ 29Н-465</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IV</w:t>
            </w:r>
          </w:p>
        </w:tc>
      </w:tr>
      <w:tr>
        <w:trPr>
          <w:trHeight w:val="272"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4869"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rPr>
                <w:rFonts w:ascii="Times New Roman" w:hAnsi="Times New Roman" w:cs="Times New Roman"/>
                <w:color w:themeColor="text1" w:val="000000"/>
              </w:rPr>
            </w:pPr>
            <w:r>
              <w:rPr>
                <w:rFonts w:cs="Times New Roman" w:ascii="Times New Roman" w:hAnsi="Times New Roman"/>
                <w:color w:themeColor="text1" w:val="000000"/>
              </w:rPr>
              <w:t>Грабцево - Воскресенское</w:t>
            </w:r>
          </w:p>
        </w:tc>
        <w:tc>
          <w:tcPr>
            <w:tcW w:w="2657"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jc w:val="center"/>
              <w:rPr>
                <w:rFonts w:ascii="Times New Roman" w:hAnsi="Times New Roman" w:cs="Times New Roman"/>
                <w:color w:themeColor="text1" w:val="000000"/>
              </w:rPr>
            </w:pPr>
            <w:r>
              <w:rPr>
                <w:rFonts w:cs="Times New Roman" w:ascii="Times New Roman" w:hAnsi="Times New Roman"/>
                <w:color w:themeColor="text1" w:val="000000"/>
              </w:rPr>
              <w:t>29 ОП МЗ 29Н-477</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IV</w:t>
            </w:r>
          </w:p>
        </w:tc>
      </w:tr>
      <w:tr>
        <w:trPr>
          <w:trHeight w:val="384"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rPr>
            </w:pPr>
            <w:r>
              <w:rPr>
                <w:color w:themeColor="text1" w:val="000000"/>
                <w:sz w:val="22"/>
                <w:szCs w:val="22"/>
              </w:rPr>
              <w:t>13</w:t>
            </w:r>
          </w:p>
        </w:tc>
        <w:tc>
          <w:tcPr>
            <w:tcW w:w="4869"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rPr>
                <w:rFonts w:ascii="Times New Roman" w:hAnsi="Times New Roman" w:cs="Times New Roman"/>
                <w:color w:themeColor="text1" w:val="000000"/>
              </w:rPr>
            </w:pPr>
            <w:r>
              <w:rPr>
                <w:rFonts w:cs="Times New Roman" w:ascii="Times New Roman" w:hAnsi="Times New Roman"/>
                <w:color w:themeColor="text1" w:val="000000"/>
              </w:rPr>
              <w:t>Р-92 «Калуга - Перемышль - Белев – Орел» - Верхняя Вырка - Нижняя Вырка - Правый берег</w:t>
            </w:r>
          </w:p>
        </w:tc>
        <w:tc>
          <w:tcPr>
            <w:tcW w:w="2657"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jc w:val="center"/>
              <w:rPr>
                <w:color w:themeColor="text1" w:val="000000"/>
              </w:rPr>
            </w:pPr>
            <w:r>
              <w:rPr>
                <w:rFonts w:cs="Times New Roman" w:ascii="Times New Roman" w:hAnsi="Times New Roman"/>
                <w:color w:themeColor="text1" w:val="000000"/>
              </w:rPr>
              <w:t>29 ОП МЗ 29Н</w:t>
              <w:noBreakHyphen/>
              <w:t>513</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IV</w:t>
            </w:r>
          </w:p>
        </w:tc>
      </w:tr>
      <w:tr>
        <w:trPr>
          <w:trHeight w:val="415"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4869"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rPr>
                <w:color w:themeColor="text1" w:val="000000"/>
              </w:rPr>
            </w:pPr>
            <w:r>
              <w:rPr>
                <w:rFonts w:cs="Times New Roman" w:ascii="Times New Roman" w:hAnsi="Times New Roman"/>
                <w:color w:themeColor="text1" w:val="000000"/>
              </w:rPr>
              <w:t>Шопино – Воровая</w:t>
            </w:r>
          </w:p>
        </w:tc>
        <w:tc>
          <w:tcPr>
            <w:tcW w:w="2657"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jc w:val="center"/>
              <w:rPr>
                <w:color w:themeColor="text1" w:val="000000"/>
              </w:rPr>
            </w:pPr>
            <w:r>
              <w:rPr>
                <w:rFonts w:cs="Times New Roman" w:ascii="Times New Roman" w:hAnsi="Times New Roman"/>
                <w:color w:themeColor="text1" w:val="000000"/>
              </w:rPr>
              <w:t>29 ОП МЗ 29Н</w:t>
              <w:noBreakHyphen/>
              <w:t>518</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IV</w:t>
            </w:r>
          </w:p>
        </w:tc>
      </w:tr>
      <w:tr>
        <w:trPr>
          <w:trHeight w:val="225" w:hRule="atLeast"/>
        </w:trPr>
        <w:tc>
          <w:tcPr>
            <w:tcW w:w="563"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4869"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rPr>
                <w:rFonts w:ascii="Times New Roman" w:hAnsi="Times New Roman" w:cs="Times New Roman"/>
                <w:color w:themeColor="text1" w:val="000000"/>
              </w:rPr>
            </w:pPr>
            <w:r>
              <w:rPr>
                <w:rFonts w:cs="Times New Roman" w:ascii="Times New Roman" w:hAnsi="Times New Roman"/>
                <w:color w:themeColor="text1" w:val="000000"/>
              </w:rPr>
              <w:t>М-3 «Украина» - «Мордвиново»</w:t>
            </w:r>
          </w:p>
        </w:tc>
        <w:tc>
          <w:tcPr>
            <w:tcW w:w="2657" w:type="dxa"/>
            <w:tcBorders>
              <w:top w:val="single" w:sz="4" w:space="0" w:color="000000"/>
              <w:left w:val="single" w:sz="4" w:space="0" w:color="000000"/>
              <w:bottom w:val="single" w:sz="4" w:space="0" w:color="000000"/>
            </w:tcBorders>
            <w:shd w:color="auto" w:fill="auto" w:val="clear"/>
            <w:vAlign w:val="center"/>
          </w:tcPr>
          <w:p>
            <w:pPr>
              <w:pStyle w:val="ConsPlusCell"/>
              <w:spacing w:before="0" w:after="0"/>
              <w:contextualSpacing/>
              <w:jc w:val="center"/>
              <w:rPr>
                <w:rFonts w:ascii="Times New Roman" w:hAnsi="Times New Roman" w:cs="Times New Roman"/>
                <w:color w:themeColor="text1" w:val="000000"/>
              </w:rPr>
            </w:pPr>
            <w:r>
              <w:rPr>
                <w:rFonts w:cs="Times New Roman" w:ascii="Times New Roman" w:hAnsi="Times New Roman"/>
                <w:color w:themeColor="text1" w:val="000000"/>
              </w:rPr>
              <w:t>29 ОП МЗ 29Н-526</w:t>
            </w:r>
          </w:p>
        </w:tc>
        <w:tc>
          <w:tcPr>
            <w:tcW w:w="1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spacing w:before="0" w:after="0"/>
              <w:contextualSpacing/>
              <w:rPr>
                <w:color w:themeColor="text1" w:val="000000"/>
              </w:rPr>
            </w:pPr>
            <w:r>
              <w:rPr>
                <w:color w:themeColor="text1" w:val="000000"/>
              </w:rPr>
              <w:t>V</w:t>
            </w:r>
          </w:p>
        </w:tc>
      </w:tr>
    </w:tbl>
    <w:p>
      <w:pPr>
        <w:pStyle w:val="Normal"/>
        <w:ind w:firstLine="709"/>
        <w:jc w:val="both"/>
        <w:rPr>
          <w:color w:themeColor="text1" w:val="000000"/>
        </w:rPr>
      </w:pPr>
      <w:r>
        <w:rPr>
          <w:color w:themeColor="text1" w:val="000000"/>
        </w:rPr>
        <w:t xml:space="preserve">Ширина придорожных полос автомобильных дорог общего пользования федерального значения, проходящих по территории городского округа: </w:t>
      </w:r>
    </w:p>
    <w:p>
      <w:pPr>
        <w:pStyle w:val="Normal"/>
        <w:ind w:firstLine="709"/>
        <w:jc w:val="both"/>
        <w:rPr/>
      </w:pPr>
      <w:r>
        <w:rPr>
          <w:color w:themeColor="text1" w:val="000000"/>
        </w:rPr>
        <w:t xml:space="preserve">- М-3 «Украина» Москва – Калуга – Брянск – граница с Украиной, подъезд к г. Калуге (далее – М-3 «Украина») установлена распоряжением Федерального дорожного агентства от 31.10.2018 № 3891-р, – 75 м; </w:t>
      </w:r>
    </w:p>
    <w:p>
      <w:pPr>
        <w:pStyle w:val="Normal"/>
        <w:ind w:firstLine="709"/>
        <w:jc w:val="both"/>
        <w:rPr/>
      </w:pPr>
      <w:r>
        <w:rPr>
          <w:color w:themeColor="text1" w:val="000000"/>
        </w:rPr>
        <w:t xml:space="preserve">- Р-132 «Золотое кольцо» Ярославль – Кострома – Иваново – Владимир – Гусь-Хрустальный – Рязань – Михайлов – Тула – Калуга – Вязьма – Ржев – Тверь – Углич – Ярославль (далее – Р-132 «Золотое кольцо») установлена распоряжением Федерального дорожного агентства от 29.12.2018 № 4654-р, – 50 м; </w:t>
      </w:r>
    </w:p>
    <w:p>
      <w:pPr>
        <w:pStyle w:val="Normal"/>
        <w:ind w:firstLine="709"/>
        <w:jc w:val="both"/>
        <w:rPr>
          <w:color w:themeColor="text1" w:val="000000"/>
        </w:rPr>
      </w:pPr>
      <w:r>
        <w:rPr>
          <w:color w:themeColor="text1" w:val="000000"/>
        </w:rPr>
        <w:t>- Р-92 Калуга – Перемышль – Белев – Орел, установленная распоряжением Федерального дорожного агентства от 31 октября 2018 г. № 3884-р, – 50, 75 м.</w:t>
      </w:r>
    </w:p>
    <w:p>
      <w:pPr>
        <w:pStyle w:val="Normal"/>
        <w:ind w:firstLine="709"/>
        <w:jc w:val="both"/>
        <w:rPr>
          <w:color w:themeColor="text1" w:val="000000"/>
        </w:rPr>
      </w:pPr>
      <w:r>
        <w:rPr>
          <w:color w:themeColor="text1" w:val="000000"/>
        </w:rPr>
        <w:t>Калуга закольцована сетью автомобильных дорог, с юго-востока федеральной трассой Р-132 «Золотое кольцо» и с северо-запада - автодорогой регионального значения «Обход</w:t>
        <w:br/>
        <w:t>г. Калуга на участке Анненки-Жерело».</w:t>
      </w:r>
    </w:p>
    <w:p>
      <w:pPr>
        <w:pStyle w:val="Normal"/>
        <w:ind w:firstLine="709"/>
        <w:jc w:val="both"/>
        <w:rPr>
          <w:color w:themeColor="text1" w:val="000000"/>
        </w:rPr>
      </w:pPr>
      <w:r>
        <w:rPr>
          <w:color w:themeColor="text1" w:val="000000"/>
        </w:rPr>
        <w:t>Общая протяженность автомобильных дорог составляет 390 км.</w:t>
      </w:r>
    </w:p>
    <w:p>
      <w:pPr>
        <w:pStyle w:val="Normal"/>
        <w:ind w:firstLine="709"/>
        <w:jc w:val="both"/>
        <w:rPr>
          <w:color w:themeColor="text1" w:val="000000"/>
        </w:rPr>
      </w:pPr>
      <w:r>
        <w:rPr>
          <w:color w:themeColor="text1" w:val="000000"/>
        </w:rPr>
        <w:t>На пересечении автомобильных дорог с искусственными и естественными преградами имеются искусственные дорожные сооружения: транспортные развязки, мосты и путепроводы. Их характеристика приведена в разделе «Городская улично-дорожная сеть, городской транспорт».</w:t>
      </w:r>
    </w:p>
    <w:p>
      <w:pPr>
        <w:pStyle w:val="Normal"/>
        <w:ind w:firstLine="709"/>
        <w:jc w:val="both"/>
        <w:rPr>
          <w:color w:themeColor="text1" w:val="000000"/>
        </w:rPr>
      </w:pPr>
      <w:r>
        <w:rPr>
          <w:color w:themeColor="text1" w:val="000000"/>
        </w:rPr>
        <w:t>По внешним автомобильным дорогам осуществляется: междугородное и пригородное автобусное сообщение общей протяженностью около 8000 км.</w:t>
      </w:r>
    </w:p>
    <w:p>
      <w:pPr>
        <w:pStyle w:val="Normal"/>
        <w:ind w:firstLine="709"/>
        <w:jc w:val="both"/>
        <w:rPr>
          <w:color w:themeColor="text1" w:val="000000"/>
        </w:rPr>
      </w:pPr>
      <w:r>
        <w:rPr>
          <w:color w:themeColor="text1" w:val="000000"/>
        </w:rPr>
        <w:t>Действует более 30 междугородних автобусных маршрута, связывающих город Калугу с: Москвой, Брянском, Воронежем, Орлом, Тулой, Козельском, Медынью и пр. Через город проходят также транзитные междугородние автобусы.</w:t>
      </w:r>
    </w:p>
    <w:p>
      <w:pPr>
        <w:pStyle w:val="Normal"/>
        <w:ind w:firstLine="709"/>
        <w:jc w:val="both"/>
        <w:rPr>
          <w:color w:themeColor="text1" w:val="000000"/>
        </w:rPr>
      </w:pPr>
      <w:r>
        <w:rPr>
          <w:color w:themeColor="text1" w:val="000000"/>
        </w:rPr>
        <w:t>Более 20 пригородных автобусных маршрута соединяют город Калугу с прилегающими к нему населенными пунктами: Ахлебинино, Авчурино, Бабынино, Мужачи, Дворцы, Константиновка, Куровской, Перемышль, Погореловка, Опытная станция, Товарково, Сивково, Щуплово, Редькино, Воротынск и пр.</w:t>
      </w:r>
    </w:p>
    <w:p>
      <w:pPr>
        <w:pStyle w:val="Normal"/>
        <w:ind w:firstLine="709"/>
        <w:jc w:val="both"/>
        <w:rPr/>
      </w:pPr>
      <w:r>
        <w:rPr>
          <w:color w:themeColor="text1" w:val="000000"/>
        </w:rPr>
        <w:t>Междугородные и пригородные маршруты обслуживаются автопредприятиями различных форм собственности. По данным министерства экономического развития Калужской области за год перевезено 2157 тыс. пассажиров, выполнено 265440 тыс. пасс/км. Междугородные перевозки осуществляются 98 автобусами большой вместимости, пригородные – 53 автобусам ПАЗ. Коэффициент выпуска на линию – 95 %, ежедневно выполняется 3776 рейсов (205 пригородных и 171 междугородных).</w:t>
      </w:r>
    </w:p>
    <w:p>
      <w:pPr>
        <w:pStyle w:val="Normal"/>
        <w:ind w:firstLine="709"/>
        <w:jc w:val="both"/>
        <w:rPr>
          <w:color w:themeColor="text1" w:val="000000"/>
        </w:rPr>
      </w:pPr>
      <w:r>
        <w:rPr>
          <w:color w:themeColor="text1" w:val="000000"/>
        </w:rPr>
        <w:t>Посадка и высадка пассажиров осуществляется на автовокзале, расположенном по адресу пл. Вокзальная д. 3. Единовременная вместимость – 300 пассажиров. Максимальное количество отправляемых и принимаемых автобусов – 60. Помимо этого имеется дополнительный пункт отправления и прибытия внегородских автобусов: ул. Гагарина, д.3.</w:t>
      </w:r>
    </w:p>
    <w:p>
      <w:pPr>
        <w:pStyle w:val="Normal"/>
        <w:spacing w:before="60" w:after="60"/>
        <w:ind w:firstLine="709"/>
        <w:jc w:val="both"/>
        <w:rPr>
          <w:b/>
          <w:bCs/>
          <w:color w:themeColor="text1" w:val="000000"/>
        </w:rPr>
      </w:pPr>
      <w:r>
        <w:rPr>
          <w:b/>
          <w:bCs/>
          <w:color w:themeColor="text1" w:val="000000"/>
        </w:rPr>
        <w:t>Водный транспорт</w:t>
      </w:r>
    </w:p>
    <w:p>
      <w:pPr>
        <w:pStyle w:val="Normal"/>
        <w:ind w:firstLine="709"/>
        <w:jc w:val="both"/>
        <w:rPr>
          <w:color w:themeColor="text1" w:val="000000"/>
        </w:rPr>
      </w:pPr>
      <w:r>
        <w:rPr>
          <w:color w:themeColor="text1" w:val="000000"/>
        </w:rPr>
        <w:t>По территории городского округа протекает река Ока, которая на участке от г. Калуги до Тарусы (протяженностью 101 км) используется для судоходства.</w:t>
      </w:r>
    </w:p>
    <w:p>
      <w:pPr>
        <w:pStyle w:val="Normal"/>
        <w:ind w:firstLine="709"/>
        <w:jc w:val="both"/>
        <w:rPr>
          <w:color w:themeColor="text1" w:val="000000"/>
        </w:rPr>
      </w:pPr>
      <w:r>
        <w:rPr>
          <w:color w:themeColor="text1" w:val="000000"/>
        </w:rPr>
        <w:t>По условиям судоходства выделяется два участка. Первый – Калуга – Алексин (69 км) имеет гарантированную глубину 65 см, второй – Алексин-Таруса (32 км), гарантированная глубина – 100 см. Продолжительность навигационного периода составляет 170–200 суток.</w:t>
      </w:r>
    </w:p>
    <w:p>
      <w:pPr>
        <w:pStyle w:val="Normal"/>
        <w:ind w:firstLine="709"/>
        <w:jc w:val="both"/>
        <w:rPr>
          <w:color w:themeColor="text1" w:val="000000"/>
        </w:rPr>
      </w:pPr>
      <w:r>
        <w:rPr>
          <w:color w:themeColor="text1" w:val="000000"/>
        </w:rPr>
        <w:t>Водный транспорт используется преимущественно для пассажирских перевозок (в том числе экскурсионных). Пристани и причалы для водного грузового транспорта в городе отсутствуют.</w:t>
      </w:r>
    </w:p>
    <w:p>
      <w:pPr>
        <w:pStyle w:val="Normal"/>
        <w:ind w:firstLine="709"/>
        <w:jc w:val="both"/>
        <w:rPr>
          <w:color w:themeColor="text1" w:val="000000"/>
        </w:rPr>
      </w:pPr>
      <w:r>
        <w:rPr>
          <w:color w:themeColor="text1" w:val="000000"/>
        </w:rPr>
        <w:t>Согласно пункту 1 статьи 9 Кодекса внутреннего водного транспорта Российской Федерации строительство и эксплуатация сооружений на внутренних водных путях осуществляются по согласованию с администрациями бассейнов внутренних водных путей.</w:t>
      </w:r>
    </w:p>
    <w:p>
      <w:pPr>
        <w:pStyle w:val="Normal"/>
        <w:ind w:firstLine="709"/>
        <w:jc w:val="both"/>
        <w:rPr>
          <w:color w:themeColor="text1" w:val="000000"/>
        </w:rPr>
      </w:pPr>
      <w:r>
        <w:rPr>
          <w:color w:themeColor="text1" w:val="000000"/>
        </w:rPr>
      </w:r>
    </w:p>
    <w:p>
      <w:pPr>
        <w:pStyle w:val="Normal"/>
        <w:spacing w:before="60" w:after="60"/>
        <w:ind w:firstLine="709"/>
        <w:jc w:val="both"/>
        <w:rPr>
          <w:b/>
          <w:bCs/>
          <w:color w:themeColor="text1" w:val="000000"/>
        </w:rPr>
      </w:pPr>
      <w:r>
        <w:rPr>
          <w:b/>
          <w:bCs/>
          <w:color w:themeColor="text1" w:val="000000"/>
        </w:rPr>
        <w:t>Воздушный транспорт</w:t>
      </w:r>
    </w:p>
    <w:p>
      <w:pPr>
        <w:pStyle w:val="Normal"/>
        <w:ind w:firstLine="709"/>
        <w:jc w:val="both"/>
        <w:rPr>
          <w:color w:themeColor="text1" w:val="000000"/>
        </w:rPr>
      </w:pPr>
      <w:r>
        <w:rPr>
          <w:color w:themeColor="text1" w:val="000000"/>
        </w:rPr>
        <w:t>В восточной части городского округа у индустриального парка «Грабцево» расположен международный аэропорт «Калуга» (Грабцево) им. К.Э. Циолковского.</w:t>
      </w:r>
    </w:p>
    <w:p>
      <w:pPr>
        <w:pStyle w:val="Normal"/>
        <w:ind w:firstLine="709"/>
        <w:jc w:val="both"/>
        <w:rPr>
          <w:color w:themeColor="text1" w:val="000000"/>
        </w:rPr>
      </w:pPr>
      <w:r>
        <w:rPr>
          <w:color w:themeColor="text1" w:val="000000"/>
        </w:rPr>
        <w:t xml:space="preserve">На территории аэропорта действует воздушный пункт пропуска через государственную границу Российской Федерации Калуга (Грабцево). </w:t>
      </w:r>
    </w:p>
    <w:p>
      <w:pPr>
        <w:pStyle w:val="Normal"/>
        <w:ind w:firstLine="709"/>
        <w:jc w:val="both"/>
        <w:rPr>
          <w:color w:themeColor="text1" w:val="000000"/>
        </w:rPr>
      </w:pPr>
      <w:r>
        <w:rPr>
          <w:color w:themeColor="text1" w:val="000000"/>
        </w:rPr>
        <w:t>Приаэродромная территория аэродрома гражданской авиации Калуга (Грабцево) установлена по внешним границам семи подзон выделенных на основании статьи 47 Воздушного кодекса Российской Федерации. Порядок установления приаэродромной территории и порядок выделения на приаэродромной территории подзон, в которых устанавливаются ограничения использования объектов недвижимости и осуществления деятельности, утвержден Правительством Российской Федерации (постановление от 02.12.2017 № 1460 (ред. от 24.01.2023). Границы приаэродромной территории установлены приказом Росавиации от 12.04.2024 № 377-П «Об установлении приаэродромной территории аэродрома гражданской авиации Калуга (Грабцево)» (зарегистрировано в Минюсте России 20.05.2024 № 78206).</w:t>
      </w:r>
    </w:p>
    <w:p>
      <w:pPr>
        <w:pStyle w:val="Normal"/>
        <w:ind w:firstLine="709"/>
        <w:jc w:val="both"/>
        <w:rPr>
          <w:color w:themeColor="text1" w:val="000000"/>
        </w:rPr>
      </w:pPr>
      <w:r>
        <w:rPr>
          <w:color w:themeColor="text1" w:val="000000"/>
        </w:rPr>
        <w:t>Перечень населенных пунктов, попадающих в границы приаэродромной территории: г. Калуга, д. Аргуново, д. Бабенки, д. Белая, д. Березовка, д. Большая Каменка, д. Воровая, д. Галкино, д. Георгиевское, д. Горенское, д. Григоровка, д. Груздово, д. Доможирово,             д. Жерело, д. Заречье, д. Ильинка, д. Калашников Хутор, д. Канищево, д. Карачево,                  д. Колюпаново, д. Косарево, д. Крутицы, д. Лихун, д. Лобаново, д. Малая Каменка,                  д. Марьино, д. Матюнино, д. Мстихино, д. Новоселки, д. Петрово, д. Починки, д. Пучково,     д. Рождествено, д. Тимошево, д. Тинино, д. Уварово, д. Чижовка, д. Шопино, д. Юрьевка,       п. Новый, с. Муратовка, с. Муратовского щебзавода, с. Некрасово, с. Пригородного лесничества, с. Приокское лесничество, с. Шахты.</w:t>
      </w:r>
    </w:p>
    <w:p>
      <w:pPr>
        <w:pStyle w:val="Normal"/>
        <w:ind w:firstLine="709"/>
        <w:jc w:val="both"/>
        <w:rPr>
          <w:color w:themeColor="text1" w:val="000000"/>
        </w:rPr>
      </w:pPr>
      <w:r>
        <w:rPr>
          <w:color w:themeColor="text1" w:val="000000"/>
        </w:rPr>
        <w:t>Также на территории городского округа размещены 3 вертодрома («Атис», «ВП</w:t>
        <w:noBreakHyphen/>
        <w:t>3», «Резвань»).</w:t>
      </w:r>
    </w:p>
    <w:p>
      <w:pPr>
        <w:pStyle w:val="Normal"/>
        <w:ind w:firstLine="709"/>
        <w:jc w:val="both"/>
        <w:rPr>
          <w:color w:themeColor="text1" w:val="000000"/>
        </w:rPr>
      </w:pPr>
      <w:r>
        <w:rPr>
          <w:color w:themeColor="text1" w:val="000000"/>
        </w:rPr>
        <w:t xml:space="preserve">На территории городского округа расположены объекты единой системы организации воздушного движения, расположенные вне границ аэропортов (аэродромов): </w:t>
      </w:r>
    </w:p>
    <w:p>
      <w:pPr>
        <w:pStyle w:val="Normal"/>
        <w:ind w:firstLine="709"/>
        <w:jc w:val="both"/>
        <w:rPr>
          <w:color w:themeColor="text1" w:val="000000"/>
        </w:rPr>
      </w:pPr>
      <w:r>
        <w:rPr>
          <w:color w:themeColor="text1" w:val="000000"/>
        </w:rPr>
        <w:t xml:space="preserve">- здание ДПРМ-137 (кадастровый номер 40:26:000106:470), расположенное на земельном участке с кадастровым номером 40:25:000110:865; </w:t>
      </w:r>
    </w:p>
    <w:p>
      <w:pPr>
        <w:pStyle w:val="Normal"/>
        <w:ind w:firstLine="709"/>
        <w:jc w:val="both"/>
        <w:rPr/>
      </w:pPr>
      <w:r>
        <w:rPr>
          <w:color w:themeColor="text1" w:val="000000"/>
        </w:rPr>
        <w:t xml:space="preserve">- здание ПРЦ+МРЛ (кадастровый номер 40:26:000106:471), расположенное на земельном участке с кадастровым номером 40:26:000099:69.  </w:t>
      </w:r>
      <w:r>
        <w:br w:type="page"/>
      </w:r>
    </w:p>
    <w:p>
      <w:pPr>
        <w:pStyle w:val="Heading3"/>
        <w:numPr>
          <w:ilvl w:val="2"/>
          <w:numId w:val="2"/>
        </w:numPr>
        <w:spacing w:before="0" w:after="100"/>
        <w:ind w:firstLine="709" w:left="0"/>
        <w:rPr>
          <w:rFonts w:eastAsia="Symbol" w:cs="Symbol"/>
          <w:color w:themeColor="text1" w:val="000000"/>
        </w:rPr>
      </w:pPr>
      <w:bookmarkStart w:id="35" w:name="_Toc217312455"/>
      <w:r>
        <w:rPr>
          <w:rFonts w:eastAsia="Symbol" w:cs="Symbol"/>
          <w:color w:themeColor="text1" w:val="000000"/>
        </w:rPr>
        <w:t>6.2. Городская улично-дорожная сеть, городской транспорт</w:t>
      </w:r>
      <w:bookmarkEnd w:id="35"/>
    </w:p>
    <w:p>
      <w:pPr>
        <w:pStyle w:val="Normal"/>
        <w:spacing w:before="60" w:after="60"/>
        <w:ind w:firstLine="709"/>
        <w:jc w:val="both"/>
        <w:rPr>
          <w:b/>
          <w:bCs/>
          <w:color w:themeColor="text1" w:val="000000"/>
        </w:rPr>
      </w:pPr>
      <w:r>
        <w:rPr>
          <w:b/>
          <w:bCs/>
          <w:color w:themeColor="text1" w:val="000000"/>
        </w:rPr>
        <w:t>Улично-дорожная сеть</w:t>
      </w:r>
    </w:p>
    <w:p>
      <w:pPr>
        <w:pStyle w:val="Normal"/>
        <w:ind w:firstLine="709"/>
        <w:jc w:val="both"/>
        <w:rPr>
          <w:color w:themeColor="text1" w:val="000000"/>
        </w:rPr>
      </w:pPr>
      <w:r>
        <w:rPr>
          <w:color w:themeColor="text1" w:val="000000"/>
        </w:rPr>
        <w:t xml:space="preserve">Улично-дорожная сеть города Калуги имеет радиальную структуру: от центра города расходятся магистрали, ведущие к внешним автомобильным дорогам. В центре города эту структуру дополняет прямоугольная сетка узких улиц. </w:t>
      </w:r>
    </w:p>
    <w:p>
      <w:pPr>
        <w:pStyle w:val="Normal"/>
        <w:ind w:firstLine="709"/>
        <w:jc w:val="both"/>
        <w:rPr>
          <w:color w:themeColor="text1" w:val="000000"/>
        </w:rPr>
      </w:pPr>
      <w:r>
        <w:rPr>
          <w:color w:themeColor="text1" w:val="000000"/>
        </w:rPr>
        <w:t>На формирование транспортно-планировочной структуры и развитие магистралей в настоящее время влияют следующие факторы: сложный рельеф местности, наличие железнодорожных путей, крупных водных препятствий и исторически сложившейся планировки города, а также освоение новых территорий под жилую застройку.</w:t>
      </w:r>
    </w:p>
    <w:p>
      <w:pPr>
        <w:pStyle w:val="Normal"/>
        <w:ind w:firstLine="709"/>
        <w:jc w:val="both"/>
        <w:rPr>
          <w:color w:themeColor="text1" w:val="000000"/>
        </w:rPr>
      </w:pPr>
      <w:r>
        <w:rPr>
          <w:rFonts w:eastAsia="Batang"/>
          <w:color w:themeColor="text1" w:val="000000"/>
        </w:rPr>
        <w:t>Основные радиальные направления представлены следующими магистральными улицами общегородского значения:</w:t>
      </w:r>
    </w:p>
    <w:p>
      <w:pPr>
        <w:pStyle w:val="138"/>
        <w:ind w:firstLine="680" w:left="0"/>
        <w:rPr/>
      </w:pPr>
      <w:r>
        <w:rPr>
          <w:rStyle w:val="Style15"/>
          <w:color w:themeColor="text1" w:val="000000"/>
        </w:rPr>
        <w:t>- ул. Ленина</w:t>
      </w:r>
      <w:r>
        <w:rPr>
          <w:color w:themeColor="text1" w:val="000000"/>
        </w:rPr>
        <w:t> – служит главной связью с железнодорожным вокзалом станции Калуга I;</w:t>
      </w:r>
    </w:p>
    <w:p>
      <w:pPr>
        <w:pStyle w:val="138"/>
        <w:ind w:firstLine="680" w:left="0"/>
        <w:rPr/>
      </w:pPr>
      <w:r>
        <w:rPr>
          <w:rStyle w:val="Style15"/>
          <w:color w:themeColor="text1" w:val="000000"/>
        </w:rPr>
        <w:t>- ул. Московская</w:t>
      </w:r>
      <w:r>
        <w:rPr>
          <w:color w:themeColor="text1" w:val="000000"/>
        </w:rPr>
        <w:t> – выходит на обход г. Калуги и связывает северные районы города (жилые микрорайоны Северный, Азарово, Байконур, Терепец) с его центральной частью;</w:t>
      </w:r>
    </w:p>
    <w:p>
      <w:pPr>
        <w:pStyle w:val="138"/>
        <w:ind w:firstLine="680" w:left="0"/>
        <w:rPr/>
      </w:pPr>
      <w:r>
        <w:rPr>
          <w:rStyle w:val="Style15"/>
          <w:color w:themeColor="text1" w:val="000000"/>
        </w:rPr>
        <w:t>- ул. Глаголева – ул. Тарутинская</w:t>
      </w:r>
      <w:r>
        <w:rPr>
          <w:rStyle w:val="Style14"/>
          <w:color w:themeColor="text1" w:val="000000"/>
        </w:rPr>
        <w:t> –</w:t>
      </w:r>
      <w:r>
        <w:rPr>
          <w:color w:themeColor="text1" w:val="000000"/>
        </w:rPr>
        <w:t xml:space="preserve"> имеет выход на обход г. Калуги и подключается к внешней автодороге Калуга – Ястребовка. Обслуживает северо-восточные микрорайоны Ольговский и Малинники и Тарутинский промрайон;</w:t>
      </w:r>
    </w:p>
    <w:p>
      <w:pPr>
        <w:pStyle w:val="138"/>
        <w:ind w:firstLine="680" w:left="0"/>
        <w:rPr/>
      </w:pPr>
      <w:r>
        <w:rPr>
          <w:rStyle w:val="Style15"/>
          <w:color w:themeColor="text1" w:val="000000"/>
        </w:rPr>
        <w:t>- ул. Маршала Жукова – Грабцевское шоссе</w:t>
      </w:r>
      <w:r>
        <w:rPr>
          <w:rStyle w:val="Style14"/>
          <w:color w:themeColor="text1" w:val="000000"/>
        </w:rPr>
        <w:t> –</w:t>
      </w:r>
      <w:r>
        <w:rPr>
          <w:color w:themeColor="text1" w:val="000000"/>
        </w:rPr>
        <w:t xml:space="preserve"> обеспечивает транспортное сообщение с мкр. Бушмановка, пос. Грабцево, Индустриальным парком Грабцево, аэропортом и выходит в северо-восточном направлении на автодорогу местного значения на с. Воскресенское;</w:t>
      </w:r>
    </w:p>
    <w:p>
      <w:pPr>
        <w:pStyle w:val="138"/>
        <w:ind w:firstLine="680" w:left="0"/>
        <w:rPr/>
      </w:pPr>
      <w:r>
        <w:rPr>
          <w:rStyle w:val="Style15"/>
          <w:color w:themeColor="text1" w:val="000000"/>
        </w:rPr>
        <w:t>- ул. Тульская – ул. Киевка – 40-летия Октября – ул. Советская – ул. Ждамировская</w:t>
      </w:r>
      <w:r>
        <w:rPr>
          <w:color w:themeColor="text1" w:val="000000"/>
        </w:rPr>
        <w:t> – соединяет микрорайоны Турынино, Ждамирово, 40-летия Октября с центром города, подключается в восточном направлении к автодороге Калуга – Ферзиково – Таруса – Серпухов и обеспечивает выход на обход г. Калуги;</w:t>
      </w:r>
    </w:p>
    <w:p>
      <w:pPr>
        <w:pStyle w:val="138"/>
        <w:ind w:firstLine="680" w:left="0"/>
        <w:rPr/>
      </w:pPr>
      <w:r>
        <w:rPr>
          <w:rStyle w:val="Style15"/>
          <w:color w:themeColor="text1" w:val="000000"/>
        </w:rPr>
        <w:t>- ул. Гагарина – Тульское шоссе</w:t>
      </w:r>
      <w:r>
        <w:rPr>
          <w:color w:themeColor="text1" w:val="000000"/>
        </w:rPr>
        <w:t> – служит основным въездом в город с федеральных автодорог Р</w:t>
        <w:noBreakHyphen/>
        <w:t>132 Калуга – Тула – Михайлов – Рязань и Р</w:t>
        <w:noBreakHyphen/>
        <w:t>92 Калуга – Перемышль – Белев – Орел;</w:t>
      </w:r>
    </w:p>
    <w:p>
      <w:pPr>
        <w:pStyle w:val="138"/>
        <w:ind w:firstLine="680" w:left="0"/>
        <w:rPr/>
      </w:pPr>
      <w:r>
        <w:rPr>
          <w:rStyle w:val="Style15"/>
          <w:color w:themeColor="text1" w:val="000000"/>
        </w:rPr>
        <w:t>- ул. Фомушина – ул. Генерала Попов</w:t>
      </w:r>
      <w:r>
        <w:rPr>
          <w:color w:themeColor="text1" w:val="000000"/>
          <w:u w:val="single"/>
        </w:rPr>
        <w:t>а</w:t>
      </w:r>
      <w:r>
        <w:rPr>
          <w:color w:themeColor="text1" w:val="000000"/>
        </w:rPr>
        <w:t> – обеспечивает сообщение с развивающимися микрорайонами правобережной части города, а также деревнями Шопино, Желыбино, Воровая;</w:t>
      </w:r>
    </w:p>
    <w:p>
      <w:pPr>
        <w:pStyle w:val="138"/>
        <w:ind w:firstLine="680" w:left="0"/>
        <w:rPr/>
      </w:pPr>
      <w:r>
        <w:rPr>
          <w:rStyle w:val="Style15"/>
          <w:color w:themeColor="text1" w:val="000000"/>
        </w:rPr>
        <w:t>- ул. Калуга-Бор – ул. Анненки</w:t>
      </w:r>
      <w:r>
        <w:rPr>
          <w:color w:themeColor="text1" w:val="000000"/>
        </w:rPr>
        <w:t> – является главным западным въездом в город с федеральной автодороги М</w:t>
        <w:noBreakHyphen/>
        <w:t>3 «Украина», обеспечивает связь с железнодорожной станцией Калуга II, мкр. Анненки, а также удаленным микрорайоном города Куровским, индустриальным парком «Росва» и прочими населенными пунктами округа;</w:t>
      </w:r>
    </w:p>
    <w:p>
      <w:pPr>
        <w:pStyle w:val="138"/>
        <w:ind w:firstLine="680" w:left="0"/>
        <w:rPr/>
      </w:pPr>
      <w:r>
        <w:rPr>
          <w:rStyle w:val="Style15"/>
          <w:color w:themeColor="text1" w:val="000000"/>
        </w:rPr>
        <w:t>- ул. Кутузова – ул. Салтыкова-Щедрина</w:t>
      </w:r>
      <w:r>
        <w:rPr>
          <w:rStyle w:val="Style14"/>
          <w:color w:themeColor="text1" w:val="000000"/>
        </w:rPr>
        <w:t xml:space="preserve"> – </w:t>
      </w:r>
      <w:r>
        <w:rPr>
          <w:color w:themeColor="text1" w:val="000000"/>
        </w:rPr>
        <w:t>обслуживает Приокский промрайон и подключается к обходу г. Калуги.</w:t>
      </w:r>
    </w:p>
    <w:p>
      <w:pPr>
        <w:pStyle w:val="Normal"/>
        <w:ind w:firstLine="709"/>
        <w:jc w:val="both"/>
        <w:rPr>
          <w:color w:themeColor="text1" w:val="000000"/>
        </w:rPr>
      </w:pPr>
      <w:r>
        <w:rPr>
          <w:color w:themeColor="text1" w:val="000000"/>
        </w:rPr>
        <w:t>Главной улицей служит ул. Кирова – широтная магистраль центральной части города, связывающая две кольцевые площади – пл. Мира и пл. Победы. К числу значимых площадей города также относятся: Вокзальная, Карла Маркса, Московская, Старый торг, Театральная.</w:t>
      </w:r>
    </w:p>
    <w:p>
      <w:pPr>
        <w:pStyle w:val="Normal"/>
        <w:ind w:firstLine="709"/>
        <w:jc w:val="both"/>
        <w:rPr>
          <w:color w:themeColor="text1" w:val="000000"/>
        </w:rPr>
      </w:pPr>
      <w:r>
        <w:rPr>
          <w:color w:themeColor="text1" w:val="000000"/>
        </w:rPr>
        <w:t>Кольцевое направление в историческом ядре города представлено следующими магистралями: ул. Кирова – ул. Степана Разина – ул. Салтыкова-Щедрина – ул. Кутузова – ул. Баженова – ул. Пушкина – ул. Академика Королева – ул. Гагарина. Полукольцевые и поперечные связи, перехватывающие радиальные магистрали, практически не развиты и ориентированы преимущественно на обход г. Калуги. Слабо выраженная полукольцевая связь прослеживается по направлению ул. Зерновая – ул. Путейская – ул. Гурьянова – ул. Анненки – ул. Калуга-Бор и используется в основном для пропуска транзитного грузового автотранспорта, следующего в северный и северо-восточный промышленные районы города в обход его центральной части.</w:t>
      </w:r>
    </w:p>
    <w:p>
      <w:pPr>
        <w:pStyle w:val="Normal"/>
        <w:ind w:firstLine="709"/>
        <w:jc w:val="both"/>
        <w:rPr>
          <w:color w:themeColor="text1" w:val="000000"/>
        </w:rPr>
      </w:pPr>
      <w:r>
        <w:rPr>
          <w:color w:themeColor="text1" w:val="000000"/>
        </w:rPr>
        <w:t>Транспортный каркас города дополняют также основные магистральные улицы районного значения: в центральной части – ул. Суворова, ул. Плеханова, ул. Рылеева, ул. Труда, ул. Баррикад, ул. Огарева, ул. Чижевского, ул. Луначарского, ул. Никитина, ул. Максима Горького, ул. Болдина, ул. Маяковского, ул. Хрустальная, ул. Молодежная, ул. Телевизионная, ул. Железняки; в правобережной части – проезд 3</w:t>
        <w:noBreakHyphen/>
        <w:t>ий Академический, ул. Советской армии, ул. Ромодановские Дворики, Одоевское шоссе и др.</w:t>
      </w:r>
    </w:p>
    <w:p>
      <w:pPr>
        <w:pStyle w:val="Normal"/>
        <w:ind w:firstLine="709"/>
        <w:jc w:val="both"/>
        <w:rPr>
          <w:color w:themeColor="text1" w:val="000000"/>
        </w:rPr>
      </w:pPr>
      <w:r>
        <w:rPr>
          <w:color w:themeColor="text1" w:val="000000"/>
        </w:rPr>
        <w:t>Одностороннее движение транспорта организовано на следующих улицах: по</w:t>
        <w:br/>
        <w:t>ул. Суворова – в сторону ул. М. Горького, по ул. Огарева – в сторону ул. Рылеева, по</w:t>
        <w:br/>
        <w:t>ул. Плеханова – в сторону улицы Труда, по ул. Рылеева – в сторону ул. Георгиевской, по</w:t>
        <w:br/>
        <w:t>ул. Дзержинского – в сторону ул. Баумана, по ул. Достоевского – в сторону ул. Московской, по ул. Вилонова от ул. Луначарского до ул. Первомайской, по ул. Первомайской от</w:t>
        <w:br/>
        <w:t>ул. Вилонова до ул. Луначарского, ул. Чижевского в сторону ул. Московской,</w:t>
        <w:br/>
        <w:t>ул. Воскресенская от ул. Ленина до ул. Кутузова, ул. Смоленская от ул. Гагарина до</w:t>
        <w:br/>
        <w:t>ул. Баумана.</w:t>
      </w:r>
    </w:p>
    <w:p>
      <w:pPr>
        <w:pStyle w:val="Normal"/>
        <w:ind w:firstLine="709"/>
        <w:jc w:val="both"/>
        <w:rPr>
          <w:color w:themeColor="text1" w:val="000000"/>
        </w:rPr>
      </w:pPr>
      <w:r>
        <w:rPr>
          <w:color w:themeColor="text1" w:val="000000"/>
        </w:rPr>
        <w:t>По данным комплексной схемы организации дорожного движения (КСОДД) города Калуги общая протяженность улично-дорожной сети городского округа составляет 812,37 км, в том числе по сельским территориям – 357,35 км и по городским территориям – 455,02 км. Плотность магистральной улично-дорожной сети города оценивается в размере 4,8 км/кв.км, при этом плотность УДС «Магистральных улиц» составляет 1,7 км/кв. км.</w:t>
      </w:r>
    </w:p>
    <w:p>
      <w:pPr>
        <w:pStyle w:val="Normal"/>
        <w:ind w:firstLine="709"/>
        <w:jc w:val="both"/>
        <w:rPr/>
      </w:pPr>
      <w:r>
        <w:rPr>
          <w:color w:themeColor="text1" w:val="000000"/>
        </w:rPr>
        <w:t xml:space="preserve">Характеристика основных магистральных улиц приведена в таблице 6.2.2. В таблице также приведен анализ пропускной способности основных магистральных улиц и определен коэффициент их использования (отношение интенсивности движения потока к пропускной способности проезжей части). </w:t>
      </w:r>
    </w:p>
    <w:p>
      <w:pPr>
        <w:pStyle w:val="Normal"/>
        <w:ind w:firstLine="709"/>
        <w:jc w:val="both"/>
        <w:rPr>
          <w:color w:themeColor="text1" w:val="000000"/>
        </w:rPr>
      </w:pPr>
      <w:r>
        <w:rPr>
          <w:color w:themeColor="text1" w:val="000000"/>
        </w:rPr>
        <w:t>Основные магистральные улицы имеют более двух полос движения в двупутном направлении, что обеспечивает пропускную способность 800 – 1400 транспортных средств в час приведенных единиц на одну полосу движения. Сопоставление интенсивности движения и пропускной способности магистральных улиц показывает, что пропускная способность основных магистралей исчерпана или близка к этому, что вызывает возникновение частых транспортных заторов в центральной части города.</w:t>
      </w:r>
    </w:p>
    <w:p>
      <w:pPr>
        <w:pStyle w:val="Normal"/>
        <w:spacing w:lineRule="auto" w:line="276"/>
        <w:ind w:firstLine="709"/>
        <w:jc w:val="both"/>
        <w:rPr>
          <w:color w:themeColor="text1" w:val="000000"/>
        </w:rPr>
      </w:pPr>
      <w:r>
        <w:rPr>
          <w:color w:themeColor="text1" w:val="000000"/>
        </w:rPr>
        <w:t>Особенно напряженными с точки зрения пропуска автотранспорта являются:</w:t>
      </w:r>
    </w:p>
    <w:p>
      <w:pPr>
        <w:pStyle w:val="Normal"/>
        <w:spacing w:lineRule="auto" w:line="276"/>
        <w:ind w:firstLine="709"/>
        <w:jc w:val="both"/>
        <w:rPr>
          <w:color w:themeColor="text1" w:val="000000"/>
        </w:rPr>
      </w:pPr>
      <w:r>
        <w:rPr>
          <w:color w:themeColor="text1" w:val="000000"/>
        </w:rPr>
        <w:t>- ул. Московская (пересечение с ул. Азаровской, ул. Карла Либкнехта, ул. Кирова, ул. Терепецкое кольцо, ул. Кубяка);</w:t>
      </w:r>
    </w:p>
    <w:p>
      <w:pPr>
        <w:pStyle w:val="Normal"/>
        <w:spacing w:lineRule="auto" w:line="276"/>
        <w:ind w:firstLine="709"/>
        <w:jc w:val="both"/>
        <w:rPr>
          <w:color w:themeColor="text1" w:val="000000"/>
        </w:rPr>
      </w:pPr>
      <w:r>
        <w:rPr>
          <w:color w:themeColor="text1" w:val="000000"/>
        </w:rPr>
        <w:t>- ул. Московская – ул. Билибина – ул. Глаголева (Московская площадь);</w:t>
      </w:r>
    </w:p>
    <w:p>
      <w:pPr>
        <w:pStyle w:val="Normal"/>
        <w:spacing w:lineRule="auto" w:line="276"/>
        <w:ind w:firstLine="709"/>
        <w:jc w:val="both"/>
        <w:rPr>
          <w:color w:themeColor="text1" w:val="000000"/>
        </w:rPr>
      </w:pPr>
      <w:r>
        <w:rPr>
          <w:color w:themeColor="text1" w:val="000000"/>
        </w:rPr>
        <w:t>- ул. Московская – ул. Ленина – пер. Старичков (площадь Карла Маркса);</w:t>
      </w:r>
    </w:p>
    <w:p>
      <w:pPr>
        <w:pStyle w:val="Normal"/>
        <w:spacing w:lineRule="auto" w:line="276"/>
        <w:ind w:firstLine="709"/>
        <w:jc w:val="both"/>
        <w:rPr>
          <w:color w:themeColor="text1" w:val="000000"/>
        </w:rPr>
      </w:pPr>
      <w:r>
        <w:rPr>
          <w:color w:themeColor="text1" w:val="000000"/>
        </w:rPr>
        <w:t>- ул. Кирова (пересечение с ул. Ленина, ул. Московской, ул. Рылеева, ул. Плеханова);</w:t>
      </w:r>
    </w:p>
    <w:p>
      <w:pPr>
        <w:pStyle w:val="Normal"/>
        <w:spacing w:lineRule="auto" w:line="276"/>
        <w:ind w:firstLine="709"/>
        <w:jc w:val="both"/>
        <w:rPr>
          <w:color w:themeColor="text1" w:val="000000"/>
        </w:rPr>
      </w:pPr>
      <w:r>
        <w:rPr>
          <w:color w:themeColor="text1" w:val="000000"/>
        </w:rPr>
        <w:t>- ул. Суворова – ул. Большевиков – ул. Октябрьская;</w:t>
      </w:r>
    </w:p>
    <w:p>
      <w:pPr>
        <w:pStyle w:val="Normal"/>
        <w:spacing w:lineRule="auto" w:line="276"/>
        <w:ind w:firstLine="709"/>
        <w:jc w:val="both"/>
        <w:rPr>
          <w:color w:themeColor="text1" w:val="000000"/>
        </w:rPr>
      </w:pPr>
      <w:r>
        <w:rPr>
          <w:color w:themeColor="text1" w:val="000000"/>
        </w:rPr>
        <w:t>- пересечение ул. Путейской – ул. Глаголева – ул. Тарутинской (Синие мосты);</w:t>
      </w:r>
    </w:p>
    <w:p>
      <w:pPr>
        <w:pStyle w:val="Normal"/>
        <w:spacing w:lineRule="auto" w:line="276"/>
        <w:ind w:firstLine="709"/>
        <w:jc w:val="both"/>
        <w:rPr>
          <w:color w:themeColor="text1" w:val="000000"/>
        </w:rPr>
      </w:pPr>
      <w:r>
        <w:rPr>
          <w:color w:themeColor="text1" w:val="000000"/>
        </w:rPr>
        <w:t>- пересечение ул. Тарутинской – ул. Зерновой;</w:t>
      </w:r>
    </w:p>
    <w:p>
      <w:pPr>
        <w:pStyle w:val="Normal"/>
        <w:spacing w:lineRule="auto" w:line="276"/>
        <w:ind w:firstLine="709"/>
        <w:jc w:val="both"/>
        <w:rPr>
          <w:color w:themeColor="text1" w:val="000000"/>
        </w:rPr>
      </w:pPr>
      <w:r>
        <w:rPr>
          <w:color w:themeColor="text1" w:val="000000"/>
        </w:rPr>
        <w:t>- ул. Зерновая – Грабцевское шоссе;</w:t>
      </w:r>
    </w:p>
    <w:p>
      <w:pPr>
        <w:pStyle w:val="Normal"/>
        <w:spacing w:lineRule="auto" w:line="276"/>
        <w:ind w:firstLine="709"/>
        <w:jc w:val="both"/>
        <w:rPr>
          <w:color w:themeColor="text1" w:val="000000"/>
        </w:rPr>
      </w:pPr>
      <w:r>
        <w:rPr>
          <w:color w:themeColor="text1" w:val="000000"/>
        </w:rPr>
        <w:t>- ул. Тульская – Киевский проезд – ул. Киевка;</w:t>
      </w:r>
    </w:p>
    <w:p>
      <w:pPr>
        <w:pStyle w:val="Normal"/>
        <w:spacing w:lineRule="auto" w:line="276"/>
        <w:ind w:firstLine="709"/>
        <w:jc w:val="both"/>
        <w:rPr>
          <w:color w:themeColor="text1" w:val="000000"/>
        </w:rPr>
      </w:pPr>
      <w:r>
        <w:rPr>
          <w:color w:themeColor="text1" w:val="000000"/>
        </w:rPr>
        <w:t>- ул. Ленина – ул. Кутузова (площадь Старый торг);</w:t>
      </w:r>
    </w:p>
    <w:p>
      <w:pPr>
        <w:pStyle w:val="Normal"/>
        <w:spacing w:lineRule="auto" w:line="276"/>
        <w:ind w:firstLine="709"/>
        <w:jc w:val="both"/>
        <w:rPr>
          <w:color w:themeColor="text1" w:val="000000"/>
        </w:rPr>
      </w:pPr>
      <w:r>
        <w:rPr>
          <w:color w:themeColor="text1" w:val="000000"/>
        </w:rPr>
        <w:t>- ул. Генерала Попова – Тульское шоссе;</w:t>
      </w:r>
    </w:p>
    <w:p>
      <w:pPr>
        <w:pStyle w:val="Normal"/>
        <w:spacing w:lineRule="auto" w:line="276"/>
        <w:ind w:firstLine="709"/>
        <w:jc w:val="both"/>
        <w:rPr>
          <w:color w:themeColor="text1" w:val="000000"/>
        </w:rPr>
      </w:pPr>
      <w:r>
        <w:rPr>
          <w:color w:themeColor="text1" w:val="000000"/>
        </w:rPr>
        <w:t>- ул. Воронина – ул. Суворова;</w:t>
      </w:r>
    </w:p>
    <w:p>
      <w:pPr>
        <w:pStyle w:val="Normal"/>
        <w:spacing w:lineRule="auto" w:line="276"/>
        <w:ind w:firstLine="709"/>
        <w:jc w:val="both"/>
        <w:rPr/>
      </w:pPr>
      <w:r>
        <w:rPr>
          <w:color w:themeColor="text1" w:val="000000"/>
        </w:rPr>
        <w:t>- пересечение ул. Маршала Жукова – ул. М. Горького;</w:t>
      </w:r>
    </w:p>
    <w:p>
      <w:pPr>
        <w:pStyle w:val="Normal"/>
        <w:spacing w:lineRule="auto" w:line="276"/>
        <w:ind w:firstLine="709"/>
        <w:jc w:val="both"/>
        <w:rPr>
          <w:color w:themeColor="text1" w:val="000000"/>
        </w:rPr>
      </w:pPr>
      <w:r>
        <w:rPr>
          <w:color w:themeColor="text1" w:val="000000"/>
        </w:rPr>
        <w:t>- пересечение ул. Гагарина – ул. Академика Королева.</w:t>
      </w:r>
    </w:p>
    <w:p>
      <w:pPr>
        <w:pStyle w:val="Normal"/>
        <w:ind w:firstLine="709"/>
        <w:jc w:val="both"/>
        <w:rPr>
          <w:color w:themeColor="text1" w:val="000000"/>
        </w:rPr>
      </w:pPr>
      <w:r>
        <w:rPr>
          <w:color w:themeColor="text1" w:val="000000"/>
        </w:rPr>
        <w:t>Наиболее загруженные участки улично-дорожной сети (УДС) города представлены в таблице 6.2.1.</w:t>
      </w:r>
    </w:p>
    <w:p>
      <w:pPr>
        <w:pStyle w:val="Normal"/>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r>
    </w:p>
    <w:p>
      <w:pPr>
        <w:pStyle w:val="Style78"/>
        <w:rPr>
          <w:color w:themeColor="text1" w:val="000000"/>
        </w:rPr>
      </w:pPr>
      <w:r>
        <w:rPr>
          <w:color w:themeColor="text1" w:val="000000"/>
        </w:rPr>
        <w:t>Таблица 6.2.1</w:t>
      </w:r>
    </w:p>
    <w:p>
      <w:pPr>
        <w:pStyle w:val="Normal"/>
        <w:spacing w:lineRule="auto" w:line="276"/>
        <w:ind w:firstLine="709"/>
        <w:jc w:val="center"/>
        <w:rPr>
          <w:color w:themeColor="text1" w:val="000000"/>
        </w:rPr>
      </w:pPr>
      <w:r>
        <w:rPr>
          <w:color w:themeColor="text1" w:val="000000"/>
        </w:rPr>
        <w:t>Наиболее загруженные участки УДС города Калуги</w:t>
      </w:r>
    </w:p>
    <w:tbl>
      <w:tblPr>
        <w:tblW w:w="9633"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645"/>
        <w:gridCol w:w="7804"/>
        <w:gridCol w:w="1184"/>
      </w:tblGrid>
      <w:tr>
        <w:trPr>
          <w:trHeight w:val="518" w:hRule="atLeast"/>
        </w:trPr>
        <w:tc>
          <w:tcPr>
            <w:tcW w:w="645"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widowControl w:val="false"/>
              <w:jc w:val="center"/>
              <w:rPr>
                <w:b/>
                <w:color w:themeColor="text1" w:val="000000"/>
                <w:sz w:val="22"/>
                <w:szCs w:val="22"/>
              </w:rPr>
            </w:pPr>
            <w:r>
              <w:rPr>
                <w:b/>
                <w:color w:themeColor="text1" w:val="000000"/>
                <w:sz w:val="22"/>
                <w:szCs w:val="22"/>
              </w:rPr>
              <w:t xml:space="preserve">№ </w:t>
            </w:r>
            <w:r>
              <w:rPr>
                <w:b/>
                <w:color w:themeColor="text1" w:val="000000"/>
                <w:sz w:val="22"/>
                <w:szCs w:val="22"/>
              </w:rPr>
              <w:t>п/п</w:t>
            </w:r>
          </w:p>
        </w:tc>
        <w:tc>
          <w:tcPr>
            <w:tcW w:w="7804"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widowControl w:val="false"/>
              <w:jc w:val="center"/>
              <w:rPr>
                <w:b/>
                <w:color w:themeColor="text1" w:val="000000"/>
                <w:sz w:val="22"/>
                <w:szCs w:val="22"/>
              </w:rPr>
            </w:pPr>
            <w:r>
              <w:rPr>
                <w:b/>
                <w:color w:themeColor="text1" w:val="000000"/>
                <w:sz w:val="22"/>
                <w:szCs w:val="22"/>
              </w:rPr>
              <w:t>Дорога/улица города</w:t>
            </w:r>
          </w:p>
        </w:tc>
        <w:tc>
          <w:tcPr>
            <w:tcW w:w="1184" w:type="dxa"/>
            <w:tcBorders>
              <w:top w:val="single" w:sz="4" w:space="0" w:color="000000"/>
              <w:left w:val="single" w:sz="4" w:space="0" w:color="000000"/>
              <w:bottom w:val="single" w:sz="4" w:space="0" w:color="000000"/>
              <w:right w:val="single" w:sz="4" w:space="0" w:color="000000"/>
            </w:tcBorders>
            <w:shd w:color="auto" w:fill="E7E6E6" w:themeFill="background2" w:val="clear"/>
            <w:vAlign w:val="center"/>
          </w:tcPr>
          <w:p>
            <w:pPr>
              <w:pStyle w:val="Normal"/>
              <w:widowControl w:val="false"/>
              <w:jc w:val="center"/>
              <w:rPr>
                <w:b/>
                <w:color w:themeColor="text1" w:val="000000"/>
                <w:sz w:val="22"/>
                <w:szCs w:val="22"/>
              </w:rPr>
            </w:pPr>
            <w:r>
              <w:rPr>
                <w:b/>
                <w:color w:themeColor="text1" w:val="000000"/>
                <w:sz w:val="22"/>
                <w:szCs w:val="22"/>
              </w:rPr>
              <w:t>Уровень загрузки, %</w:t>
            </w:r>
          </w:p>
        </w:tc>
      </w:tr>
      <w:tr>
        <w:trPr>
          <w:trHeight w:val="228"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Грабцевское ш. (от перекрестка ул. Зерновой и Гребцовское шоссе до Грабцевского шоссе, д.79)</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90</w:t>
            </w:r>
          </w:p>
        </w:tc>
      </w:tr>
      <w:tr>
        <w:trPr>
          <w:trHeight w:val="128"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Тарутинская (от пересечения с ул. Зерновая до Ольховского переулка)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85</w:t>
            </w:r>
          </w:p>
        </w:tc>
      </w:tr>
      <w:tr>
        <w:trPr>
          <w:trHeight w:val="90"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Московская (от пл. Московская до Безымянного переулка)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93</w:t>
            </w:r>
          </w:p>
        </w:tc>
      </w:tr>
      <w:tr>
        <w:trPr>
          <w:trHeight w:val="114"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Ленина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80</w:t>
            </w:r>
          </w:p>
        </w:tc>
      </w:tr>
      <w:tr>
        <w:trPr>
          <w:trHeight w:val="76"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Суворова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65</w:t>
            </w:r>
          </w:p>
        </w:tc>
      </w:tr>
      <w:tr>
        <w:trPr>
          <w:trHeight w:val="101"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Глаголева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78</w:t>
            </w:r>
          </w:p>
        </w:tc>
      </w:tr>
      <w:tr>
        <w:trPr>
          <w:trHeight w:val="125"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Гурьянова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75</w:t>
            </w:r>
          </w:p>
        </w:tc>
      </w:tr>
      <w:tr>
        <w:trPr>
          <w:trHeight w:val="137"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Телевизионная</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77</w:t>
            </w:r>
          </w:p>
        </w:tc>
      </w:tr>
      <w:tr>
        <w:trPr>
          <w:trHeight w:val="99"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Кирова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78</w:t>
            </w:r>
          </w:p>
        </w:tc>
      </w:tr>
      <w:tr>
        <w:trPr>
          <w:trHeight w:val="74"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Кутузова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61</w:t>
            </w:r>
          </w:p>
        </w:tc>
      </w:tr>
      <w:tr>
        <w:trPr>
          <w:trHeight w:val="86"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Советская</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77</w:t>
            </w:r>
          </w:p>
        </w:tc>
      </w:tr>
      <w:tr>
        <w:trPr>
          <w:trHeight w:val="110"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Тульская</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77</w:t>
            </w:r>
          </w:p>
        </w:tc>
      </w:tr>
      <w:tr>
        <w:trPr>
          <w:trHeight w:val="72"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Тульское ш.</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72</w:t>
            </w:r>
          </w:p>
        </w:tc>
      </w:tr>
      <w:tr>
        <w:trPr>
          <w:trHeight w:val="97"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Зерновая</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79</w:t>
            </w:r>
          </w:p>
        </w:tc>
      </w:tr>
      <w:tr>
        <w:trPr>
          <w:trHeight w:val="109"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Набережная</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78</w:t>
            </w:r>
          </w:p>
        </w:tc>
      </w:tr>
      <w:tr>
        <w:trPr>
          <w:trHeight w:val="196"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Киевский проезд</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78</w:t>
            </w:r>
          </w:p>
        </w:tc>
      </w:tr>
      <w:tr>
        <w:trPr>
          <w:trHeight w:val="95"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Маршала Жукова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w:t>
            </w:r>
          </w:p>
        </w:tc>
      </w:tr>
      <w:tr>
        <w:trPr>
          <w:trHeight w:val="120" w:hRule="atLeast"/>
        </w:trPr>
        <w:tc>
          <w:tcPr>
            <w:tcW w:w="6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7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ул. Труда</w:t>
            </w:r>
          </w:p>
        </w:tc>
        <w:tc>
          <w:tcPr>
            <w:tcW w:w="11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r>
    </w:tbl>
    <w:p>
      <w:pPr>
        <w:pStyle w:val="Normal"/>
        <w:spacing w:lineRule="auto" w:line="276"/>
        <w:ind w:firstLine="709"/>
        <w:jc w:val="both"/>
        <w:rPr>
          <w:color w:themeColor="text1" w:val="000000"/>
        </w:rPr>
      </w:pPr>
      <w:r>
        <w:rPr>
          <w:color w:themeColor="text1" w:val="000000"/>
        </w:rPr>
      </w:r>
    </w:p>
    <w:p>
      <w:pPr>
        <w:pStyle w:val="Normal"/>
        <w:ind w:firstLine="709"/>
        <w:jc w:val="both"/>
        <w:rPr>
          <w:color w:themeColor="text1" w:val="000000"/>
        </w:rPr>
      </w:pPr>
      <w:r>
        <w:rPr>
          <w:color w:themeColor="text1" w:val="000000"/>
        </w:rPr>
        <w:t>В настоящее время пропуск грузового автотранспорта осуществляется в том числе и через центральную часть города.</w:t>
      </w:r>
    </w:p>
    <w:p>
      <w:pPr>
        <w:pStyle w:val="Normal"/>
        <w:ind w:firstLine="709"/>
        <w:jc w:val="both"/>
        <w:rPr>
          <w:color w:themeColor="text1" w:val="000000"/>
        </w:rPr>
      </w:pPr>
      <w:r>
        <w:rPr>
          <w:color w:themeColor="text1" w:val="000000"/>
        </w:rPr>
        <w:t>Основными путями пропуска потоков грузового автотранспорта являются:</w:t>
      </w:r>
    </w:p>
    <w:p>
      <w:pPr>
        <w:pStyle w:val="Normal"/>
        <w:ind w:firstLine="709"/>
        <w:jc w:val="both"/>
        <w:rPr>
          <w:color w:themeColor="text1" w:val="000000"/>
        </w:rPr>
      </w:pPr>
      <w:r>
        <w:rPr>
          <w:color w:themeColor="text1" w:val="000000"/>
        </w:rPr>
        <w:t>- ул. Московская – ул. Телевизионная – ул. Труда – ул. Рылеева – ул. Суворова – ул. Октябрьская – ул. Гагарина;</w:t>
      </w:r>
    </w:p>
    <w:p>
      <w:pPr>
        <w:pStyle w:val="Normal"/>
        <w:ind w:firstLine="709"/>
        <w:jc w:val="both"/>
        <w:rPr>
          <w:color w:themeColor="text1" w:val="000000"/>
        </w:rPr>
      </w:pPr>
      <w:r>
        <w:rPr>
          <w:color w:themeColor="text1" w:val="000000"/>
        </w:rPr>
        <w:t>- ул. Тарутинская – ул. Глаголева – ул. Московская;</w:t>
      </w:r>
    </w:p>
    <w:p>
      <w:pPr>
        <w:pStyle w:val="Normal"/>
        <w:ind w:firstLine="709"/>
        <w:jc w:val="both"/>
        <w:rPr>
          <w:color w:themeColor="text1" w:val="000000"/>
        </w:rPr>
      </w:pPr>
      <w:r>
        <w:rPr>
          <w:color w:themeColor="text1" w:val="000000"/>
        </w:rPr>
        <w:t>- Грабцевское шоссе – ул. Маршала Жукова – ул. Чижевского – ул. Огарева – ул. Рылеева – ул. Суворова – ул. Октябрьская – ул. Гагарина;</w:t>
      </w:r>
    </w:p>
    <w:p>
      <w:pPr>
        <w:pStyle w:val="Normal"/>
        <w:ind w:firstLine="709"/>
        <w:jc w:val="both"/>
        <w:rPr>
          <w:color w:themeColor="text1" w:val="000000"/>
        </w:rPr>
      </w:pPr>
      <w:r>
        <w:rPr>
          <w:color w:themeColor="text1" w:val="000000"/>
        </w:rPr>
        <w:t>- Грабцевское шоссе – ул. К. Либкнехта – ул. Телевизионная – ул. Труда – ул. Рылеева – ул. Суворова – ул. Октябрьская – ул. Гагарина;</w:t>
      </w:r>
    </w:p>
    <w:p>
      <w:pPr>
        <w:pStyle w:val="Normal"/>
        <w:ind w:firstLine="709"/>
        <w:jc w:val="both"/>
        <w:rPr>
          <w:color w:themeColor="text1" w:val="000000"/>
        </w:rPr>
      </w:pPr>
      <w:r>
        <w:rPr>
          <w:color w:themeColor="text1" w:val="000000"/>
        </w:rPr>
        <w:t>- Грабцевское шоссе – ул. Зерновая – ул. Тарутинская;</w:t>
      </w:r>
    </w:p>
    <w:p>
      <w:pPr>
        <w:pStyle w:val="Normal"/>
        <w:ind w:firstLine="709"/>
        <w:jc w:val="both"/>
        <w:rPr>
          <w:color w:themeColor="text1" w:val="000000"/>
        </w:rPr>
      </w:pPr>
      <w:r>
        <w:rPr>
          <w:color w:themeColor="text1" w:val="000000"/>
        </w:rPr>
        <w:t>- ул. Салтыкова-Щедрина – ул. Луначарского – ул. Тульская;</w:t>
      </w:r>
    </w:p>
    <w:p>
      <w:pPr>
        <w:pStyle w:val="Normal"/>
        <w:ind w:firstLine="709"/>
        <w:jc w:val="both"/>
        <w:rPr>
          <w:color w:themeColor="text1" w:val="000000"/>
        </w:rPr>
      </w:pPr>
      <w:r>
        <w:rPr>
          <w:color w:themeColor="text1" w:val="000000"/>
        </w:rPr>
        <w:t>- ул. Салтыкова-Щедрина – ул. Болдина – ул. Никитина;</w:t>
      </w:r>
    </w:p>
    <w:p>
      <w:pPr>
        <w:pStyle w:val="Normal"/>
        <w:ind w:firstLine="709"/>
        <w:jc w:val="both"/>
        <w:rPr>
          <w:color w:themeColor="text1" w:val="000000"/>
        </w:rPr>
      </w:pPr>
      <w:r>
        <w:rPr>
          <w:color w:themeColor="text1" w:val="000000"/>
        </w:rPr>
        <w:t>- ул. Советская – ул. Киевка – ул. Тульская – ул. М. Горького – ул. Чижевского – ул. Огарева – ул. Рылеева – ул. Суворова – ул. Октябрьская – ул. Гагарина;</w:t>
      </w:r>
    </w:p>
    <w:p>
      <w:pPr>
        <w:pStyle w:val="Normal"/>
        <w:ind w:firstLine="709"/>
        <w:jc w:val="both"/>
        <w:rPr>
          <w:color w:themeColor="text1" w:val="000000"/>
        </w:rPr>
      </w:pPr>
      <w:r>
        <w:rPr>
          <w:color w:themeColor="text1" w:val="000000"/>
        </w:rPr>
        <w:t>- ул. Гурьянова – ул. Путейская – ул. Железняки – ул. Телевизионная – ул. Труда – ул. Рылеева – ул. Суворова – ул. Октябрьская – ул. Гагарина;</w:t>
      </w:r>
    </w:p>
    <w:p>
      <w:pPr>
        <w:pStyle w:val="Normal"/>
        <w:ind w:firstLine="709"/>
        <w:jc w:val="both"/>
        <w:rPr>
          <w:color w:themeColor="text1" w:val="000000"/>
        </w:rPr>
      </w:pPr>
      <w:r>
        <w:rPr>
          <w:color w:themeColor="text1" w:val="000000"/>
        </w:rPr>
        <w:t>- ул. Гурьянова – ул. Путейская – ул. Глаголева – ул. Тарутинская;</w:t>
      </w:r>
    </w:p>
    <w:p>
      <w:pPr>
        <w:pStyle w:val="Normal"/>
        <w:ind w:firstLine="709"/>
        <w:jc w:val="both"/>
        <w:rPr>
          <w:color w:themeColor="text1" w:val="000000"/>
        </w:rPr>
      </w:pPr>
      <w:r>
        <w:rPr>
          <w:color w:themeColor="text1" w:val="000000"/>
        </w:rPr>
        <w:t>- ул. Гурьянова – ул. Путейская – ул. Московская.</w:t>
      </w:r>
    </w:p>
    <w:p>
      <w:pPr>
        <w:sectPr>
          <w:headerReference w:type="default" r:id="rId51"/>
          <w:headerReference w:type="first" r:id="rId52"/>
          <w:footerReference w:type="default" r:id="rId53"/>
          <w:footerReference w:type="first" r:id="rId54"/>
          <w:footnotePr>
            <w:numFmt w:val="decimal"/>
          </w:footnotePr>
          <w:type w:val="nextPage"/>
          <w:pgSz w:w="11906" w:h="16838"/>
          <w:pgMar w:left="1418" w:right="709" w:gutter="0" w:header="567" w:top="1128" w:footer="0" w:bottom="709"/>
          <w:pgNumType w:fmt="decimal"/>
          <w:formProt w:val="false"/>
          <w:textDirection w:val="lrTb"/>
          <w:docGrid w:type="default" w:linePitch="360" w:charSpace="0"/>
        </w:sectPr>
        <w:pStyle w:val="Normal"/>
        <w:ind w:firstLine="709"/>
        <w:jc w:val="both"/>
        <w:rPr>
          <w:color w:themeColor="text1" w:val="000000"/>
        </w:rPr>
      </w:pPr>
      <w:r>
        <w:rPr>
          <w:color w:themeColor="text1" w:val="000000"/>
        </w:rPr>
        <w:t>В настоящее время высока доля грузового потока на центральных улицах - до 15%.</w:t>
      </w:r>
    </w:p>
    <w:p>
      <w:pPr>
        <w:pStyle w:val="Style78"/>
        <w:rPr>
          <w:color w:themeColor="text1" w:val="000000"/>
        </w:rPr>
      </w:pPr>
      <w:r>
        <w:rPr>
          <w:rStyle w:val="Style18"/>
          <w:color w:themeColor="text1" w:val="000000"/>
        </w:rPr>
        <w:t>Таблица 6.2.2</w:t>
      </w:r>
    </w:p>
    <w:p>
      <w:pPr>
        <w:pStyle w:val="Style83"/>
        <w:rPr>
          <w:color w:themeColor="text1" w:val="000000"/>
          <w:sz w:val="20"/>
          <w:szCs w:val="20"/>
        </w:rPr>
      </w:pPr>
      <w:r>
        <w:rPr>
          <w:color w:themeColor="text1" w:val="000000"/>
        </w:rPr>
        <w:t>Характеристика основных магистральных улиц городского округа</w:t>
      </w:r>
    </w:p>
    <w:tbl>
      <w:tblPr>
        <w:tblW w:w="15600"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736"/>
        <w:gridCol w:w="3093"/>
        <w:gridCol w:w="1843"/>
        <w:gridCol w:w="1560"/>
        <w:gridCol w:w="1839"/>
        <w:gridCol w:w="1842"/>
        <w:gridCol w:w="2273"/>
        <w:gridCol w:w="2412"/>
      </w:tblGrid>
      <w:tr>
        <w:trPr>
          <w:tblHeader w:val="true"/>
        </w:trPr>
        <w:tc>
          <w:tcPr>
            <w:tcW w:w="73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18"/>
                <w:szCs w:val="18"/>
                <w:lang w:bidi="ru-RU"/>
              </w:rPr>
              <w:t xml:space="preserve">№ </w:t>
            </w:r>
            <w:r>
              <w:rPr>
                <w:b/>
                <w:color w:themeColor="text1" w:val="000000"/>
                <w:sz w:val="18"/>
                <w:szCs w:val="18"/>
                <w:lang w:bidi="ru-RU"/>
              </w:rPr>
              <w:t>п/п</w:t>
            </w:r>
          </w:p>
        </w:tc>
        <w:tc>
          <w:tcPr>
            <w:tcW w:w="309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22"/>
                <w:szCs w:val="22"/>
                <w:lang w:bidi="ru-RU"/>
              </w:rPr>
              <w:t>Наименование</w:t>
            </w:r>
          </w:p>
        </w:tc>
        <w:tc>
          <w:tcPr>
            <w:tcW w:w="184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22"/>
                <w:szCs w:val="22"/>
                <w:lang w:bidi="ru-RU"/>
              </w:rPr>
              <w:t>Протяженность</w:t>
            </w:r>
          </w:p>
        </w:tc>
        <w:tc>
          <w:tcPr>
            <w:tcW w:w="156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22"/>
                <w:szCs w:val="22"/>
                <w:lang w:bidi="ru-RU"/>
              </w:rPr>
              <w:t>Ширина проезжей части</w:t>
            </w:r>
          </w:p>
        </w:tc>
        <w:tc>
          <w:tcPr>
            <w:tcW w:w="183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22"/>
                <w:szCs w:val="22"/>
                <w:lang w:bidi="ru-RU"/>
              </w:rPr>
              <w:t>Число полос</w:t>
            </w:r>
          </w:p>
          <w:p>
            <w:pPr>
              <w:pStyle w:val="Normal"/>
              <w:widowControl w:val="false"/>
              <w:jc w:val="center"/>
              <w:rPr>
                <w:b/>
                <w:color w:themeColor="text1" w:val="000000"/>
                <w:sz w:val="22"/>
                <w:szCs w:val="22"/>
                <w:lang w:bidi="ru-RU"/>
              </w:rPr>
            </w:pPr>
            <w:r>
              <w:rPr>
                <w:b/>
                <w:color w:themeColor="text1" w:val="000000"/>
                <w:sz w:val="22"/>
                <w:szCs w:val="22"/>
                <w:lang w:bidi="ru-RU"/>
              </w:rPr>
              <w:t>движения</w:t>
            </w:r>
          </w:p>
          <w:p>
            <w:pPr>
              <w:pStyle w:val="Normal"/>
              <w:widowControl w:val="false"/>
              <w:jc w:val="center"/>
              <w:rPr>
                <w:b/>
                <w:color w:themeColor="text1" w:val="000000"/>
                <w:sz w:val="22"/>
                <w:szCs w:val="22"/>
                <w:lang w:bidi="ru-RU"/>
              </w:rPr>
            </w:pPr>
            <w:r>
              <w:rPr>
                <w:b/>
                <w:color w:themeColor="text1" w:val="000000"/>
                <w:sz w:val="22"/>
                <w:szCs w:val="22"/>
                <w:lang w:bidi="ru-RU"/>
              </w:rPr>
              <w:t>(в двух</w:t>
            </w:r>
          </w:p>
          <w:p>
            <w:pPr>
              <w:pStyle w:val="Normal"/>
              <w:widowControl w:val="false"/>
              <w:jc w:val="center"/>
              <w:rPr>
                <w:b/>
                <w:color w:themeColor="text1" w:val="000000"/>
                <w:sz w:val="22"/>
                <w:szCs w:val="22"/>
                <w:lang w:bidi="ru-RU"/>
              </w:rPr>
            </w:pPr>
            <w:r>
              <w:rPr>
                <w:b/>
                <w:color w:themeColor="text1" w:val="000000"/>
                <w:sz w:val="22"/>
                <w:szCs w:val="22"/>
                <w:lang w:bidi="ru-RU"/>
              </w:rPr>
              <w:t>направлениях)</w:t>
            </w:r>
          </w:p>
        </w:tc>
        <w:tc>
          <w:tcPr>
            <w:tcW w:w="184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22"/>
                <w:szCs w:val="22"/>
                <w:lang w:bidi="ru-RU"/>
              </w:rPr>
              <w:t>Ширина полос движения</w:t>
            </w:r>
          </w:p>
        </w:tc>
        <w:tc>
          <w:tcPr>
            <w:tcW w:w="227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22"/>
                <w:szCs w:val="22"/>
                <w:lang w:bidi="ru-RU"/>
              </w:rPr>
              <w:t>Интенсивность движения транспорта</w:t>
            </w:r>
          </w:p>
        </w:tc>
        <w:tc>
          <w:tcPr>
            <w:tcW w:w="241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lang w:bidi="ru-RU"/>
              </w:rPr>
            </w:pPr>
            <w:r>
              <w:rPr>
                <w:b/>
                <w:color w:themeColor="text1" w:val="000000"/>
                <w:sz w:val="22"/>
                <w:szCs w:val="22"/>
                <w:lang w:bidi="ru-RU"/>
              </w:rPr>
              <w:t>Уровень загрузки</w:t>
            </w:r>
          </w:p>
        </w:tc>
      </w:tr>
      <w:tr>
        <w:trPr>
          <w:trHeight w:val="36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Кирова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1 728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 – 22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w:t>
            </w:r>
          </w:p>
        </w:tc>
      </w:tr>
      <w:tr>
        <w:trPr>
          <w:trHeight w:val="162"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Ленина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3 487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1800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86</w:t>
            </w:r>
          </w:p>
        </w:tc>
      </w:tr>
      <w:tr>
        <w:trPr>
          <w:trHeight w:val="18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Московская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10 995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16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98</w:t>
            </w:r>
          </w:p>
        </w:tc>
      </w:tr>
      <w:tr>
        <w:trPr>
          <w:trHeight w:val="14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Грабцевское шоссе</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8 503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15м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w:t>
            </w:r>
          </w:p>
        </w:tc>
      </w:tr>
      <w:tr>
        <w:trPr>
          <w:trHeight w:val="336"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Зерновая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1 903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7,5 – 21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10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1411</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79</w:t>
            </w:r>
          </w:p>
        </w:tc>
      </w:tr>
      <w:tr>
        <w:trPr>
          <w:trHeight w:val="35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К. Либкнехта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1 510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3,25 – 7,5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1459</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60</w:t>
            </w:r>
          </w:p>
        </w:tc>
      </w:tr>
      <w:tr>
        <w:trPr>
          <w:trHeight w:val="225"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Маршала Жукова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1 794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13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1165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70</w:t>
            </w:r>
          </w:p>
        </w:tc>
      </w:tr>
      <w:tr>
        <w:trPr>
          <w:trHeight w:val="18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пл. Победы</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510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w:t>
            </w:r>
          </w:p>
        </w:tc>
      </w:tr>
      <w:tr>
        <w:trPr>
          <w:trHeight w:val="37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Тарутинская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5 265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5,5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w:t>
            </w:r>
          </w:p>
        </w:tc>
      </w:tr>
      <w:tr>
        <w:trPr>
          <w:trHeight w:val="43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Салтыкова-Щедрина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2 604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10,5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м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682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87</w:t>
            </w:r>
          </w:p>
        </w:tc>
      </w:tr>
      <w:tr>
        <w:trPr>
          <w:trHeight w:val="36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Степана Разина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1 509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802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44</w:t>
            </w:r>
          </w:p>
        </w:tc>
      </w:tr>
      <w:tr>
        <w:trPr>
          <w:trHeight w:val="36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Гурьянова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3 345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 – 10,5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813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51</w:t>
            </w:r>
          </w:p>
        </w:tc>
      </w:tr>
      <w:tr>
        <w:trPr>
          <w:trHeight w:val="306"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Глаголева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1 834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1415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79</w:t>
            </w:r>
          </w:p>
        </w:tc>
      </w:tr>
      <w:tr>
        <w:trPr>
          <w:trHeight w:val="41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Тульская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2 665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 – 12,5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1252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70</w:t>
            </w:r>
          </w:p>
        </w:tc>
      </w:tr>
      <w:tr>
        <w:trPr>
          <w:trHeight w:val="35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Путейская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3 768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10,5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808</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Никитина на участке от ул. Степана Разина до</w:t>
            </w:r>
          </w:p>
          <w:p>
            <w:pPr>
              <w:pStyle w:val="Normal"/>
              <w:widowControl w:val="false"/>
              <w:rPr>
                <w:color w:themeColor="text1" w:val="000000"/>
                <w:sz w:val="22"/>
                <w:szCs w:val="22"/>
                <w:lang w:bidi="ru-RU"/>
              </w:rPr>
            </w:pPr>
            <w:r>
              <w:rPr>
                <w:color w:themeColor="text1" w:val="000000"/>
                <w:sz w:val="22"/>
                <w:szCs w:val="22"/>
                <w:lang w:bidi="ru-RU"/>
              </w:rPr>
              <w:t>ул. Болдина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685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 – 11,5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1016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78</w:t>
            </w:r>
          </w:p>
        </w:tc>
      </w:tr>
      <w:tr>
        <w:trPr>
          <w:trHeight w:val="20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Болдина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1 452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 – 13,5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1046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49</w:t>
            </w:r>
          </w:p>
        </w:tc>
      </w:tr>
      <w:tr>
        <w:trPr>
          <w:trHeight w:val="58"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Киевка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643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892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74</w:t>
            </w:r>
          </w:p>
        </w:tc>
      </w:tr>
      <w:tr>
        <w:trPr>
          <w:trHeight w:val="195"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40-летия Октября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1 329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13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6,5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1255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76</w:t>
            </w:r>
          </w:p>
        </w:tc>
      </w:tr>
      <w:tr>
        <w:trPr>
          <w:trHeight w:val="10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Советская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4 800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7,5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7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822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90</w:t>
            </w:r>
          </w:p>
        </w:tc>
      </w:tr>
      <w:tr>
        <w:trPr>
          <w:trHeight w:val="11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Гагарина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943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 – 21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1280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59</w:t>
            </w:r>
          </w:p>
        </w:tc>
      </w:tr>
      <w:tr>
        <w:trPr>
          <w:trHeight w:val="14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Тульское шоссе</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6 120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 – 19,5м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3452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86</w:t>
            </w:r>
          </w:p>
        </w:tc>
      </w:tr>
      <w:tr>
        <w:trPr>
          <w:trHeight w:val="33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Генерала Попова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3 951м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24 – 29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8</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2300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75</w:t>
            </w:r>
          </w:p>
        </w:tc>
      </w:tr>
      <w:tr>
        <w:trPr>
          <w:trHeight w:val="8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highlight w:val="yellow"/>
                <w:lang w:bidi="ru-RU"/>
              </w:rPr>
            </w:pPr>
            <w:r>
              <w:rPr>
                <w:color w:themeColor="text1" w:val="000000"/>
                <w:sz w:val="22"/>
                <w:szCs w:val="22"/>
                <w:lang w:bidi="ru-RU"/>
              </w:rPr>
              <w:t>ул. Фомушина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4 750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 – 22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6</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4м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1400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74</w:t>
            </w:r>
          </w:p>
        </w:tc>
      </w:tr>
      <w:tr>
        <w:trPr>
          <w:trHeight w:val="106"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Одоевское шоссе</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3 200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485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50</w:t>
            </w:r>
          </w:p>
        </w:tc>
      </w:tr>
      <w:tr>
        <w:trPr>
          <w:trHeight w:val="118"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Секиотовская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886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41</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Телевизионная от ул. Билибина до</w:t>
            </w:r>
          </w:p>
          <w:p>
            <w:pPr>
              <w:pStyle w:val="Normal"/>
              <w:widowControl w:val="false"/>
              <w:rPr>
                <w:color w:themeColor="text1" w:val="000000"/>
                <w:sz w:val="22"/>
                <w:szCs w:val="22"/>
                <w:lang w:bidi="ru-RU"/>
              </w:rPr>
            </w:pPr>
            <w:r>
              <w:rPr>
                <w:color w:themeColor="text1" w:val="000000"/>
                <w:sz w:val="22"/>
                <w:szCs w:val="22"/>
                <w:lang w:bidi="ru-RU"/>
              </w:rPr>
              <w:t>ул. Железняки</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1 310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1255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38</w:t>
            </w:r>
          </w:p>
        </w:tc>
      </w:tr>
      <w:tr>
        <w:trPr>
          <w:trHeight w:val="138"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Железняки</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2 815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7,7 – 12,5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w:t>
            </w:r>
          </w:p>
        </w:tc>
      </w:tr>
      <w:tr>
        <w:trPr>
          <w:trHeight w:val="10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lang w:bidi="ru-RU"/>
              </w:rPr>
              <w:t>а/д ул. Гурьянова-Анненки</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4 965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9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813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51</w:t>
            </w:r>
          </w:p>
        </w:tc>
      </w:tr>
      <w:tr>
        <w:trPr>
          <w:trHeight w:val="23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Билибина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920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 – 15,5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929</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64</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Академика Королева от ул. Гагарина до ул. Баумана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270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11,5 – 12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50</w:t>
            </w:r>
          </w:p>
        </w:tc>
      </w:tr>
      <w:tr>
        <w:trPr>
          <w:trHeight w:val="9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Пушкина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560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23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8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1011</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72</w:t>
            </w:r>
          </w:p>
        </w:tc>
      </w:tr>
      <w:tr>
        <w:trPr>
          <w:trHeight w:val="106"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Баженова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245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17,5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1058</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76</w:t>
            </w:r>
          </w:p>
        </w:tc>
      </w:tr>
      <w:tr>
        <w:trPr>
          <w:trHeight w:val="13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пл. Старый торг</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170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17,5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874</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62</w:t>
            </w:r>
          </w:p>
        </w:tc>
      </w:tr>
      <w:tr>
        <w:trPr>
          <w:trHeight w:val="93"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Кутузова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755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 – 12,5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743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63</w:t>
            </w:r>
          </w:p>
        </w:tc>
      </w:tr>
      <w:tr>
        <w:trPr>
          <w:trHeight w:val="11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сквер Мира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587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 – 12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192"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Курсантов</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1 672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7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0,55</w:t>
            </w:r>
          </w:p>
        </w:tc>
      </w:tr>
      <w:tr>
        <w:trPr>
          <w:trHeight w:val="10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Суворова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2 850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 – 14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p>
            <w:pPr>
              <w:pStyle w:val="Normal"/>
              <w:widowControl w:val="false"/>
              <w:jc w:val="center"/>
              <w:rPr>
                <w:color w:themeColor="text1" w:val="000000"/>
                <w:sz w:val="22"/>
                <w:szCs w:val="22"/>
                <w:lang w:bidi="ru-RU"/>
              </w:rPr>
            </w:pPr>
            <w:r>
              <w:rPr>
                <w:color w:themeColor="text1" w:val="000000"/>
                <w:sz w:val="22"/>
                <w:szCs w:val="22"/>
                <w:lang w:bidi="ru-RU"/>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899</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67</w:t>
            </w:r>
          </w:p>
        </w:tc>
      </w:tr>
      <w:tr>
        <w:trPr>
          <w:trHeight w:val="15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Плеханова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1 546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 – 22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947</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43</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Рылеева от ул. Труда до ул. Дзержинского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1 221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 – 11,5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820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26</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Дзержинского от ул. Московской до</w:t>
            </w:r>
          </w:p>
          <w:p>
            <w:pPr>
              <w:pStyle w:val="Normal"/>
              <w:widowControl w:val="false"/>
              <w:rPr>
                <w:color w:themeColor="text1" w:val="000000"/>
                <w:sz w:val="22"/>
                <w:szCs w:val="22"/>
                <w:lang w:bidi="ru-RU"/>
              </w:rPr>
            </w:pPr>
            <w:r>
              <w:rPr>
                <w:color w:themeColor="text1" w:val="000000"/>
                <w:sz w:val="22"/>
                <w:szCs w:val="22"/>
                <w:lang w:bidi="ru-RU"/>
              </w:rPr>
              <w:t>ул. Баумана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971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10,5 – 14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635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61</w:t>
            </w:r>
          </w:p>
        </w:tc>
      </w:tr>
      <w:tr>
        <w:trPr>
          <w:trHeight w:val="278"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Огарева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887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10,5 – 13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520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37</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Баррикад от ул. Воронина до Грабцевского шоссе</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1 454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10,5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1256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57</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Труда от пл. Телевизионной до</w:t>
            </w:r>
          </w:p>
          <w:p>
            <w:pPr>
              <w:pStyle w:val="Normal"/>
              <w:widowControl w:val="false"/>
              <w:rPr>
                <w:color w:themeColor="text1" w:val="000000"/>
                <w:sz w:val="22"/>
                <w:szCs w:val="22"/>
                <w:lang w:bidi="ru-RU"/>
              </w:rPr>
            </w:pPr>
            <w:r>
              <w:rPr>
                <w:color w:themeColor="text1" w:val="000000"/>
                <w:sz w:val="22"/>
                <w:szCs w:val="22"/>
                <w:lang w:bidi="ru-RU"/>
              </w:rPr>
              <w:t>ул. Плеханова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586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11,5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1005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80</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Телевизионная от ул. Билибина до пл. Телевизионной</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1 228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 – 14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52</w:t>
            </w:r>
          </w:p>
        </w:tc>
      </w:tr>
      <w:tr>
        <w:trPr>
          <w:trHeight w:val="19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пер. Труда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641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827</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51</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Пухова от  пер. Труда до ул. Чичерина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235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 – 10,5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657</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47</w:t>
            </w:r>
          </w:p>
        </w:tc>
      </w:tr>
      <w:tr>
        <w:trPr>
          <w:trHeight w:val="302"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Чичерина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7 306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7,5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310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22</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пер. Чичерина от ул. Телевизионной до ул. Багговута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402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8,5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18</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Пионерская от</w:t>
            </w:r>
          </w:p>
          <w:p>
            <w:pPr>
              <w:pStyle w:val="Normal"/>
              <w:widowControl w:val="false"/>
              <w:rPr>
                <w:color w:themeColor="text1" w:val="000000"/>
                <w:sz w:val="22"/>
                <w:szCs w:val="22"/>
                <w:lang w:bidi="ru-RU"/>
              </w:rPr>
            </w:pPr>
            <w:r>
              <w:rPr>
                <w:color w:themeColor="text1" w:val="000000"/>
                <w:sz w:val="22"/>
                <w:szCs w:val="22"/>
                <w:lang w:bidi="ru-RU"/>
              </w:rPr>
              <w:t>ул. Чичерина до ул. Широкой</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319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7,5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296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37</w:t>
            </w:r>
          </w:p>
        </w:tc>
      </w:tr>
      <w:tr>
        <w:trPr>
          <w:trHeight w:val="20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Социалистическая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569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9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761</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54</w:t>
            </w:r>
          </w:p>
        </w:tc>
      </w:tr>
      <w:tr>
        <w:trPr>
          <w:trHeight w:val="113"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Широкая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727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8,5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732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33</w:t>
            </w:r>
          </w:p>
        </w:tc>
      </w:tr>
      <w:tr>
        <w:trPr>
          <w:trHeight w:val="188"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Садовая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1 392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 – 6,5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w:t>
            </w:r>
          </w:p>
        </w:tc>
      </w:tr>
      <w:tr>
        <w:trPr>
          <w:trHeight w:val="20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Черносвитинская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1 722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 – 6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2,25 – 3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386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28</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Набережная Яченского водохранилища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2 895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 – 10,5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678</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48</w:t>
            </w:r>
          </w:p>
        </w:tc>
      </w:tr>
      <w:tr>
        <w:trPr>
          <w:trHeight w:val="10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пер. Лаврентьевский</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614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 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169</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21</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Хрустальная от ул. Маршала Жукова до Киевского проезда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835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689</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w:t>
            </w:r>
          </w:p>
        </w:tc>
      </w:tr>
      <w:tr>
        <w:trPr>
          <w:trHeight w:val="213"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Киевский проезд</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1 045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7,5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882</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72</w:t>
            </w:r>
          </w:p>
        </w:tc>
      </w:tr>
      <w:tr>
        <w:trPr>
          <w:trHeight w:val="62"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Заводская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985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938</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43</w:t>
            </w:r>
          </w:p>
        </w:tc>
      </w:tr>
      <w:tr>
        <w:trPr>
          <w:trHeight w:val="13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Моторная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655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10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494</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w:t>
            </w:r>
          </w:p>
        </w:tc>
      </w:tr>
      <w:tr>
        <w:trPr>
          <w:trHeight w:val="11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Чапаева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1 018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897</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41</w:t>
            </w:r>
          </w:p>
        </w:tc>
      </w:tr>
      <w:tr>
        <w:trPr>
          <w:trHeight w:val="123"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Восточный проезд</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990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 – 9,5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2,25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328</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40</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Никитина от ул. Болдина до ул. Восточный проезд</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775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1016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78</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Никитина от</w:t>
            </w:r>
          </w:p>
          <w:p>
            <w:pPr>
              <w:pStyle w:val="Normal"/>
              <w:widowControl w:val="false"/>
              <w:rPr>
                <w:color w:themeColor="text1" w:val="000000"/>
                <w:sz w:val="22"/>
                <w:szCs w:val="22"/>
                <w:lang w:bidi="ru-RU"/>
              </w:rPr>
            </w:pPr>
            <w:r>
              <w:rPr>
                <w:color w:themeColor="text1" w:val="000000"/>
                <w:sz w:val="22"/>
                <w:szCs w:val="22"/>
                <w:lang w:bidi="ru-RU"/>
              </w:rPr>
              <w:t>ул. Степана Разина до</w:t>
            </w:r>
          </w:p>
          <w:p>
            <w:pPr>
              <w:pStyle w:val="Normal"/>
              <w:widowControl w:val="false"/>
              <w:rPr>
                <w:color w:themeColor="text1" w:val="000000"/>
                <w:sz w:val="22"/>
                <w:szCs w:val="22"/>
                <w:lang w:bidi="ru-RU"/>
              </w:rPr>
            </w:pPr>
            <w:r>
              <w:rPr>
                <w:color w:themeColor="text1" w:val="000000"/>
                <w:sz w:val="22"/>
                <w:szCs w:val="22"/>
                <w:lang w:bidi="ru-RU"/>
              </w:rPr>
              <w:t>ул. Луначарского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965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9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72</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Луначарского до ул. Кутузова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1 359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 – 13,5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1206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51</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М. Горького от ул. Чижевского до</w:t>
            </w:r>
          </w:p>
          <w:p>
            <w:pPr>
              <w:pStyle w:val="Normal"/>
              <w:widowControl w:val="false"/>
              <w:rPr>
                <w:color w:themeColor="text1" w:val="000000"/>
                <w:sz w:val="22"/>
                <w:szCs w:val="22"/>
                <w:lang w:bidi="ru-RU"/>
              </w:rPr>
            </w:pPr>
            <w:r>
              <w:rPr>
                <w:color w:themeColor="text1" w:val="000000"/>
                <w:sz w:val="22"/>
                <w:szCs w:val="22"/>
                <w:lang w:bidi="ru-RU"/>
              </w:rPr>
              <w:t>ул. Никитина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1 504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 12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131</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75</w:t>
            </w:r>
          </w:p>
        </w:tc>
      </w:tr>
      <w:tr>
        <w:trPr>
          <w:trHeight w:val="19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Чижевского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922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567</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41</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Дзержинского от ул. Московской</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655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10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635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61</w:t>
            </w:r>
          </w:p>
        </w:tc>
      </w:tr>
      <w:tr>
        <w:trPr>
          <w:trHeight w:val="7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Баумана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883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763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44</w:t>
            </w:r>
          </w:p>
        </w:tc>
      </w:tr>
      <w:tr>
        <w:trPr>
          <w:trHeight w:val="21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Смоленская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598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12,5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547</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39</w:t>
            </w:r>
          </w:p>
        </w:tc>
      </w:tr>
      <w:tr>
        <w:trPr>
          <w:trHeight w:val="176"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Набережная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 xml:space="preserve"> </w:t>
            </w:r>
            <w:r>
              <w:rPr>
                <w:color w:themeColor="text1" w:val="000000"/>
                <w:sz w:val="22"/>
                <w:szCs w:val="22"/>
                <w:lang w:bidi="ru-RU"/>
              </w:rPr>
              <w:t>1 339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12,5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1069</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76</w:t>
            </w:r>
          </w:p>
        </w:tc>
      </w:tr>
      <w:tr>
        <w:trPr>
          <w:trHeight w:val="25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Ромодановские Дворики</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2 793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9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235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w:t>
            </w:r>
          </w:p>
        </w:tc>
      </w:tr>
      <w:tr>
        <w:trPr>
          <w:trHeight w:val="10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Секиотовская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1 696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504</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13</w:t>
            </w:r>
          </w:p>
        </w:tc>
      </w:tr>
      <w:tr>
        <w:trPr>
          <w:trHeight w:val="12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3й Академический проезд</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1 420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403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29</w:t>
            </w:r>
          </w:p>
        </w:tc>
      </w:tr>
      <w:tr>
        <w:trPr>
          <w:trHeight w:val="14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lang w:bidi="ru-RU"/>
              </w:rPr>
              <w:t>ул. 65 лет Победы</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1 345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328</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23</w:t>
            </w:r>
          </w:p>
        </w:tc>
      </w:tr>
      <w:tr>
        <w:trPr>
          <w:trHeight w:val="11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Серафима Туликова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205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805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13</w:t>
            </w:r>
          </w:p>
        </w:tc>
      </w:tr>
      <w:tr>
        <w:trPr>
          <w:trHeight w:val="135"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Георгия Амелина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1 216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316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w:t>
            </w:r>
          </w:p>
        </w:tc>
      </w:tr>
      <w:tr>
        <w:trPr>
          <w:trHeight w:val="14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Братьев Луканиных</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998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20</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Петра Тарасова от ул. Братьев Луканиных до ул.</w:t>
            </w:r>
            <w:r>
              <w:rPr>
                <w:color w:themeColor="text1" w:val="000000"/>
                <w:sz w:val="22"/>
                <w:szCs w:val="22"/>
                <w:lang w:val="en-US" w:bidi="ru-RU"/>
              </w:rPr>
              <w:t> </w:t>
            </w:r>
            <w:r>
              <w:rPr>
                <w:color w:themeColor="text1" w:val="000000"/>
                <w:sz w:val="22"/>
                <w:szCs w:val="22"/>
                <w:lang w:bidi="ru-RU"/>
              </w:rPr>
              <w:t>Бориса Литвинчука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325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30</w:t>
            </w:r>
          </w:p>
        </w:tc>
      </w:tr>
      <w:tr>
        <w:trPr>
          <w:trHeight w:val="203"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Бориса Литвинчука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426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40</w:t>
            </w:r>
          </w:p>
        </w:tc>
      </w:tr>
      <w:tr>
        <w:trPr>
          <w:trHeight w:val="165"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Владимира Козлова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40</w:t>
            </w:r>
          </w:p>
        </w:tc>
      </w:tr>
      <w:tr>
        <w:trPr>
          <w:trHeight w:val="17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Андрея Алешина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421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420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w:t>
            </w:r>
          </w:p>
        </w:tc>
      </w:tr>
      <w:tr>
        <w:trPr>
          <w:trHeight w:val="20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Петра Тарасова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821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w:t>
            </w:r>
          </w:p>
        </w:tc>
      </w:tr>
      <w:tr>
        <w:trPr>
          <w:trHeight w:val="163"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автодорога в д. Воровая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652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 – 6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2,25 – 3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48</w:t>
            </w:r>
          </w:p>
        </w:tc>
      </w:tr>
      <w:tr>
        <w:trPr>
          <w:trHeight w:val="75"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Степной проезд</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1 930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13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6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546</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w:t>
            </w:r>
          </w:p>
        </w:tc>
      </w:tr>
      <w:tr>
        <w:trPr>
          <w:trHeight w:val="15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пер. Сельский</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1 140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6,5 – 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8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523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37</w:t>
            </w:r>
          </w:p>
        </w:tc>
      </w:tr>
      <w:tr>
        <w:trPr>
          <w:trHeight w:val="22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Литвиновская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3 065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 – 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2,25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335</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24</w:t>
            </w:r>
          </w:p>
        </w:tc>
      </w:tr>
      <w:tr>
        <w:trPr>
          <w:trHeight w:val="186"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Полевая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990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8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w:t>
            </w:r>
          </w:p>
        </w:tc>
      </w:tr>
      <w:tr>
        <w:trPr>
          <w:trHeight w:val="98"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Городенская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620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 – 7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 – 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150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18</w:t>
            </w:r>
          </w:p>
        </w:tc>
      </w:tr>
      <w:tr>
        <w:trPr>
          <w:trHeight w:val="60"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Майская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567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7,5 – 8,2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 4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25</w:t>
            </w:r>
          </w:p>
        </w:tc>
      </w:tr>
      <w:tr>
        <w:trPr>
          <w:trHeight w:val="19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Дорожная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912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 7,5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163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20</w:t>
            </w:r>
          </w:p>
        </w:tc>
      </w:tr>
      <w:tr>
        <w:trPr>
          <w:trHeight w:val="15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Новая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475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844</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66</w:t>
            </w:r>
          </w:p>
        </w:tc>
      </w:tr>
      <w:tr>
        <w:trPr>
          <w:trHeight w:val="7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2-я Клубничная (Канищево)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1 098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 – 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4,5 – 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300</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42</w:t>
            </w:r>
          </w:p>
        </w:tc>
      </w:tr>
      <w:tr>
        <w:trPr>
          <w:trHeight w:val="83"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а/д ул. Гурьянова- д. Карачево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1 276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 – 6,5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2,75 – 3,25 м</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813</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51</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Телевизионная на участке от пл. Телевизионной до ул. Билибина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1 203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 – 15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194"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Достоевского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886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 – 10 м</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Дзержинского на участке от ул. Николо-Козинской до ул. Луначарского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628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Ф. Энгельса на участке от ул. Чижевского до</w:t>
            </w:r>
          </w:p>
          <w:p>
            <w:pPr>
              <w:pStyle w:val="Normal"/>
              <w:widowControl w:val="false"/>
              <w:rPr>
                <w:color w:themeColor="text1" w:val="000000"/>
                <w:sz w:val="22"/>
                <w:szCs w:val="22"/>
                <w:lang w:bidi="ru-RU"/>
              </w:rPr>
            </w:pPr>
            <w:r>
              <w:rPr>
                <w:color w:themeColor="text1" w:val="000000"/>
                <w:sz w:val="22"/>
                <w:szCs w:val="22"/>
                <w:lang w:bidi="ru-RU"/>
              </w:rPr>
              <w:t>ул. Никитина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1 158 м</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99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Николо-Козинская на участке от ул. Чижевского до ул. Войкова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1 162</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65"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Подвойского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1 394</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Прончищева от  Грабцевского шоссе до ул. Литвиновской</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2 100</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102</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Тульская на участке от ул. Луначарского до ул. Степана Разина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766</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4</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103</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Георгиевская на участке от ул. Баумана до</w:t>
            </w:r>
          </w:p>
          <w:p>
            <w:pPr>
              <w:pStyle w:val="Normal"/>
              <w:widowControl w:val="false"/>
              <w:rPr>
                <w:color w:themeColor="text1" w:val="000000"/>
                <w:sz w:val="22"/>
                <w:szCs w:val="22"/>
                <w:lang w:bidi="ru-RU"/>
              </w:rPr>
            </w:pPr>
            <w:r>
              <w:rPr>
                <w:color w:themeColor="text1" w:val="000000"/>
                <w:sz w:val="22"/>
                <w:szCs w:val="22"/>
                <w:lang w:bidi="ru-RU"/>
              </w:rPr>
              <w:t>ул. Плеханова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204</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104</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Пухова на участке от ул. Телевизионной до ул. Чичерина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206</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 3</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105</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lang w:bidi="ru-RU"/>
              </w:rPr>
              <w:t>ул. Мичурина на участке от ул. Николо-Козинской до</w:t>
            </w:r>
          </w:p>
          <w:p>
            <w:pPr>
              <w:pStyle w:val="Normal"/>
              <w:widowControl w:val="false"/>
              <w:rPr>
                <w:color w:themeColor="text1" w:val="000000"/>
                <w:sz w:val="22"/>
                <w:szCs w:val="22"/>
                <w:lang w:bidi="ru-RU"/>
              </w:rPr>
            </w:pPr>
            <w:r>
              <w:rPr>
                <w:color w:themeColor="text1" w:val="000000"/>
                <w:sz w:val="22"/>
                <w:szCs w:val="22"/>
                <w:lang w:bidi="ru-RU"/>
              </w:rPr>
              <w:t>ул. Пестеля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846</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567"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106</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Пестеля на участке от ул. Никитина до ул. Тульской</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713</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79"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107</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Маяковского</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1279</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13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108</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Новая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2 220</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 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131"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109</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Молодежная</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1 254</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106"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110</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Платова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1 545</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 – 6</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r>
        <w:trPr>
          <w:trHeight w:val="118" w:hRule="atLeast"/>
        </w:trPr>
        <w:tc>
          <w:tcPr>
            <w:tcW w:w="7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111</w:t>
            </w:r>
          </w:p>
        </w:tc>
        <w:tc>
          <w:tcPr>
            <w:tcW w:w="30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bidi="ru-RU"/>
              </w:rPr>
            </w:pPr>
            <w:r>
              <w:rPr>
                <w:color w:themeColor="text1" w:val="000000"/>
                <w:sz w:val="22"/>
                <w:szCs w:val="22"/>
                <w:lang w:bidi="ru-RU"/>
              </w:rPr>
              <w:t>ул. Клюквина</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824</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5,5</w:t>
            </w:r>
          </w:p>
        </w:tc>
        <w:tc>
          <w:tcPr>
            <w:tcW w:w="18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2</w:t>
            </w:r>
          </w:p>
        </w:tc>
        <w:tc>
          <w:tcPr>
            <w:tcW w:w="1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2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c>
          <w:tcPr>
            <w:tcW w:w="241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bidi="ru-RU"/>
              </w:rPr>
            </w:pPr>
            <w:r>
              <w:rPr>
                <w:color w:themeColor="text1" w:val="000000"/>
                <w:sz w:val="22"/>
                <w:szCs w:val="22"/>
                <w:lang w:bidi="ru-RU"/>
              </w:rPr>
              <w:t>-</w:t>
            </w:r>
          </w:p>
        </w:tc>
      </w:tr>
    </w:tbl>
    <w:p>
      <w:pPr>
        <w:sectPr>
          <w:headerReference w:type="default" r:id="rId55"/>
          <w:headerReference w:type="first" r:id="rId56"/>
          <w:footerReference w:type="default" r:id="rId57"/>
          <w:footerReference w:type="first" r:id="rId58"/>
          <w:footnotePr>
            <w:numFmt w:val="decimal"/>
          </w:footnotePr>
          <w:type w:val="nextPage"/>
          <w:pgSz w:orient="landscape" w:w="16838" w:h="11906"/>
          <w:pgMar w:left="1418" w:right="1134" w:gutter="0" w:header="1134" w:top="1695" w:footer="0" w:bottom="471"/>
          <w:pgNumType w:fmt="decimal"/>
          <w:formProt w:val="false"/>
          <w:titlePg/>
          <w:textDirection w:val="lrTb"/>
          <w:docGrid w:type="default" w:linePitch="360" w:charSpace="0"/>
        </w:sectPr>
      </w:pPr>
    </w:p>
    <w:p>
      <w:pPr>
        <w:pStyle w:val="Normal"/>
        <w:spacing w:before="60" w:after="60"/>
        <w:ind w:firstLine="709"/>
        <w:jc w:val="both"/>
        <w:rPr>
          <w:b/>
          <w:bCs/>
          <w:color w:themeColor="text1" w:val="000000"/>
        </w:rPr>
      </w:pPr>
      <w:r>
        <w:rPr>
          <w:b/>
          <w:bCs/>
          <w:color w:themeColor="text1" w:val="000000"/>
        </w:rPr>
        <w:t>Искусственные сооружения</w:t>
      </w:r>
    </w:p>
    <w:p>
      <w:pPr>
        <w:pStyle w:val="Normal"/>
        <w:ind w:firstLine="709"/>
        <w:jc w:val="both"/>
        <w:rPr>
          <w:color w:themeColor="text1" w:val="000000"/>
        </w:rPr>
      </w:pPr>
      <w:r>
        <w:rPr>
          <w:color w:themeColor="text1" w:val="000000"/>
        </w:rPr>
        <w:t>При расчлененности территории города естественными и искусственными преградами важнейшую роль играют дорожные искусственные сооружения. Крупные искусственные сооружения (более 50 м) и их характеристики приведены в таблице 6.2.3.</w:t>
      </w:r>
    </w:p>
    <w:p>
      <w:pPr>
        <w:pStyle w:val="Style78"/>
        <w:rPr>
          <w:color w:themeColor="text1" w:val="000000"/>
        </w:rPr>
      </w:pPr>
      <w:r>
        <w:rPr>
          <w:color w:themeColor="text1" w:val="000000"/>
        </w:rPr>
        <w:t>Таблица 6.2.3</w:t>
      </w:r>
    </w:p>
    <w:p>
      <w:pPr>
        <w:pStyle w:val="Style83"/>
        <w:rPr>
          <w:color w:themeColor="text1" w:val="000000"/>
        </w:rPr>
      </w:pPr>
      <w:r>
        <w:rPr>
          <w:color w:themeColor="text1" w:val="000000"/>
        </w:rPr>
        <w:t>Характеристика искусственных сооружений</w:t>
      </w:r>
    </w:p>
    <w:tbl>
      <w:tblPr>
        <w:tblW w:w="10633"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62"/>
        <w:gridCol w:w="4086"/>
        <w:gridCol w:w="1138"/>
        <w:gridCol w:w="1797"/>
        <w:gridCol w:w="1658"/>
        <w:gridCol w:w="1391"/>
      </w:tblGrid>
      <w:tr>
        <w:trPr>
          <w:tblHeader w:val="true"/>
          <w:trHeight w:val="1012" w:hRule="atLeast"/>
          <w:cantSplit w:val="true"/>
        </w:trPr>
        <w:tc>
          <w:tcPr>
            <w:tcW w:w="562"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 xml:space="preserve">№ </w:t>
            </w:r>
            <w:r>
              <w:rPr>
                <w:b/>
                <w:color w:themeColor="text1" w:val="000000"/>
              </w:rPr>
              <w:t>п/п</w:t>
            </w:r>
          </w:p>
        </w:tc>
        <w:tc>
          <w:tcPr>
            <w:tcW w:w="408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Наименование сооружения и створ улицы</w:t>
            </w:r>
          </w:p>
        </w:tc>
        <w:tc>
          <w:tcPr>
            <w:tcW w:w="113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Длина (с подходами), м</w:t>
            </w:r>
          </w:p>
        </w:tc>
        <w:tc>
          <w:tcPr>
            <w:tcW w:w="179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Габариты</w:t>
            </w:r>
          </w:p>
        </w:tc>
        <w:tc>
          <w:tcPr>
            <w:tcW w:w="165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Материал конструкции</w:t>
            </w:r>
          </w:p>
        </w:tc>
        <w:tc>
          <w:tcPr>
            <w:tcW w:w="139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Сроки ввода в эксплуата-цию</w:t>
            </w:r>
          </w:p>
        </w:tc>
      </w:tr>
      <w:tr>
        <w:trPr>
          <w:trHeight w:val="176"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а/д Жерело – Рожки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77,27</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8,0+2Х0,65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11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Мост через р. Жерелка на а/д обход</w:t>
            </w:r>
          </w:p>
          <w:p>
            <w:pPr>
              <w:pStyle w:val="1112"/>
              <w:widowControl w:val="false"/>
              <w:jc w:val="left"/>
              <w:rPr>
                <w:color w:themeColor="text1" w:val="000000"/>
              </w:rPr>
            </w:pPr>
            <w:r>
              <w:rPr>
                <w:color w:themeColor="text1" w:val="000000"/>
              </w:rPr>
              <w:t>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53,78</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2Г – 9,9+2Х0,8</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169"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3</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съезд в д. Ильинка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71,41</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8,09+2Х0,8</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4</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съезд в д. Марьино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71,25</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6,5+2Х0,75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5</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а/д «п. Северный – Окружная г. Калуги» у д. Петрово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86,44</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10,0+2Х0,78</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2"/>
              <w:widowControl w:val="false"/>
              <w:snapToGrid w:val="false"/>
              <w:jc w:val="right"/>
              <w:rPr>
                <w:color w:themeColor="text1" w:val="000000"/>
              </w:rPr>
            </w:pPr>
            <w:r>
              <w:rPr>
                <w:color w:themeColor="text1" w:val="000000"/>
                <w:sz w:val="16"/>
                <w:szCs w:val="16"/>
              </w:rPr>
              <w:t>6</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Мост через р. Терепец на а/д обход</w:t>
            </w:r>
          </w:p>
          <w:p>
            <w:pPr>
              <w:pStyle w:val="1112"/>
              <w:widowControl w:val="false"/>
              <w:jc w:val="left"/>
              <w:rPr>
                <w:color w:themeColor="text1" w:val="000000"/>
              </w:rPr>
            </w:pPr>
            <w:r>
              <w:rPr>
                <w:color w:themeColor="text1" w:val="000000"/>
              </w:rPr>
              <w:t>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282,19</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2Г – 9,0+2Х0,8</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металл</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7</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а/д Калуга – Ястребовка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71,25</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8,0+2Х0,8</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8</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ж/д «Калуга – Алексин»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65,53</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Г-(9,5+2+9,5)+2Х0,75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9</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а/д на Литвиновское кладбище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50,36</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2Г – 11,35+2Х0,75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sz w:val="16"/>
                <w:szCs w:val="16"/>
              </w:rPr>
            </w:pPr>
            <w:r>
              <w:rPr>
                <w:color w:themeColor="text1" w:val="000000"/>
                <w:sz w:val="16"/>
                <w:szCs w:val="16"/>
              </w:rPr>
              <w:t>10</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подъездную ж/д к ООО «Калугатара» на а/д обход</w:t>
            </w:r>
          </w:p>
          <w:p>
            <w:pPr>
              <w:pStyle w:val="1112"/>
              <w:widowControl w:val="false"/>
              <w:jc w:val="left"/>
              <w:rPr>
                <w:color w:themeColor="text1" w:val="000000"/>
              </w:rPr>
            </w:pPr>
            <w:r>
              <w:rPr>
                <w:color w:themeColor="text1" w:val="000000"/>
              </w:rPr>
              <w:t>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110,54</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2Г – 10,3+2Х0,80</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2002</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11</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примыкания к а/д Калуга Грабцево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71,25</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10,0+2Х0,75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2000</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12</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а/д Калуга Грабцево и ж/д подъездные пути на а/д обход</w:t>
            </w:r>
          </w:p>
          <w:p>
            <w:pPr>
              <w:pStyle w:val="1112"/>
              <w:widowControl w:val="false"/>
              <w:jc w:val="left"/>
              <w:rPr>
                <w:color w:themeColor="text1" w:val="000000"/>
              </w:rPr>
            </w:pPr>
            <w:r>
              <w:rPr>
                <w:color w:themeColor="text1" w:val="000000"/>
              </w:rPr>
              <w:t>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268,20</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w:t>
              <w:noBreakHyphen/>
              <w:t>2Г9+2Х0,85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 металл</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2000</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13</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а/д Калуга – Ферзиково – Таруса – Серпухов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87,05</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2Г – 9,5+2Х1,5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2000</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14</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Мост через р. Киевка на а/д обход</w:t>
            </w:r>
          </w:p>
          <w:p>
            <w:pPr>
              <w:pStyle w:val="1112"/>
              <w:widowControl w:val="false"/>
              <w:jc w:val="left"/>
              <w:rPr>
                <w:color w:themeColor="text1" w:val="000000"/>
              </w:rPr>
            </w:pPr>
            <w:r>
              <w:rPr>
                <w:color w:themeColor="text1" w:val="000000"/>
              </w:rPr>
              <w:t>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198,39</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9,0+1Х1,70</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2000</w:t>
            </w:r>
          </w:p>
        </w:tc>
      </w:tr>
      <w:tr>
        <w:trPr>
          <w:trHeight w:val="4169" w:hRule="exac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15</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на пересечении с</w:t>
            </w:r>
          </w:p>
          <w:p>
            <w:pPr>
              <w:pStyle w:val="1112"/>
              <w:widowControl w:val="false"/>
              <w:jc w:val="left"/>
              <w:rPr>
                <w:color w:themeColor="text1" w:val="000000"/>
              </w:rPr>
            </w:pPr>
            <w:r>
              <w:rPr>
                <w:color w:themeColor="text1" w:val="000000"/>
              </w:rPr>
              <w:t>ул. Салтыкова-Щедрина на а/д обход</w:t>
            </w:r>
          </w:p>
          <w:p>
            <w:pPr>
              <w:pStyle w:val="1112"/>
              <w:widowControl w:val="false"/>
              <w:jc w:val="left"/>
              <w:rPr>
                <w:color w:themeColor="text1" w:val="000000"/>
              </w:rPr>
            </w:pPr>
            <w:r>
              <w:rPr>
                <w:color w:themeColor="text1" w:val="000000"/>
              </w:rPr>
              <w:t>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78,24</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2Г – 9,5+2Х1,5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1999</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16</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Мост через р. Ока на а/д обход 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558,52</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2Г – 9,0+2Х1,7</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металл</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1999</w:t>
            </w:r>
          </w:p>
        </w:tc>
      </w:tr>
      <w:tr>
        <w:trPr>
          <w:trHeight w:val="680" w:hRule="atLeast"/>
          <w:cantSplit w:val="true"/>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17</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а/д Калуга – Тула – Михайлов – Рязань на а/д обход</w:t>
            </w:r>
          </w:p>
          <w:p>
            <w:pPr>
              <w:pStyle w:val="1112"/>
              <w:widowControl w:val="false"/>
              <w:jc w:val="left"/>
              <w:rPr>
                <w:color w:themeColor="text1" w:val="000000"/>
              </w:rPr>
            </w:pPr>
            <w:r>
              <w:rPr>
                <w:color w:themeColor="text1" w:val="000000"/>
              </w:rPr>
              <w:t>г. Калуги</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76,80</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Style w:val="Style18"/>
                <w:color w:themeColor="text1" w:val="000000"/>
              </w:rPr>
              <w:t>Г – 15,25+2Х0,8</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1999</w:t>
            </w:r>
          </w:p>
        </w:tc>
      </w:tr>
      <w:tr>
        <w:trPr>
          <w:trHeight w:val="584"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18</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Мост через реку Оку в створе</w:t>
            </w:r>
          </w:p>
          <w:p>
            <w:pPr>
              <w:pStyle w:val="1112"/>
              <w:widowControl w:val="false"/>
              <w:jc w:val="left"/>
              <w:rPr>
                <w:color w:themeColor="text1" w:val="000000"/>
              </w:rPr>
            </w:pPr>
            <w:r>
              <w:rPr>
                <w:color w:themeColor="text1" w:val="000000"/>
              </w:rPr>
              <w:t>ул. Гагарина</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481,2 (1810,0)</w:t>
            </w:r>
          </w:p>
        </w:tc>
        <w:tc>
          <w:tcPr>
            <w:tcW w:w="1797" w:type="dxa"/>
            <w:tcBorders>
              <w:top w:val="single" w:sz="4" w:space="0" w:color="000000"/>
              <w:left w:val="single" w:sz="4" w:space="0" w:color="000000"/>
              <w:bottom w:val="single" w:sz="4" w:space="0" w:color="000000"/>
            </w:tcBorders>
            <w:shd w:color="auto" w:fill="auto" w:val="clear"/>
          </w:tcPr>
          <w:p>
            <w:pPr>
              <w:pStyle w:val="1112"/>
              <w:widowControl w:val="false"/>
              <w:rPr>
                <w:rStyle w:val="Style18"/>
                <w:color w:themeColor="text1" w:val="000000"/>
              </w:rPr>
            </w:pPr>
            <w:r>
              <w:rPr>
                <w:rStyle w:val="Style18"/>
                <w:color w:themeColor="text1" w:val="000000"/>
              </w:rPr>
              <w:t>полотно – 27,0</w:t>
            </w:r>
          </w:p>
          <w:p>
            <w:pPr>
              <w:pStyle w:val="1112"/>
              <w:widowControl w:val="false"/>
              <w:rPr>
                <w:color w:themeColor="text1" w:val="000000"/>
              </w:rPr>
            </w:pPr>
            <w:r>
              <w:rPr>
                <w:rStyle w:val="Style18"/>
                <w:color w:themeColor="text1" w:val="000000"/>
              </w:rPr>
              <w:t>проезжая часть – 21,0</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1965</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19</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через ж/д по ул. Московской</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252,47</w:t>
            </w:r>
          </w:p>
        </w:tc>
        <w:tc>
          <w:tcPr>
            <w:tcW w:w="1797" w:type="dxa"/>
            <w:tcBorders>
              <w:top w:val="single" w:sz="4" w:space="0" w:color="000000"/>
              <w:left w:val="single" w:sz="4" w:space="0" w:color="000000"/>
              <w:bottom w:val="single" w:sz="4" w:space="0" w:color="000000"/>
            </w:tcBorders>
            <w:shd w:color="auto" w:fill="auto" w:val="clear"/>
          </w:tcPr>
          <w:p>
            <w:pPr>
              <w:pStyle w:val="1112"/>
              <w:widowControl w:val="false"/>
              <w:rPr>
                <w:rStyle w:val="Style18"/>
                <w:color w:themeColor="text1" w:val="000000"/>
              </w:rPr>
            </w:pPr>
            <w:r>
              <w:rPr>
                <w:rStyle w:val="Style18"/>
                <w:color w:themeColor="text1" w:val="000000"/>
              </w:rPr>
              <w:t>полотно – 29,75</w:t>
            </w:r>
          </w:p>
          <w:p>
            <w:pPr>
              <w:pStyle w:val="1112"/>
              <w:widowControl w:val="false"/>
              <w:rPr>
                <w:color w:themeColor="text1" w:val="000000"/>
              </w:rPr>
            </w:pPr>
            <w:r>
              <w:rPr>
                <w:rStyle w:val="Style18"/>
                <w:color w:themeColor="text1" w:val="000000"/>
              </w:rPr>
              <w:t>проезжая часть – 22,5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1982</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20</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Мост через р. Терепец по ул. Московской</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240,0</w:t>
            </w:r>
          </w:p>
        </w:tc>
        <w:tc>
          <w:tcPr>
            <w:tcW w:w="1797" w:type="dxa"/>
            <w:tcBorders>
              <w:top w:val="single" w:sz="4" w:space="0" w:color="000000"/>
              <w:left w:val="single" w:sz="4" w:space="0" w:color="000000"/>
              <w:bottom w:val="single" w:sz="4" w:space="0" w:color="000000"/>
            </w:tcBorders>
            <w:shd w:color="auto" w:fill="auto" w:val="clear"/>
          </w:tcPr>
          <w:p>
            <w:pPr>
              <w:pStyle w:val="1112"/>
              <w:widowControl w:val="false"/>
              <w:rPr>
                <w:rStyle w:val="Style18"/>
                <w:color w:themeColor="text1" w:val="000000"/>
              </w:rPr>
            </w:pPr>
            <w:r>
              <w:rPr>
                <w:rStyle w:val="Style18"/>
                <w:color w:themeColor="text1" w:val="000000"/>
              </w:rPr>
              <w:t>полотно – 20,0</w:t>
            </w:r>
          </w:p>
          <w:p>
            <w:pPr>
              <w:pStyle w:val="1112"/>
              <w:widowControl w:val="false"/>
              <w:rPr>
                <w:color w:themeColor="text1" w:val="000000"/>
              </w:rPr>
            </w:pPr>
            <w:r>
              <w:rPr>
                <w:rStyle w:val="Style18"/>
                <w:color w:themeColor="text1" w:val="000000"/>
              </w:rPr>
              <w:t>проезжая часть – 15,0</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1985</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21</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Каменный мост через Березуйский овраг в створе ул. Баженова и ул. Пушкина</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109,7 (155,5)</w:t>
            </w:r>
          </w:p>
        </w:tc>
        <w:tc>
          <w:tcPr>
            <w:tcW w:w="1797" w:type="dxa"/>
            <w:tcBorders>
              <w:top w:val="single" w:sz="4" w:space="0" w:color="000000"/>
              <w:left w:val="single" w:sz="4" w:space="0" w:color="000000"/>
              <w:bottom w:val="single" w:sz="4" w:space="0" w:color="000000"/>
            </w:tcBorders>
            <w:shd w:color="auto" w:fill="auto" w:val="clear"/>
          </w:tcPr>
          <w:p>
            <w:pPr>
              <w:pStyle w:val="1112"/>
              <w:widowControl w:val="false"/>
              <w:rPr>
                <w:rStyle w:val="Style18"/>
                <w:color w:themeColor="text1" w:val="000000"/>
              </w:rPr>
            </w:pPr>
            <w:r>
              <w:rPr>
                <w:rStyle w:val="Style18"/>
                <w:color w:themeColor="text1" w:val="000000"/>
              </w:rPr>
              <w:t>полотно – 11,5</w:t>
            </w:r>
          </w:p>
          <w:p>
            <w:pPr>
              <w:pStyle w:val="1112"/>
              <w:widowControl w:val="false"/>
              <w:rPr>
                <w:color w:themeColor="text1" w:val="000000"/>
              </w:rPr>
            </w:pPr>
            <w:r>
              <w:rPr>
                <w:rStyle w:val="Style18"/>
                <w:color w:themeColor="text1" w:val="000000"/>
              </w:rPr>
              <w:t>проезжая часть – 9,0</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 кирпич</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1780, реконструкция 1975</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22</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в створе ул. Гагарина через ул. Смоленскую</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40,9</w:t>
            </w:r>
          </w:p>
        </w:tc>
        <w:tc>
          <w:tcPr>
            <w:tcW w:w="1797" w:type="dxa"/>
            <w:tcBorders>
              <w:top w:val="single" w:sz="4" w:space="0" w:color="000000"/>
              <w:left w:val="single" w:sz="4" w:space="0" w:color="000000"/>
              <w:bottom w:val="single" w:sz="4" w:space="0" w:color="000000"/>
            </w:tcBorders>
            <w:shd w:color="auto" w:fill="auto" w:val="clear"/>
          </w:tcPr>
          <w:p>
            <w:pPr>
              <w:pStyle w:val="1112"/>
              <w:widowControl w:val="false"/>
              <w:rPr>
                <w:rStyle w:val="Style18"/>
                <w:color w:themeColor="text1" w:val="000000"/>
              </w:rPr>
            </w:pPr>
            <w:r>
              <w:rPr>
                <w:rStyle w:val="Style18"/>
                <w:color w:themeColor="text1" w:val="000000"/>
              </w:rPr>
              <w:t>полотно – 13,5</w:t>
            </w:r>
          </w:p>
          <w:p>
            <w:pPr>
              <w:pStyle w:val="1112"/>
              <w:widowControl w:val="false"/>
              <w:rPr>
                <w:color w:themeColor="text1" w:val="000000"/>
              </w:rPr>
            </w:pPr>
            <w:r>
              <w:rPr>
                <w:rStyle w:val="Style18"/>
                <w:color w:themeColor="text1" w:val="000000"/>
              </w:rPr>
              <w:t>проезжая часть – 9,0</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1962</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23</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Синие мосты (2 шт., поворот с</w:t>
            </w:r>
          </w:p>
          <w:p>
            <w:pPr>
              <w:pStyle w:val="1112"/>
              <w:widowControl w:val="false"/>
              <w:jc w:val="left"/>
              <w:rPr>
                <w:color w:themeColor="text1" w:val="000000"/>
              </w:rPr>
            </w:pPr>
            <w:r>
              <w:rPr>
                <w:color w:themeColor="text1" w:val="000000"/>
              </w:rPr>
              <w:t>ул. Глаголева на ул. Тарутинская) через ж/д</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230,0</w:t>
            </w:r>
          </w:p>
        </w:tc>
        <w:tc>
          <w:tcPr>
            <w:tcW w:w="1797" w:type="dxa"/>
            <w:tcBorders>
              <w:top w:val="single" w:sz="4" w:space="0" w:color="000000"/>
              <w:left w:val="single" w:sz="4" w:space="0" w:color="000000"/>
              <w:bottom w:val="single" w:sz="4" w:space="0" w:color="000000"/>
            </w:tcBorders>
            <w:shd w:color="auto" w:fill="auto" w:val="clear"/>
          </w:tcPr>
          <w:p>
            <w:pPr>
              <w:pStyle w:val="1112"/>
              <w:widowControl w:val="false"/>
              <w:rPr>
                <w:rStyle w:val="Style18"/>
                <w:color w:themeColor="text1" w:val="000000"/>
              </w:rPr>
            </w:pPr>
            <w:r>
              <w:rPr>
                <w:rStyle w:val="Style18"/>
                <w:color w:themeColor="text1" w:val="000000"/>
              </w:rPr>
              <w:t>полотно – 8,9</w:t>
            </w:r>
          </w:p>
          <w:p>
            <w:pPr>
              <w:pStyle w:val="1112"/>
              <w:widowControl w:val="false"/>
              <w:rPr>
                <w:color w:themeColor="text1" w:val="000000"/>
              </w:rPr>
            </w:pPr>
            <w:r>
              <w:rPr>
                <w:rStyle w:val="Style18"/>
                <w:color w:themeColor="text1" w:val="000000"/>
              </w:rPr>
              <w:t>проезжая часть – 6,5</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ж/б</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1953</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24</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Мост на а/д Калуга – Ферзиково – Таруса – Серпухов</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53,4</w:t>
            </w:r>
          </w:p>
        </w:tc>
        <w:tc>
          <w:tcPr>
            <w:tcW w:w="1797" w:type="dxa"/>
            <w:tcBorders>
              <w:top w:val="single" w:sz="4" w:space="0" w:color="000000"/>
              <w:left w:val="single" w:sz="4" w:space="0" w:color="000000"/>
              <w:bottom w:val="single" w:sz="4" w:space="0" w:color="000000"/>
            </w:tcBorders>
            <w:shd w:color="auto" w:fill="auto" w:val="clear"/>
          </w:tcPr>
          <w:p>
            <w:pPr>
              <w:pStyle w:val="1112"/>
              <w:widowControl w:val="false"/>
              <w:rPr>
                <w:rStyle w:val="Style18"/>
                <w:color w:themeColor="text1" w:val="000000"/>
              </w:rPr>
            </w:pPr>
            <w:r>
              <w:rPr>
                <w:rStyle w:val="Style18"/>
                <w:color w:themeColor="text1" w:val="000000"/>
              </w:rPr>
              <w:t>полотно – 12,3</w:t>
            </w:r>
          </w:p>
          <w:p>
            <w:pPr>
              <w:pStyle w:val="1112"/>
              <w:widowControl w:val="false"/>
              <w:rPr>
                <w:color w:themeColor="text1" w:val="000000"/>
              </w:rPr>
            </w:pPr>
            <w:r>
              <w:rPr>
                <w:rStyle w:val="Style18"/>
                <w:color w:themeColor="text1" w:val="000000"/>
              </w:rPr>
              <w:t>проезжая часть – 10,0</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25</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Путепровод на пересечении ж/д магистрали в районе станции Калуга II c а/д (автомобильный проезд под путепроводом)</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snapToGrid w:val="false"/>
              <w:rPr>
                <w:color w:themeColor="text1" w:val="000000"/>
              </w:rPr>
            </w:pPr>
            <w:r>
              <w:rPr>
                <w:color w:themeColor="text1" w:val="000000"/>
              </w:rPr>
              <w:t>-</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rHeight w:val="680" w:hRule="atLeast"/>
        </w:trPr>
        <w:tc>
          <w:tcPr>
            <w:tcW w:w="562" w:type="dxa"/>
            <w:tcBorders>
              <w:top w:val="single" w:sz="4" w:space="0" w:color="000000"/>
              <w:left w:val="single" w:sz="4" w:space="0" w:color="000000"/>
              <w:bottom w:val="single" w:sz="4" w:space="0" w:color="000000"/>
            </w:tcBorders>
            <w:shd w:color="auto" w:fill="auto" w:val="clear"/>
            <w:vAlign w:val="center"/>
          </w:tcPr>
          <w:p>
            <w:pPr>
              <w:pStyle w:val="1113"/>
              <w:widowControl w:val="false"/>
              <w:snapToGrid w:val="false"/>
              <w:ind w:hanging="720" w:left="720"/>
              <w:jc w:val="right"/>
              <w:rPr>
                <w:color w:themeColor="text1" w:val="000000"/>
              </w:rPr>
            </w:pPr>
            <w:r>
              <w:rPr>
                <w:color w:themeColor="text1" w:val="000000"/>
                <w:sz w:val="16"/>
                <w:szCs w:val="16"/>
              </w:rPr>
              <w:t>26</w:t>
            </w:r>
          </w:p>
        </w:tc>
        <w:tc>
          <w:tcPr>
            <w:tcW w:w="4086" w:type="dxa"/>
            <w:tcBorders>
              <w:top w:val="single" w:sz="4" w:space="0" w:color="000000"/>
              <w:left w:val="single" w:sz="4" w:space="0" w:color="000000"/>
              <w:bottom w:val="single" w:sz="4" w:space="0" w:color="000000"/>
            </w:tcBorders>
            <w:shd w:color="auto" w:fill="auto" w:val="clear"/>
            <w:vAlign w:val="center"/>
          </w:tcPr>
          <w:p>
            <w:pPr>
              <w:pStyle w:val="1112"/>
              <w:widowControl w:val="false"/>
              <w:jc w:val="left"/>
              <w:rPr>
                <w:color w:themeColor="text1" w:val="000000"/>
              </w:rPr>
            </w:pPr>
            <w:r>
              <w:rPr>
                <w:color w:themeColor="text1" w:val="000000"/>
              </w:rPr>
              <w:t>Два железнодорожных путепровода через восточную часть окружной дороги</w:t>
            </w:r>
          </w:p>
          <w:p>
            <w:pPr>
              <w:pStyle w:val="1112"/>
              <w:widowControl w:val="false"/>
              <w:jc w:val="left"/>
              <w:rPr>
                <w:color w:themeColor="text1" w:val="000000"/>
              </w:rPr>
            </w:pPr>
            <w:r>
              <w:rPr>
                <w:color w:themeColor="text1" w:val="000000"/>
              </w:rPr>
              <w:t>(ул. Зерновая)</w:t>
            </w:r>
          </w:p>
        </w:tc>
        <w:tc>
          <w:tcPr>
            <w:tcW w:w="113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w:t>
            </w:r>
          </w:p>
        </w:tc>
        <w:tc>
          <w:tcPr>
            <w:tcW w:w="1797" w:type="dxa"/>
            <w:tcBorders>
              <w:top w:val="single" w:sz="4" w:space="0" w:color="000000"/>
              <w:left w:val="single" w:sz="4" w:space="0" w:color="000000"/>
              <w:bottom w:val="single" w:sz="4" w:space="0" w:color="000000"/>
            </w:tcBorders>
            <w:shd w:color="auto" w:fill="auto" w:val="clear"/>
            <w:vAlign w:val="center"/>
          </w:tcPr>
          <w:p>
            <w:pPr>
              <w:pStyle w:val="1112"/>
              <w:widowControl w:val="false"/>
              <w:snapToGrid w:val="false"/>
              <w:rPr>
                <w:color w:themeColor="text1" w:val="000000"/>
              </w:rPr>
            </w:pPr>
            <w:r>
              <w:rPr>
                <w:color w:themeColor="text1" w:val="000000"/>
              </w:rPr>
              <w:t>-</w:t>
            </w:r>
          </w:p>
        </w:tc>
        <w:tc>
          <w:tcPr>
            <w:tcW w:w="165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w:t>
            </w:r>
          </w:p>
        </w:tc>
        <w:tc>
          <w:tcPr>
            <w:tcW w:w="1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bl>
    <w:p>
      <w:pPr>
        <w:pStyle w:val="Normal"/>
        <w:spacing w:before="60" w:after="60"/>
        <w:ind w:firstLine="709"/>
        <w:jc w:val="both"/>
        <w:rPr>
          <w:b/>
          <w:bCs/>
          <w:color w:themeColor="text1" w:val="000000"/>
        </w:rPr>
      </w:pPr>
      <w:r>
        <w:rPr>
          <w:b/>
          <w:bCs/>
          <w:color w:themeColor="text1" w:val="000000"/>
        </w:rPr>
        <w:t>Городской транспорт</w:t>
      </w:r>
    </w:p>
    <w:p>
      <w:pPr>
        <w:pStyle w:val="Normal"/>
        <w:ind w:firstLine="709"/>
        <w:jc w:val="both"/>
        <w:rPr>
          <w:color w:themeColor="text1" w:val="000000"/>
        </w:rPr>
      </w:pPr>
      <w:r>
        <w:rPr>
          <w:color w:themeColor="text1" w:val="000000"/>
        </w:rPr>
        <w:t>Пассажирские перевозки на территории городского округа осуществляются троллейбусами и автобусами. В городе действуют 67 автобусных и 11 троллейбусных маршрутов регулярного сообщения общей протяженностью около 936 км. Маршруты обслуживает 591 единица подвижного состава преимущественно малой и средней вместимости. Перевозки пассажиров осуществляют 1 муниципальное предприятие и 7 предприятий различных форм собственности.</w:t>
      </w:r>
    </w:p>
    <w:p>
      <w:pPr>
        <w:pStyle w:val="Normal"/>
        <w:ind w:firstLine="709"/>
        <w:jc w:val="both"/>
        <w:rPr>
          <w:color w:themeColor="text1" w:val="000000"/>
        </w:rPr>
      </w:pPr>
      <w:r>
        <w:rPr>
          <w:color w:themeColor="text1" w:val="000000"/>
        </w:rPr>
        <w:t>В связи с изношенностью подвижного состава, нерациональной структурой участников рынка пассажирских перевозок и отсутствием необходимого количества транспорта большой вместимости муниципалитет не имеет возможности обеспечить качественные транспортные услуги для населения. Для решения этого вопроса необходимо осуществить поэтапный переход на новую транспортную схему города Калуги с обновленным подвижным составом, увеличением доли автобусов большой вместимости и скорректированной схемой маршрутов.</w:t>
      </w:r>
    </w:p>
    <w:p>
      <w:pPr>
        <w:pStyle w:val="Normal"/>
        <w:ind w:firstLine="709"/>
        <w:jc w:val="both"/>
        <w:rPr>
          <w:color w:themeColor="text1" w:val="000000"/>
        </w:rPr>
      </w:pPr>
      <w:r>
        <w:rPr>
          <w:color w:themeColor="text1" w:val="000000"/>
        </w:rPr>
        <w:t>За последние 5 лет парк легковых автомобилей вырос на треть, при этом уровень автомобилизации увеличился с 247 до 362 легковых автомобилей на 1000 жителей, что неизбежно влечет за собой затруднение движения по городским улицам, особенно в часы пик. Одним из инструментов решения данной проблемы для муниципалитета стала организация городского парковочного пространства. На территории Калуги сейчас обустроено 1100 платных парковочных мест. В результате пропускная способность улиц увеличилась более чем на 10%, на 18% снизилась аварийность на дорогах, а также существенно увеличилась скорость движения автотранспорта.</w:t>
      </w:r>
    </w:p>
    <w:p>
      <w:pPr>
        <w:pStyle w:val="Normal"/>
        <w:spacing w:before="60" w:after="60"/>
        <w:ind w:firstLine="709"/>
        <w:jc w:val="both"/>
        <w:rPr>
          <w:b/>
          <w:bCs/>
          <w:color w:themeColor="text1" w:val="000000"/>
        </w:rPr>
      </w:pPr>
      <w:r>
        <w:rPr>
          <w:b/>
          <w:bCs/>
          <w:color w:themeColor="text1" w:val="000000"/>
        </w:rPr>
        <w:t>Парковочное пространство</w:t>
      </w:r>
    </w:p>
    <w:p>
      <w:pPr>
        <w:pStyle w:val="Normal"/>
        <w:ind w:firstLine="709"/>
        <w:jc w:val="both"/>
        <w:rPr>
          <w:color w:themeColor="text1" w:val="000000"/>
        </w:rPr>
      </w:pPr>
      <w:r>
        <w:rPr>
          <w:color w:themeColor="text1" w:val="000000"/>
        </w:rPr>
        <w:t>Хранение легковых автомобилей осуществляется в гаражах боксового типа</w:t>
        <w:br/>
        <w:t xml:space="preserve">(таблица 6.2.5), на открытых платных стоянках, а также вдоль существующей дорожно-транспортной сети города и во дворах многоквартирных жилых домов. Современные методы организации постоянного хранения автотранспорта – многоярусные гаражи – практически не развиты. </w:t>
      </w:r>
    </w:p>
    <w:p>
      <w:pPr>
        <w:pStyle w:val="Normal"/>
        <w:tabs>
          <w:tab w:val="clear" w:pos="397"/>
          <w:tab w:val="center" w:pos="4819" w:leader="none"/>
        </w:tabs>
        <w:rPr>
          <w:color w:themeColor="text1" w:val="000000"/>
        </w:rPr>
      </w:pPr>
      <w:r>
        <w:rPr>
          <w:color w:themeColor="text1" w:val="000000"/>
        </w:rPr>
      </w:r>
    </w:p>
    <w:p>
      <w:pPr>
        <w:pStyle w:val="Style78"/>
        <w:rPr>
          <w:color w:themeColor="text1" w:val="000000"/>
        </w:rPr>
      </w:pPr>
      <w:r>
        <w:rPr>
          <w:color w:themeColor="text1" w:val="000000"/>
        </w:rPr>
        <w:t>Таблица 6.2.4</w:t>
      </w:r>
    </w:p>
    <w:p>
      <w:pPr>
        <w:pStyle w:val="Style83"/>
        <w:rPr>
          <w:color w:themeColor="text1" w:val="000000"/>
        </w:rPr>
      </w:pPr>
      <w:r>
        <w:rPr>
          <w:color w:themeColor="text1" w:val="000000"/>
        </w:rPr>
        <w:t>Характеристика парковочного пространства на территории г. Калуги</w:t>
      </w:r>
    </w:p>
    <w:tbl>
      <w:tblPr>
        <w:tblW w:w="5000" w:type="pct"/>
        <w:jc w:val="left"/>
        <w:tblInd w:w="103" w:type="dxa"/>
        <w:tblLayout w:type="fixed"/>
        <w:tblCellMar>
          <w:top w:w="0" w:type="dxa"/>
          <w:left w:w="108" w:type="dxa"/>
          <w:bottom w:w="0" w:type="dxa"/>
          <w:right w:w="108" w:type="dxa"/>
        </w:tblCellMar>
        <w:tblLook w:firstRow="1" w:noVBand="1" w:lastRow="0" w:firstColumn="1" w:lastColumn="0" w:noHBand="0" w:val="04a0"/>
      </w:tblPr>
      <w:tblGrid>
        <w:gridCol w:w="578"/>
        <w:gridCol w:w="6815"/>
        <w:gridCol w:w="2672"/>
      </w:tblGrid>
      <w:tr>
        <w:trPr/>
        <w:tc>
          <w:tcPr>
            <w:tcW w:w="578"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 xml:space="preserve">№ </w:t>
            </w:r>
            <w:r>
              <w:rPr>
                <w:b/>
                <w:color w:themeColor="text1" w:val="000000"/>
              </w:rPr>
              <w:t>п/п</w:t>
            </w:r>
          </w:p>
        </w:tc>
        <w:tc>
          <w:tcPr>
            <w:tcW w:w="681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Показатель</w:t>
            </w:r>
          </w:p>
        </w:tc>
        <w:tc>
          <w:tcPr>
            <w:tcW w:w="267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Значение показателя</w:t>
            </w:r>
          </w:p>
        </w:tc>
      </w:tr>
      <w:tr>
        <w:trPr>
          <w:trHeight w:val="272"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Количество легковых автомобилей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123388</w:t>
            </w:r>
          </w:p>
        </w:tc>
      </w:tr>
      <w:tr>
        <w:trPr>
          <w:trHeight w:val="175"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Существующее количество машино-мест</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197961</w:t>
            </w:r>
          </w:p>
        </w:tc>
      </w:tr>
      <w:tr>
        <w:trPr>
          <w:trHeight w:val="199"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Машино-мест для постоянного хранения автомобилей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110478</w:t>
            </w:r>
          </w:p>
        </w:tc>
      </w:tr>
      <w:tr>
        <w:trPr>
          <w:trHeight w:val="161"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Машино-мест для временного хранения автомобилей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87483</w:t>
            </w:r>
          </w:p>
        </w:tc>
      </w:tr>
      <w:tr>
        <w:trPr>
          <w:trHeight w:val="506"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На территории специализированных автостоянок + внеуличная парковка</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7130 + 14256</w:t>
            </w:r>
          </w:p>
        </w:tc>
      </w:tr>
      <w:tr>
        <w:trPr>
          <w:trHeight w:val="170"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Парковка вдоль УДС + платное парковочное пространство</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72381 + 846</w:t>
            </w:r>
          </w:p>
        </w:tc>
      </w:tr>
      <w:tr>
        <w:trPr>
          <w:trHeight w:val="194"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 составе ГСК</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23529</w:t>
            </w:r>
          </w:p>
        </w:tc>
      </w:tr>
      <w:tr>
        <w:trPr>
          <w:trHeight w:val="156"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Парковки на территории частных домовладений</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28557</w:t>
            </w:r>
          </w:p>
        </w:tc>
      </w:tr>
      <w:tr>
        <w:trPr>
          <w:trHeight w:val="118"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Парковка на территории дворов МКД</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51262</w:t>
            </w:r>
          </w:p>
        </w:tc>
      </w:tr>
      <w:tr>
        <w:trPr>
          <w:trHeight w:val="506"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68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Машино-мест на территории специализированных стоянок для хранения задержанных транспортных средств</w:t>
            </w:r>
          </w:p>
        </w:tc>
        <w:tc>
          <w:tcPr>
            <w:tcW w:w="267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110</w:t>
            </w:r>
          </w:p>
        </w:tc>
      </w:tr>
    </w:tbl>
    <w:p>
      <w:pPr>
        <w:pStyle w:val="Normal"/>
        <w:tabs>
          <w:tab w:val="clear" w:pos="397"/>
          <w:tab w:val="center" w:pos="4819" w:leader="none"/>
        </w:tabs>
        <w:rPr>
          <w:color w:themeColor="text1" w:val="000000"/>
        </w:rPr>
      </w:pPr>
      <w:r>
        <w:rPr>
          <w:color w:themeColor="text1" w:val="000000"/>
        </w:rPr>
        <w:tab/>
      </w:r>
    </w:p>
    <w:p>
      <w:pPr>
        <w:pStyle w:val="Style78"/>
        <w:rPr>
          <w:color w:themeColor="text1" w:val="000000"/>
        </w:rPr>
      </w:pPr>
      <w:r>
        <w:rPr>
          <w:color w:themeColor="text1" w:val="000000"/>
        </w:rPr>
        <w:t>Таблица 6.2.5</w:t>
      </w:r>
    </w:p>
    <w:p>
      <w:pPr>
        <w:pStyle w:val="Normal"/>
        <w:tabs>
          <w:tab w:val="clear" w:pos="397"/>
          <w:tab w:val="center" w:pos="4819" w:leader="none"/>
        </w:tabs>
        <w:jc w:val="center"/>
        <w:rPr>
          <w:color w:themeColor="text1" w:val="000000"/>
        </w:rPr>
      </w:pPr>
      <w:r>
        <w:rPr>
          <w:color w:themeColor="text1" w:val="000000"/>
        </w:rPr>
        <w:t>Перечень гаражных кооперативов, расположенных на территории городского округа</w:t>
      </w:r>
    </w:p>
    <w:tbl>
      <w:tblPr>
        <w:tblW w:w="10060"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580"/>
        <w:gridCol w:w="7787"/>
        <w:gridCol w:w="1693"/>
      </w:tblGrid>
      <w:tr>
        <w:trPr>
          <w:tblHeader w:val="true"/>
          <w:trHeight w:val="315" w:hRule="atLeast"/>
        </w:trPr>
        <w:tc>
          <w:tcPr>
            <w:tcW w:w="58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 xml:space="preserve">№ </w:t>
            </w:r>
            <w:r>
              <w:rPr>
                <w:b/>
                <w:color w:themeColor="text1" w:val="000000"/>
              </w:rPr>
              <w:t>п/п</w:t>
            </w:r>
          </w:p>
        </w:tc>
        <w:tc>
          <w:tcPr>
            <w:tcW w:w="7787"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Наименование</w:t>
            </w:r>
          </w:p>
        </w:tc>
        <w:tc>
          <w:tcPr>
            <w:tcW w:w="1693" w:type="dxa"/>
            <w:tcBorders>
              <w:top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Количество мест</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«Западный»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1 500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«Вега»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1 300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«Малинники»</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1 170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«Силикатный»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1 170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«Волга-1»</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1 150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«Плутон» 1, 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1 130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«Румб»</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1 120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«Октябрьский»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«Разлив»</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1 000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«Киевский»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«Лесной-2»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«Марс»</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Гаражностроительный кооператив «Стрела»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Автокооператив «Каскад-2»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770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«Москвич»</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«Киевский 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«Венера»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570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«Восход-2»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570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«Лесной-3»</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565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«Комета»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«Железнодорожник»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«Нива-2»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«Парус»</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«Огонек-3»</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«Таврия»</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«Метеор-2»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«Строитель»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«Тепличный»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«Ветеран»</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410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«Нива»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«Конструктор-2»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«Авиан»</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«Лесной-4»</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Автокооператив «Шасси»</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«Фаэтон»</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«Северный»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«Терепец»</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Привокзальной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«Огонек-4»</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«Вертикаль»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«Квазар»</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315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«Сигнал-2»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«Машиностроитель»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«Огонек-5»</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«Зенит»</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«Байконур»</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«Звезда»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270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«Ритм»</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269</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«Ява»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«Горизонталь»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«Родник»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«Гранит»</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Автокооператив «Газовик»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Привокзальной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235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«Шасси»</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«Спартак»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«Варяг»</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«Ока»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227</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«Прогресс»</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«Ольговский»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«Автомиг»</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«Ракета-2»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210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Шахтерская</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«Урожай»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«Конструктор-1»</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«Заря»</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«Березка»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«Стремительный-3»</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«Весна»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«Альфа»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«ДОСААФ»</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«Тепловозник»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«Спутник»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«Тарутинский»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«Огонек»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«Молодежный»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«Керамик»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«Мотор»</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«Маяк»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«Гигант»</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«Ольговский»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«Колос»</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«Калибр»</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«Звездочка»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«Дубрава»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«Сократ»</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«Ока»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«Василек»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«Заход»</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«Ракета-1»</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«Победа-2»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«Карбюратор»</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«Урал»</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«Тайфун»</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«Зарница»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«Венера»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«Огонек-2»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«КЗАМЭ»</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Территория постоянного хранения автомобилей (металлические гаражи) по ул. Советская</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Азаровской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Шахтерской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«Сокол»</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«Февраль»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«Тополь»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«Машиностроитель»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«Терепец-2»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«Стремительный -2»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«Синие мосты»</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«Мечта»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90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Советскому проезду</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«Сигнал»</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«Восход-2»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82</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Взлетной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«Академический»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«Авиатор»</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«Стремительный -1»</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«Медик»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«Колесо»</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80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119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Школьной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Кибальчича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«Светофор»</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«Рубеж»</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«Лада»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«Радуга»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«Автолюбитель»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«Шасси-2»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«Ольговский»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«Азарово»</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60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129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«Локомотив»</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56</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 Адмирала Унковского</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«Чичеринский»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«Мельница»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«Запорожец»</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50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w:t>
            </w:r>
            <w:r>
              <w:rPr>
                <w:color w:themeColor="text1" w:val="000000"/>
                <w:sz w:val="22"/>
                <w:szCs w:val="22"/>
                <w:lang w:val="en-US" w:eastAsia="ru-RU"/>
              </w:rPr>
              <w:t> </w:t>
            </w:r>
            <w:r>
              <w:rPr>
                <w:color w:themeColor="text1" w:val="000000"/>
                <w:sz w:val="22"/>
                <w:szCs w:val="22"/>
                <w:lang w:eastAsia="ru-RU"/>
              </w:rPr>
              <w:t>Молодежной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«Коммунальник»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w:t>
            </w:r>
            <w:r>
              <w:rPr>
                <w:color w:themeColor="text1" w:val="000000"/>
                <w:sz w:val="22"/>
                <w:szCs w:val="22"/>
                <w:lang w:val="en-US" w:eastAsia="ru-RU"/>
              </w:rPr>
              <w:t> </w:t>
            </w:r>
            <w:r>
              <w:rPr>
                <w:color w:themeColor="text1" w:val="000000"/>
                <w:sz w:val="22"/>
                <w:szCs w:val="22"/>
                <w:lang w:eastAsia="ru-RU"/>
              </w:rPr>
              <w:t>Тарутинской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«Речной»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«Кабриолет»</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139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«Луна-9»</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«Кооператор 2»</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40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«Автолюбитель»</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39</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w:t>
            </w:r>
            <w:r>
              <w:rPr>
                <w:color w:themeColor="text1" w:val="000000"/>
                <w:sz w:val="22"/>
                <w:szCs w:val="22"/>
                <w:lang w:val="en-US" w:eastAsia="ru-RU"/>
              </w:rPr>
              <w:t> </w:t>
            </w:r>
            <w:r>
              <w:rPr>
                <w:color w:themeColor="text1" w:val="000000"/>
                <w:sz w:val="22"/>
                <w:szCs w:val="22"/>
                <w:lang w:eastAsia="ru-RU"/>
              </w:rPr>
              <w:t>Максима Горького</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143</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«Лесной»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144</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«Энергетик»</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30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145</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w:t>
            </w:r>
            <w:r>
              <w:rPr>
                <w:color w:themeColor="text1" w:val="000000"/>
                <w:sz w:val="22"/>
                <w:szCs w:val="22"/>
                <w:lang w:val="en-US" w:eastAsia="ru-RU"/>
              </w:rPr>
              <w:t> </w:t>
            </w:r>
            <w:r>
              <w:rPr>
                <w:color w:themeColor="text1" w:val="000000"/>
                <w:sz w:val="22"/>
                <w:szCs w:val="22"/>
                <w:lang w:eastAsia="ru-RU"/>
              </w:rPr>
              <w:t>Инженерной</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146</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Территория постоянного хранения автомобилей по ул.</w:t>
            </w:r>
            <w:r>
              <w:rPr>
                <w:color w:themeColor="text1" w:val="000000"/>
                <w:sz w:val="22"/>
                <w:szCs w:val="22"/>
                <w:lang w:val="en-US" w:eastAsia="ru-RU"/>
              </w:rPr>
              <w:t> </w:t>
            </w:r>
            <w:r>
              <w:rPr>
                <w:color w:themeColor="text1" w:val="000000"/>
                <w:sz w:val="22"/>
                <w:szCs w:val="22"/>
                <w:lang w:eastAsia="ru-RU"/>
              </w:rPr>
              <w:t>Учхоз</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25</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147</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на Одоевском шоссе</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148</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w:t>
            </w:r>
            <w:r>
              <w:rPr>
                <w:color w:themeColor="text1" w:val="000000"/>
                <w:sz w:val="22"/>
                <w:szCs w:val="22"/>
                <w:lang w:val="en-US" w:eastAsia="ru-RU"/>
              </w:rPr>
              <w:t> </w:t>
            </w:r>
            <w:r>
              <w:rPr>
                <w:color w:themeColor="text1" w:val="000000"/>
                <w:sz w:val="22"/>
                <w:szCs w:val="22"/>
                <w:lang w:eastAsia="ru-RU"/>
              </w:rPr>
              <w:t>Нефтебаза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149</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Территория постоянного хранения автомобилей (металлические гаражи) по ул.</w:t>
            </w:r>
            <w:r>
              <w:rPr>
                <w:color w:themeColor="text1" w:val="000000"/>
                <w:sz w:val="22"/>
                <w:szCs w:val="22"/>
                <w:lang w:val="en-US" w:eastAsia="ru-RU"/>
              </w:rPr>
              <w:t> </w:t>
            </w:r>
            <w:r>
              <w:rPr>
                <w:color w:themeColor="text1" w:val="000000"/>
                <w:sz w:val="22"/>
                <w:szCs w:val="22"/>
                <w:lang w:eastAsia="ru-RU"/>
              </w:rPr>
              <w:t>Кубяка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20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150</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Гаражный кооператив по ул.</w:t>
            </w:r>
            <w:r>
              <w:rPr>
                <w:color w:themeColor="text1" w:val="000000"/>
                <w:sz w:val="22"/>
                <w:szCs w:val="22"/>
                <w:lang w:val="en-US" w:eastAsia="ru-RU"/>
              </w:rPr>
              <w:t> </w:t>
            </w:r>
            <w:r>
              <w:rPr>
                <w:color w:themeColor="text1" w:val="000000"/>
                <w:sz w:val="22"/>
                <w:szCs w:val="22"/>
                <w:lang w:eastAsia="ru-RU"/>
              </w:rPr>
              <w:t>Мелиораторов</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151</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Территория постоянного хранения автомобилей (металлические гаражи)</w:t>
            </w:r>
          </w:p>
          <w:p>
            <w:pPr>
              <w:pStyle w:val="Normal"/>
              <w:widowControl w:val="false"/>
              <w:rPr>
                <w:color w:themeColor="text1" w:val="000000"/>
                <w:sz w:val="22"/>
                <w:szCs w:val="22"/>
                <w:lang w:eastAsia="ru-RU"/>
              </w:rPr>
            </w:pPr>
            <w:r>
              <w:rPr>
                <w:color w:themeColor="text1" w:val="000000"/>
                <w:sz w:val="22"/>
                <w:szCs w:val="22"/>
                <w:lang w:eastAsia="ru-RU"/>
              </w:rPr>
              <w:t>пер. Суворова</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10</w:t>
            </w:r>
          </w:p>
        </w:tc>
      </w:tr>
      <w:tr>
        <w:trPr>
          <w:trHeight w:val="300" w:hRule="atLeast"/>
        </w:trPr>
        <w:tc>
          <w:tcPr>
            <w:tcW w:w="580"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152</w:t>
            </w:r>
          </w:p>
        </w:tc>
        <w:tc>
          <w:tcPr>
            <w:tcW w:w="7787" w:type="dxa"/>
            <w:tcBorders>
              <w:bottom w:val="single" w:sz="4" w:space="0" w:color="000000"/>
              <w:right w:val="single" w:sz="4" w:space="0" w:color="000000"/>
            </w:tcBorders>
            <w:shd w:color="auto" w:fill="auto" w:val="clear"/>
            <w:vAlign w:val="center"/>
          </w:tcPr>
          <w:p>
            <w:pPr>
              <w:pStyle w:val="Normal"/>
              <w:widowControl w:val="false"/>
              <w:rPr>
                <w:color w:themeColor="text1" w:val="000000"/>
                <w:sz w:val="22"/>
                <w:szCs w:val="22"/>
                <w:lang w:eastAsia="ru-RU"/>
              </w:rPr>
            </w:pPr>
            <w:r>
              <w:rPr>
                <w:color w:themeColor="text1" w:val="000000"/>
                <w:sz w:val="22"/>
                <w:szCs w:val="22"/>
                <w:lang w:eastAsia="ru-RU"/>
              </w:rPr>
              <w:t>Территория постоянного хранения автомобилей (металлические гаражи) по ул.</w:t>
            </w:r>
            <w:r>
              <w:rPr>
                <w:color w:themeColor="text1" w:val="000000"/>
                <w:sz w:val="22"/>
                <w:szCs w:val="22"/>
                <w:lang w:val="en-US" w:eastAsia="ru-RU"/>
              </w:rPr>
              <w:t> </w:t>
            </w:r>
            <w:r>
              <w:rPr>
                <w:color w:themeColor="text1" w:val="000000"/>
                <w:sz w:val="22"/>
                <w:szCs w:val="22"/>
                <w:lang w:eastAsia="ru-RU"/>
              </w:rPr>
              <w:t>Вишневского</w:t>
            </w:r>
          </w:p>
        </w:tc>
        <w:tc>
          <w:tcPr>
            <w:tcW w:w="1693" w:type="dxa"/>
            <w:tcBorders>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lang w:eastAsia="ru-RU"/>
              </w:rPr>
            </w:pPr>
            <w:r>
              <w:rPr>
                <w:color w:themeColor="text1" w:val="000000"/>
                <w:sz w:val="22"/>
                <w:szCs w:val="22"/>
                <w:lang w:eastAsia="ru-RU"/>
              </w:rPr>
              <w:t>7</w:t>
            </w:r>
          </w:p>
        </w:tc>
      </w:tr>
    </w:tbl>
    <w:p>
      <w:pPr>
        <w:sectPr>
          <w:headerReference w:type="default" r:id="rId59"/>
          <w:headerReference w:type="first" r:id="rId60"/>
          <w:footerReference w:type="default" r:id="rId61"/>
          <w:footerReference w:type="first" r:id="rId62"/>
          <w:footnotePr>
            <w:numFmt w:val="decimal"/>
          </w:footnotePr>
          <w:type w:val="nextPage"/>
          <w:pgSz w:w="11906" w:h="16838"/>
          <w:pgMar w:left="1134" w:right="707" w:gutter="0" w:header="1134" w:top="1693" w:footer="0" w:bottom="587"/>
          <w:pgNumType w:fmt="decimal"/>
          <w:formProt w:val="false"/>
          <w:textDirection w:val="lrTb"/>
          <w:docGrid w:type="default" w:linePitch="360" w:charSpace="0"/>
        </w:sectPr>
      </w:pPr>
    </w:p>
    <w:p>
      <w:pPr>
        <w:pStyle w:val="Heading2"/>
        <w:numPr>
          <w:ilvl w:val="1"/>
          <w:numId w:val="2"/>
        </w:numPr>
        <w:spacing w:before="0" w:after="0"/>
        <w:ind w:firstLine="709" w:left="0"/>
        <w:rPr>
          <w:rFonts w:cs="Symbol"/>
          <w:color w:themeColor="text1" w:val="000000"/>
        </w:rPr>
      </w:pPr>
      <w:bookmarkStart w:id="36" w:name="_Toc217312456"/>
      <w:r>
        <w:rPr>
          <w:rFonts w:cs="Symbol"/>
          <w:color w:themeColor="text1" w:val="000000"/>
        </w:rPr>
        <w:t>7. Инженерная инфраструктура</w:t>
      </w:r>
      <w:bookmarkEnd w:id="36"/>
    </w:p>
    <w:p>
      <w:pPr>
        <w:pStyle w:val="Heading3"/>
        <w:numPr>
          <w:ilvl w:val="2"/>
          <w:numId w:val="2"/>
        </w:numPr>
        <w:spacing w:before="100" w:after="100"/>
        <w:ind w:firstLine="709" w:left="0"/>
        <w:rPr>
          <w:rFonts w:eastAsia="Symbol" w:cs="Symbol"/>
          <w:color w:themeColor="text1" w:val="000000"/>
        </w:rPr>
      </w:pPr>
      <w:bookmarkStart w:id="37" w:name="__RefHeading___Toc478454429"/>
      <w:bookmarkStart w:id="38" w:name="_Toc217312457"/>
      <w:bookmarkEnd w:id="37"/>
      <w:r>
        <w:rPr>
          <w:rFonts w:eastAsia="Symbol" w:cs="Symbol"/>
          <w:color w:themeColor="text1" w:val="000000"/>
        </w:rPr>
        <w:t>7.1. Водоснабжение</w:t>
      </w:r>
      <w:bookmarkEnd w:id="38"/>
      <w:r>
        <w:rPr>
          <w:rFonts w:eastAsia="Symbol" w:cs="Symbol"/>
          <w:color w:themeColor="text1" w:val="000000"/>
        </w:rPr>
        <w:t xml:space="preserve"> </w:t>
      </w:r>
    </w:p>
    <w:p>
      <w:pPr>
        <w:pStyle w:val="Style70"/>
        <w:spacing w:before="0" w:after="0"/>
        <w:ind w:firstLine="709"/>
        <w:rPr>
          <w:color w:themeColor="text1" w:val="000000"/>
        </w:rPr>
      </w:pPr>
      <w:r>
        <w:rPr>
          <w:color w:themeColor="text1" w:val="000000"/>
        </w:rPr>
        <w:t>Сведения о системе водоснабжения для города Калуга носит ограниченный характер распространения. В данном разделе приведены сведения открытого характера.</w:t>
      </w:r>
    </w:p>
    <w:p>
      <w:pPr>
        <w:pStyle w:val="Style70"/>
        <w:spacing w:before="0" w:after="0"/>
        <w:ind w:firstLine="709"/>
        <w:rPr>
          <w:color w:themeColor="text1" w:val="000000"/>
        </w:rPr>
      </w:pPr>
      <w:r>
        <w:rPr>
          <w:color w:themeColor="text1" w:val="000000"/>
        </w:rPr>
        <w:t>Город Калуга снабжается водой из поверхностных и подземных источников. Всего отдельных водопроводов питьевой воды по городскому округу составляет 22 шт. и один водопровод технической воды.</w:t>
      </w:r>
    </w:p>
    <w:p>
      <w:pPr>
        <w:pStyle w:val="Style70"/>
        <w:spacing w:before="0" w:after="0"/>
        <w:ind w:firstLine="709"/>
        <w:rPr>
          <w:color w:themeColor="text1" w:val="000000"/>
        </w:rPr>
      </w:pPr>
      <w:r>
        <w:rPr>
          <w:color w:themeColor="text1" w:val="000000"/>
        </w:rPr>
        <w:t>В настоящее время в г. Калуга существуют семь водозаборов подземных вод и отдельно стоящие артскважины, объединяющие 112 артезианских скважин; два водозабора поверхностных вод из р. Оки (питьевой и технической). Также в эксплуатации находятся 2 каптажа ключей (ГНС, д. Доможирово).</w:t>
      </w:r>
    </w:p>
    <w:p>
      <w:pPr>
        <w:pStyle w:val="Style70"/>
        <w:spacing w:before="0" w:after="0"/>
        <w:ind w:firstLine="709"/>
        <w:rPr>
          <w:color w:themeColor="text1" w:val="000000"/>
        </w:rPr>
      </w:pPr>
      <w:r>
        <w:rPr>
          <w:b/>
          <w:color w:themeColor="text1" w:val="000000"/>
        </w:rPr>
        <w:t>Северный водозабор</w:t>
      </w:r>
      <w:r>
        <w:rPr>
          <w:color w:themeColor="text1" w:val="000000"/>
        </w:rPr>
        <w:t xml:space="preserve"> состоит из 24 артезианских скважин. Фактическая производительность водозабора 24,44 тыс. куб.м/сут., проектная мощность - 50 тыс. куб.м/сут.</w:t>
      </w:r>
    </w:p>
    <w:p>
      <w:pPr>
        <w:pStyle w:val="Style70"/>
        <w:spacing w:before="0" w:after="0"/>
        <w:ind w:firstLine="709"/>
        <w:rPr>
          <w:color w:themeColor="text1" w:val="000000"/>
        </w:rPr>
      </w:pPr>
      <w:r>
        <w:rPr>
          <w:b/>
          <w:color w:themeColor="text1" w:val="000000"/>
        </w:rPr>
        <w:t>Южный водозабор</w:t>
      </w:r>
      <w:r>
        <w:rPr>
          <w:color w:themeColor="text1" w:val="000000"/>
        </w:rPr>
        <w:t xml:space="preserve"> состоит из 24 артезианских скважин. Фактическая производительность водозабора 12,36 тыс. куб.м/сут, проектная мощность - 25 тыс. куб.м/сут.</w:t>
      </w:r>
    </w:p>
    <w:p>
      <w:pPr>
        <w:pStyle w:val="Style70"/>
        <w:spacing w:before="0" w:after="0"/>
        <w:ind w:firstLine="709"/>
        <w:rPr/>
      </w:pPr>
      <w:r>
        <w:rPr>
          <w:b/>
          <w:color w:themeColor="text1" w:val="000000"/>
        </w:rPr>
        <w:t>Водозабор ГНС,</w:t>
      </w:r>
      <w:r>
        <w:rPr>
          <w:color w:themeColor="text1" w:val="000000"/>
        </w:rPr>
        <w:t xml:space="preserve"> к которому относятся: Городская насосная станция, Покровская насосная станция и «Зеленый крупец», состоит из 11 эксплуатационных скважин и каптажа ключей. Производительность водозабора 11,35 тыс. куб.м/сут., проектная мощность -</w:t>
        <w:br/>
        <w:t>25 тыс. куб.м/сут.</w:t>
      </w:r>
    </w:p>
    <w:p>
      <w:pPr>
        <w:pStyle w:val="Style70"/>
        <w:spacing w:before="0" w:after="0"/>
        <w:ind w:firstLine="709"/>
        <w:rPr>
          <w:color w:themeColor="text1" w:val="000000"/>
        </w:rPr>
      </w:pPr>
      <w:r>
        <w:rPr>
          <w:color w:themeColor="text1" w:val="000000"/>
        </w:rPr>
        <w:t>В городе действуют также 2 водозабора поверхностной воды - Окский водозабор и водозабор технической воды:</w:t>
      </w:r>
    </w:p>
    <w:p>
      <w:pPr>
        <w:pStyle w:val="Style70"/>
        <w:spacing w:before="0" w:after="0"/>
        <w:ind w:firstLine="709"/>
        <w:rPr>
          <w:color w:themeColor="text1" w:val="000000"/>
        </w:rPr>
      </w:pPr>
      <w:r>
        <w:rPr>
          <w:b/>
          <w:color w:themeColor="text1" w:val="000000"/>
        </w:rPr>
        <w:t>Окский водозабор питьевой</w:t>
      </w:r>
      <w:r>
        <w:rPr>
          <w:color w:themeColor="text1" w:val="000000"/>
        </w:rPr>
        <w:t xml:space="preserve"> воды фактической производительностью </w:t>
        <w:br/>
        <w:t>97,28 тыс. куб.м/сут., проектная мощность первой очереди - 100 тыс. куб.м/сут.</w:t>
      </w:r>
    </w:p>
    <w:p>
      <w:pPr>
        <w:pStyle w:val="Style70"/>
        <w:spacing w:before="0" w:after="0"/>
        <w:ind w:firstLine="709"/>
        <w:rPr>
          <w:color w:themeColor="text1" w:val="000000"/>
        </w:rPr>
      </w:pPr>
      <w:r>
        <w:rPr>
          <w:color w:themeColor="text1" w:val="000000"/>
        </w:rPr>
        <w:t>Утвержденные запасы подземных вод суммарно 102,5 тыс. куб.м/сут., в том числе:</w:t>
      </w:r>
    </w:p>
    <w:p>
      <w:pPr>
        <w:pStyle w:val="Style70"/>
        <w:spacing w:before="0" w:after="0"/>
        <w:ind w:firstLine="709"/>
        <w:rPr>
          <w:color w:themeColor="text1" w:val="000000"/>
        </w:rPr>
      </w:pPr>
      <w:r>
        <w:rPr>
          <w:color w:themeColor="text1" w:val="000000"/>
        </w:rPr>
        <w:t>- Северный водозабор - 34 тыс. куб.м/сут.;</w:t>
      </w:r>
    </w:p>
    <w:p>
      <w:pPr>
        <w:pStyle w:val="Style70"/>
        <w:spacing w:before="0" w:after="0"/>
        <w:ind w:firstLine="709"/>
        <w:rPr>
          <w:color w:themeColor="text1" w:val="000000"/>
        </w:rPr>
      </w:pPr>
      <w:r>
        <w:rPr>
          <w:color w:themeColor="text1" w:val="000000"/>
        </w:rPr>
        <w:t>-</w:t>
        <w:tab/>
        <w:t> Южный водозабор - 28,6 тыс. куб.м/сут.;</w:t>
      </w:r>
    </w:p>
    <w:p>
      <w:pPr>
        <w:pStyle w:val="Style70"/>
        <w:spacing w:before="0" w:after="0"/>
        <w:ind w:firstLine="709"/>
        <w:rPr>
          <w:color w:themeColor="text1" w:val="000000"/>
        </w:rPr>
      </w:pPr>
      <w:r>
        <w:rPr>
          <w:color w:themeColor="text1" w:val="000000"/>
        </w:rPr>
        <w:t>-</w:t>
        <w:tab/>
        <w:t> ГНС - 39,9 тыс.куб.м/сут.</w:t>
      </w:r>
    </w:p>
    <w:p>
      <w:pPr>
        <w:pStyle w:val="Style70"/>
        <w:spacing w:before="0" w:after="0"/>
        <w:ind w:firstLine="709"/>
        <w:rPr>
          <w:color w:themeColor="text1" w:val="000000"/>
        </w:rPr>
      </w:pPr>
      <w:r>
        <w:rPr>
          <w:color w:themeColor="text1" w:val="000000"/>
        </w:rPr>
        <w:t>Для водозаборов организованы зоны санитарной охраны в составе трех поясов.</w:t>
      </w:r>
    </w:p>
    <w:p>
      <w:pPr>
        <w:pStyle w:val="Style70"/>
        <w:spacing w:before="0" w:after="0"/>
        <w:ind w:firstLine="709"/>
        <w:rPr/>
      </w:pPr>
      <w:r>
        <w:rPr>
          <w:color w:themeColor="text1" w:val="000000"/>
        </w:rPr>
        <w:t>По городскому округу эксплуатируются насосные станции 2-го и 3-го подъема - 14 шт. суммарной фактической производительностью 283,4 тыс.куб.м/сут., станции водоочистки -   13 шт. суммарной производительностью 179,3 тыс. куб.м/сут.</w:t>
      </w:r>
    </w:p>
    <w:p>
      <w:pPr>
        <w:pStyle w:val="Normal"/>
        <w:spacing w:before="60" w:after="60"/>
        <w:ind w:firstLine="709"/>
        <w:jc w:val="both"/>
        <w:rPr>
          <w:b/>
          <w:bCs/>
          <w:color w:themeColor="text1" w:val="000000"/>
        </w:rPr>
      </w:pPr>
      <w:r>
        <w:rPr>
          <w:b/>
          <w:bCs/>
          <w:color w:themeColor="text1" w:val="000000"/>
        </w:rPr>
        <w:t>Водопроводная сеть</w:t>
      </w:r>
    </w:p>
    <w:p>
      <w:pPr>
        <w:pStyle w:val="Style70"/>
        <w:spacing w:before="0" w:after="0"/>
        <w:ind w:firstLine="709"/>
        <w:rPr>
          <w:color w:themeColor="text1" w:val="000000"/>
        </w:rPr>
      </w:pPr>
      <w:r>
        <w:rPr>
          <w:color w:themeColor="text1" w:val="000000"/>
        </w:rPr>
        <w:t>Общая протяженность водопроводной сети по городскому округу составляет    1022,662 км, в том числе:</w:t>
      </w:r>
    </w:p>
    <w:p>
      <w:pPr>
        <w:pStyle w:val="Style70"/>
        <w:spacing w:before="0" w:after="0"/>
        <w:ind w:firstLine="709"/>
        <w:rPr>
          <w:color w:themeColor="text1" w:val="000000"/>
        </w:rPr>
      </w:pPr>
      <w:r>
        <w:rPr>
          <w:color w:themeColor="text1" w:val="000000"/>
        </w:rPr>
        <w:t>- по г. Калуга - 899,268 км, водопровод технической воды - 26,0 км;</w:t>
      </w:r>
    </w:p>
    <w:p>
      <w:pPr>
        <w:pStyle w:val="Style70"/>
        <w:spacing w:before="0" w:after="0"/>
        <w:ind w:firstLine="709"/>
        <w:rPr>
          <w:color w:themeColor="text1" w:val="000000"/>
        </w:rPr>
      </w:pPr>
      <w:r>
        <w:rPr>
          <w:color w:themeColor="text1" w:val="000000"/>
        </w:rPr>
        <w:t>- по отдельным водопроводам - 123,394 км.</w:t>
      </w:r>
    </w:p>
    <w:p>
      <w:pPr>
        <w:pStyle w:val="Style70"/>
        <w:spacing w:before="0" w:after="0"/>
        <w:ind w:firstLine="709"/>
        <w:rPr>
          <w:color w:themeColor="text1" w:val="000000"/>
        </w:rPr>
      </w:pPr>
      <w:r>
        <w:rPr>
          <w:color w:themeColor="text1" w:val="000000"/>
        </w:rPr>
        <w:t>Основное строительство водоводов и водопроводных сетей пришлось на 1950-1970-е годы, в последние годы значительное число сетей переложено, а также построены новые сети для обеспечения водой новостроек г. Калуги – общий износ сетей составляет 60%. Доля потерь воды при ее передаче в общем объеме переданной воды составляет 35%.</w:t>
      </w:r>
    </w:p>
    <w:p>
      <w:pPr>
        <w:pStyle w:val="Heading3"/>
        <w:numPr>
          <w:ilvl w:val="2"/>
          <w:numId w:val="2"/>
        </w:numPr>
        <w:spacing w:before="100" w:after="100"/>
        <w:ind w:firstLine="709" w:left="0"/>
        <w:rPr>
          <w:rFonts w:eastAsia="Symbol" w:cs="Symbol"/>
          <w:color w:themeColor="text1" w:val="000000"/>
        </w:rPr>
      </w:pPr>
      <w:bookmarkStart w:id="39" w:name="_Toc217312458"/>
      <w:r>
        <w:rPr>
          <w:rFonts w:eastAsia="Symbol" w:cs="Symbol"/>
          <w:color w:themeColor="text1" w:val="000000"/>
        </w:rPr>
        <w:t>7.2. Водоотведение</w:t>
      </w:r>
      <w:bookmarkEnd w:id="39"/>
    </w:p>
    <w:p>
      <w:pPr>
        <w:pStyle w:val="Style70"/>
        <w:spacing w:before="0" w:after="0"/>
        <w:ind w:firstLine="709"/>
        <w:rPr>
          <w:color w:themeColor="text1" w:val="000000"/>
        </w:rPr>
      </w:pPr>
      <w:r>
        <w:rPr>
          <w:color w:themeColor="text1" w:val="000000"/>
        </w:rPr>
        <w:t>Существующая система водоотведения города централизованная, раздельная, по которой собираются и подаются стоки на очистные сооружения биологической очистки (КОС) г. Калуги, производительностью 160 000 куб.м/сут.</w:t>
      </w:r>
    </w:p>
    <w:p>
      <w:pPr>
        <w:sectPr>
          <w:headerReference w:type="default" r:id="rId63"/>
          <w:headerReference w:type="first" r:id="rId64"/>
          <w:footerReference w:type="default" r:id="rId65"/>
          <w:footerReference w:type="first" r:id="rId66"/>
          <w:footnotePr>
            <w:numFmt w:val="decimal"/>
          </w:footnotePr>
          <w:type w:val="nextPage"/>
          <w:pgSz w:w="11906" w:h="16838"/>
          <w:pgMar w:left="1418" w:right="709" w:gutter="0" w:header="1134" w:top="1695" w:footer="0" w:bottom="590"/>
          <w:pgNumType w:fmt="decimal"/>
          <w:formProt w:val="false"/>
          <w:textDirection w:val="lrTb"/>
          <w:docGrid w:type="default" w:linePitch="360" w:charSpace="0"/>
        </w:sectPr>
        <w:pStyle w:val="Style70"/>
        <w:spacing w:before="0" w:after="0"/>
        <w:ind w:firstLine="709"/>
        <w:rPr>
          <w:color w:themeColor="text1" w:val="000000"/>
        </w:rPr>
      </w:pPr>
      <w:r>
        <w:rPr>
          <w:color w:themeColor="text1" w:val="000000"/>
        </w:rPr>
        <w:t>КОС расположены на левом берегу р. Оки. Канализационные стоки от жилой застройки Правого берега, завода «Элмат», д. Шопино, п. Секиотово и д. Ромодановские Дворики отводятся по напорному коллектору с дюкером через р. Оку, проложенным перед КОС. Сброс очищенных сточных вод осуществляется в р. Оку.</w:t>
      </w:r>
    </w:p>
    <w:p>
      <w:pPr>
        <w:pStyle w:val="Style70"/>
        <w:spacing w:before="0" w:after="0"/>
        <w:ind w:firstLine="709"/>
        <w:rPr>
          <w:color w:themeColor="text1" w:val="000000"/>
        </w:rPr>
      </w:pPr>
      <w:r>
        <w:rPr>
          <w:color w:themeColor="text1" w:val="000000"/>
        </w:rPr>
        <w:t>В городе эксплуатируются канализационные насосные станции (КНС), расположенные на правом и левом берегу города - 61 шт. суммарной фактической производительностью</w:t>
        <w:br/>
        <w:t>812 820 куб.м/сут.</w:t>
      </w:r>
    </w:p>
    <w:p>
      <w:pPr>
        <w:pStyle w:val="Style70"/>
        <w:spacing w:before="0" w:after="0"/>
        <w:ind w:firstLine="709"/>
        <w:rPr>
          <w:color w:themeColor="text1" w:val="000000"/>
        </w:rPr>
      </w:pPr>
      <w:r>
        <w:rPr>
          <w:color w:themeColor="text1" w:val="000000"/>
        </w:rPr>
        <w:t>Состав КОС: приемная камера, горизонтальные песколовки - 2 шт., преаэратор - 4 шт., первичные отстойники - 4 шт., вторичные отстойники - 4 шт., контактный канал - 4 шт., воздуходувная станция на 7 воздуходувок, цех механического обезвоживания осадка, центрифуги, реагентное хозяйство.</w:t>
      </w:r>
    </w:p>
    <w:p>
      <w:pPr>
        <w:pStyle w:val="Style70"/>
        <w:spacing w:before="0" w:after="0"/>
        <w:ind w:firstLine="709"/>
        <w:rPr>
          <w:color w:themeColor="text1" w:val="000000"/>
        </w:rPr>
      </w:pPr>
      <w:r>
        <w:rPr>
          <w:color w:themeColor="text1" w:val="000000"/>
        </w:rPr>
        <w:t>Осадок направляется на иловые площадки, размещенные в 7 км от КОС в районе д. Авчурино Ферзиковского района.</w:t>
      </w:r>
    </w:p>
    <w:p>
      <w:pPr>
        <w:pStyle w:val="Style70"/>
        <w:spacing w:before="0" w:after="0"/>
        <w:ind w:firstLine="709"/>
        <w:rPr>
          <w:color w:themeColor="text1" w:val="000000"/>
        </w:rPr>
      </w:pPr>
      <w:r>
        <w:rPr>
          <w:color w:themeColor="text1" w:val="000000"/>
        </w:rPr>
        <w:t>Санитарно-защитная зона для КОС - 400 м, для иловых площадок - 500 м.</w:t>
      </w:r>
    </w:p>
    <w:p>
      <w:pPr>
        <w:pStyle w:val="Style70"/>
        <w:spacing w:before="0" w:after="0"/>
        <w:ind w:firstLine="709"/>
        <w:rPr>
          <w:color w:themeColor="text1" w:val="000000"/>
        </w:rPr>
      </w:pPr>
      <w:r>
        <w:rPr>
          <w:color w:themeColor="text1" w:val="000000"/>
        </w:rPr>
        <w:t>Общая протяженность канализационной сети по городскому округу составляет</w:t>
        <w:br/>
        <w:t>789,742 км, в том числе:</w:t>
      </w:r>
    </w:p>
    <w:p>
      <w:pPr>
        <w:pStyle w:val="Style70"/>
        <w:spacing w:before="0" w:after="0"/>
        <w:ind w:firstLine="709"/>
        <w:rPr>
          <w:color w:themeColor="text1" w:val="000000"/>
        </w:rPr>
      </w:pPr>
      <w:r>
        <w:rPr>
          <w:color w:themeColor="text1" w:val="000000"/>
        </w:rPr>
        <w:t>- по г. Калуга - 784,387 км;</w:t>
      </w:r>
    </w:p>
    <w:p>
      <w:pPr>
        <w:pStyle w:val="Style70"/>
        <w:spacing w:before="0" w:after="0"/>
        <w:ind w:firstLine="709"/>
        <w:rPr>
          <w:color w:themeColor="text1" w:val="000000"/>
        </w:rPr>
      </w:pPr>
      <w:r>
        <w:rPr>
          <w:color w:themeColor="text1" w:val="000000"/>
        </w:rPr>
        <w:t>- по отдельным канализациям - 5,355 км.</w:t>
      </w:r>
    </w:p>
    <w:p>
      <w:pPr>
        <w:pStyle w:val="Style70"/>
        <w:spacing w:before="0" w:after="0"/>
        <w:ind w:firstLine="709"/>
        <w:rPr>
          <w:color w:themeColor="text1" w:val="000000"/>
        </w:rPr>
      </w:pPr>
      <w:r>
        <w:rPr>
          <w:color w:themeColor="text1" w:val="000000"/>
        </w:rPr>
        <w:t>В общую протяженность канализационных сетей входят 98,0 км напорных сетей и</w:t>
        <w:br/>
        <w:t>691,742 км самотечных. Общий износ сетей составляет 65%.</w:t>
      </w:r>
    </w:p>
    <w:p>
      <w:pPr>
        <w:pStyle w:val="Style70"/>
        <w:spacing w:before="0" w:after="0"/>
        <w:ind w:firstLine="709"/>
        <w:rPr>
          <w:color w:themeColor="text1" w:val="000000"/>
        </w:rPr>
      </w:pPr>
      <w:r>
        <w:rPr>
          <w:color w:themeColor="text1" w:val="000000"/>
        </w:rPr>
        <w:t>Система канализации принята полностью раздельная, при которой хозяйственно-бытовая сеть прокладывается для отведения стоков на очистные сооружения (КОС) от жилой и общественной застройки, промышленных предприятий, а дождевые стоки отводятся по самостоятельной сети ливневой канализации на очистные сооружения ливневой канализации.</w:t>
      </w:r>
    </w:p>
    <w:p>
      <w:pPr>
        <w:pStyle w:val="Heading3"/>
        <w:numPr>
          <w:ilvl w:val="2"/>
          <w:numId w:val="2"/>
        </w:numPr>
        <w:spacing w:before="100" w:after="100"/>
        <w:ind w:firstLine="709" w:left="0"/>
        <w:rPr>
          <w:rFonts w:eastAsia="Symbol" w:cs="Symbol"/>
          <w:color w:themeColor="text1" w:val="000000"/>
        </w:rPr>
      </w:pPr>
      <w:bookmarkStart w:id="40" w:name="_Toc217312459"/>
      <w:r>
        <w:rPr>
          <w:rFonts w:eastAsia="Symbol" w:cs="Symbol"/>
          <w:color w:themeColor="text1" w:val="000000"/>
        </w:rPr>
        <w:t>7.3. Теплоснабжение</w:t>
      </w:r>
      <w:bookmarkEnd w:id="40"/>
    </w:p>
    <w:p>
      <w:pPr>
        <w:pStyle w:val="Style70"/>
        <w:spacing w:before="0" w:after="0"/>
        <w:ind w:firstLine="709"/>
        <w:rPr>
          <w:color w:themeColor="text1" w:val="000000"/>
        </w:rPr>
      </w:pPr>
      <w:r>
        <w:rPr>
          <w:color w:themeColor="text1" w:val="000000"/>
        </w:rPr>
        <w:t>В городе Калуге преобладает централизованное теплоснабжение от районных и промышленных котельных. Всего на территории г. Калуги насчитывается более 20 теплоснабжающих организаций, осуществляющих отпуск тепловой энергии потребителям.</w:t>
      </w:r>
    </w:p>
    <w:p>
      <w:pPr>
        <w:pStyle w:val="Style70"/>
        <w:spacing w:before="0" w:after="0"/>
        <w:ind w:firstLine="709"/>
        <w:rPr>
          <w:color w:themeColor="text1" w:val="000000"/>
        </w:rPr>
      </w:pPr>
      <w:r>
        <w:rPr>
          <w:color w:themeColor="text1" w:val="000000"/>
        </w:rPr>
        <w:t xml:space="preserve">Общая протяженность тепловых сетей в двухтрубном исчислении по городскому округу составляет 403,57 км. По способу прокладки тепловых сетей: канальная подземная – 361,42 км; безканальная подземная – 24,98 км, надземная – 117,15 км. Амортизационный износ 74,37 %. Основной способ организации горячего водоснабжения – закрытый. </w:t>
      </w:r>
    </w:p>
    <w:p>
      <w:pPr>
        <w:pStyle w:val="Style70"/>
        <w:spacing w:before="0" w:after="0"/>
        <w:ind w:firstLine="709"/>
        <w:rPr>
          <w:color w:themeColor="text1" w:val="000000"/>
        </w:rPr>
      </w:pPr>
      <w:r>
        <w:rPr>
          <w:color w:themeColor="text1" w:val="000000"/>
        </w:rPr>
        <w:t>В пригороде Калуги теплоснабжение потребителей в основном децентрализованное осуществляется природным газом, сжиженным газом, а также твердыми и жидкими видами топлива.</w:t>
      </w:r>
    </w:p>
    <w:p>
      <w:pPr>
        <w:pStyle w:val="Style70"/>
        <w:spacing w:before="0" w:after="0"/>
        <w:ind w:firstLine="709"/>
        <w:rPr>
          <w:color w:themeColor="text1" w:val="000000"/>
        </w:rPr>
      </w:pPr>
      <w:r>
        <w:rPr>
          <w:color w:themeColor="text1" w:val="000000"/>
        </w:rPr>
        <w:t>Пригород Калуги обслуживается следующими котельными: с. Росва, д. Мстихино, д. Воровая, д. Шопино, д. Угра, с. Пригородного лесничества, с. Муратовка, ж/д ст. Тихонова Пустынь и другими котельными, работающими на нужды отдельных объектов.</w:t>
      </w:r>
    </w:p>
    <w:p>
      <w:pPr>
        <w:pStyle w:val="Style70"/>
        <w:spacing w:before="0" w:after="0"/>
        <w:ind w:firstLine="709"/>
        <w:rPr/>
      </w:pPr>
      <w:r>
        <w:rPr>
          <w:color w:themeColor="text1" w:val="000000"/>
        </w:rPr>
        <w:t>Перечень котельных, расположенных на территории городского округа, представлен в таблице 7.3.1.</w:t>
      </w:r>
    </w:p>
    <w:p>
      <w:pPr>
        <w:pStyle w:val="Style70"/>
        <w:spacing w:before="0" w:after="0"/>
        <w:jc w:val="right"/>
        <w:rPr>
          <w:color w:themeColor="text1" w:val="000000"/>
        </w:rPr>
      </w:pPr>
      <w:r>
        <w:rPr>
          <w:color w:themeColor="text1" w:val="000000"/>
        </w:rPr>
        <w:t>Таблица 7.3.1</w:t>
      </w:r>
    </w:p>
    <w:p>
      <w:pPr>
        <w:pStyle w:val="Style70"/>
        <w:spacing w:before="0" w:after="0"/>
        <w:ind w:hanging="0"/>
        <w:jc w:val="center"/>
        <w:rPr>
          <w:color w:themeColor="text1" w:val="000000"/>
        </w:rPr>
      </w:pPr>
      <w:r>
        <w:rPr>
          <w:color w:themeColor="text1" w:val="000000"/>
        </w:rPr>
        <w:t>Перечень котельных расположенных на территории городского округа</w:t>
      </w:r>
    </w:p>
    <w:tbl>
      <w:tblPr>
        <w:tblW w:w="9875"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704"/>
        <w:gridCol w:w="4678"/>
        <w:gridCol w:w="4493"/>
      </w:tblGrid>
      <w:tr>
        <w:trPr>
          <w:tblHeader w:val="true"/>
        </w:trPr>
        <w:tc>
          <w:tcPr>
            <w:tcW w:w="70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 xml:space="preserve">№ </w:t>
            </w:r>
            <w:r>
              <w:rPr>
                <w:b/>
                <w:color w:themeColor="text1" w:val="000000"/>
              </w:rPr>
              <w:t>п/п</w:t>
            </w:r>
          </w:p>
        </w:tc>
        <w:tc>
          <w:tcPr>
            <w:tcW w:w="467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Наименование организации</w:t>
            </w:r>
          </w:p>
        </w:tc>
        <w:tc>
          <w:tcPr>
            <w:tcW w:w="449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Адрес котельной</w:t>
            </w:r>
          </w:p>
        </w:tc>
      </w:tr>
      <w:tr>
        <w:trPr>
          <w:trHeight w:val="71" w:hRule="atLeast"/>
        </w:trPr>
        <w:tc>
          <w:tcPr>
            <w:tcW w:w="987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b/>
                <w:color w:themeColor="text1" w:val="000000"/>
              </w:rPr>
            </w:pPr>
            <w:r>
              <w:rPr>
                <w:b/>
                <w:color w:themeColor="text1" w:val="000000"/>
              </w:rPr>
              <w:t>Муниципальные котельные</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Вишневского, д.3а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пер. Вишневского, д.3</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Вишневского, д.1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с. Сосновый Бор, д.10а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Беговая, д.15</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Калуга-Бор, д.15а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Калуга-Бор, д.3</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ОЛ «Белка»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Ипподромная, д.37</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Кропоткина, д.4а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Московская, д.31а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Театральная, д.4г</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пер. Воскресенский, д.29б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Вилонова, д.40</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Кутузова, д. 4а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пер. 2-ой Тульский, д.5а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Никитина, д.95б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Тульская, д.78в</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Чижевского, д.12а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Кирова, д.67а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пл. Победы, д.9а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Пролетарская, д.111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Луначарского, д.6а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Пестеля, д.32б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Мичурина, д.9в</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Калужка, д.6а (Ждамирово)</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Советская, д.20в</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Гвардейская, д.15а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29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Школьная, д.7а (п. Резвань)</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с. Росва, ул. Московская, д.9а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Светлая, д.58 (Мстихино)</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пер. Воскресенский, д.2б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Дзержинского, д.83а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Московская, д.14</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Шахтерская, б/н (п. Куровской)</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Маяковского, д.35</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 Горького, д.1б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Пролетарская, д.125</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39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Ф. Энгельса, д.13а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В. Андриановой, д.5а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В. Андриановой, д.64а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Баррикад, д.181а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Ленина, д.60а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Новая Стройка, д.1а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Ленина, д.26а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Московская, д.115а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Поле Свободы, д.131а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Чичерина, д.11а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49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Социалистическая, д.2а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Широкая, д.51б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Телевизионная, д.2д</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Хрустальная, д.18а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Маяковского, д.59</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Новослободская, д.25а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Тарутинская, д.171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Ольговская, д.19а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Тарутинская, д.231а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Чичерина, д.23а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59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Пухова, д.5а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Пер.Малинники, д.21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Шахтеров, д.3а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Взлетная, д.46</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Дубрава, д.14</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Кожедуба, д.11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Подвойского, д.7</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Аэропортовская, в/ч 15506</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Маршала Жукова, д.40а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Болотникова, д.29</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69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Грабцевское шоссе, д.22б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Грабцевское шоссе, д.115, стр.21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Грабцевское шоссе, д.77а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Кубяка, д.3а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б-р Энтузиастов, д.6б</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Кибальчича, д.17а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Московская, д.14</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Гурьянова, д.71а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Московская, д.317а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Московская, д.299в</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79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Новая, д.41 (д. Канищево)</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Нижняя Усадебная, д.2 (д. Канищево)</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Дорожная, д.6а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Советская, д.3б (ж/д ст. Тихонова Пустынь)</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Муратовский щебзавод, д.19а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Молодежная, д.58 (д. Лихун)</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Дорожная, д.21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пр-д 1-й Академический, д.29</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В. Восстания, д.12</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д. Шопино</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89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Тульское шоссе, д.28а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д. Колюпаново, д.15а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Одоевское шоссе, д.5а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Ромодановские Дворики, д.55</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65 лет Победы, д.51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Грабцевское шоссе, д.115 (водогрейная)</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Грабцевское шоссе, в районе д. 35в</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Гурьянова, в районе д.18 кор.2</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Азаровская, д.13а</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д. Чижовка мкр. Веснушки</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99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Котельная по ул. Болотникова, д.1</w:t>
            </w:r>
          </w:p>
        </w:tc>
      </w:tr>
      <w:tr>
        <w:trPr/>
        <w:tc>
          <w:tcPr>
            <w:tcW w:w="704" w:type="dxa"/>
            <w:tcBorders>
              <w:top w:val="single" w:sz="4" w:space="0" w:color="000000"/>
              <w:left w:val="single" w:sz="4" w:space="0" w:color="000000"/>
              <w:bottom w:val="single" w:sz="4" w:space="0" w:color="000000"/>
            </w:tcBorders>
            <w:shd w:color="auto" w:fill="auto" w:val="clear"/>
            <w:vAlign w:val="bottom"/>
          </w:tcPr>
          <w:p>
            <w:pPr>
              <w:pStyle w:val="1112"/>
              <w:widowControl w:val="false"/>
              <w:rPr>
                <w:color w:themeColor="text1" w:val="000000"/>
              </w:rPr>
            </w:pPr>
            <w:r>
              <w:rPr>
                <w:color w:themeColor="text1" w:val="000000"/>
              </w:rPr>
              <w:t>100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Котельная по ул. Дорожная, д.25</w:t>
            </w:r>
          </w:p>
        </w:tc>
      </w:tr>
      <w:tr>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101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Котельная по ул. Полесская, уч.3</w:t>
            </w:r>
          </w:p>
        </w:tc>
      </w:tr>
      <w:tr>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102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Котельная по ул. Юрия Круглова, зд.3</w:t>
            </w:r>
          </w:p>
        </w:tc>
      </w:tr>
      <w:tr>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103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МУП «Калугатеплосеть» г. Калуги</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ул.Ромодановские дворики, д.61</w:t>
            </w:r>
          </w:p>
        </w:tc>
      </w:tr>
      <w:tr>
        <w:trPr/>
        <w:tc>
          <w:tcPr>
            <w:tcW w:w="9875"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b/>
                <w:color w:themeColor="text1" w:val="000000"/>
              </w:rPr>
              <w:t>Ведомственные котельные</w:t>
            </w:r>
          </w:p>
        </w:tc>
      </w:tr>
      <w:tr>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Московская дирекция по</w:t>
            </w:r>
          </w:p>
          <w:p>
            <w:pPr>
              <w:pStyle w:val="1112"/>
              <w:widowControl w:val="false"/>
              <w:rPr>
                <w:color w:themeColor="text1" w:val="000000"/>
              </w:rPr>
            </w:pPr>
            <w:r>
              <w:rPr>
                <w:color w:themeColor="text1" w:val="000000"/>
              </w:rPr>
              <w:t>тепловодоснабжению - структурное подразделение Центральной дирекции по тепловодоснабжению – филиала</w:t>
            </w:r>
          </w:p>
          <w:p>
            <w:pPr>
              <w:pStyle w:val="1112"/>
              <w:widowControl w:val="false"/>
              <w:rPr>
                <w:color w:themeColor="text1" w:val="000000"/>
              </w:rPr>
            </w:pPr>
            <w:r>
              <w:rPr>
                <w:color w:themeColor="text1" w:val="000000"/>
              </w:rPr>
              <w:t>ОАО «РЖД»</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Привокзальная, д.4а</w:t>
            </w:r>
          </w:p>
          <w:p>
            <w:pPr>
              <w:pStyle w:val="1112"/>
              <w:widowControl w:val="false"/>
              <w:rPr>
                <w:color w:themeColor="text1" w:val="000000"/>
              </w:rPr>
            </w:pPr>
            <w:r>
              <w:rPr>
                <w:color w:themeColor="text1" w:val="000000"/>
              </w:rPr>
              <w:t>ул. Товарная, д.13</w:t>
            </w:r>
          </w:p>
          <w:p>
            <w:pPr>
              <w:pStyle w:val="1112"/>
              <w:widowControl w:val="false"/>
              <w:rPr>
                <w:color w:themeColor="text1" w:val="000000"/>
              </w:rPr>
            </w:pPr>
            <w:r>
              <w:rPr>
                <w:color w:themeColor="text1" w:val="000000"/>
              </w:rPr>
              <w:t>п. Железнодорожников</w:t>
            </w:r>
          </w:p>
        </w:tc>
      </w:tr>
      <w:tr>
        <w:trPr>
          <w:trHeight w:val="56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«Сетевая компания»</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Бориса Литвинчука, стр. 4</w:t>
            </w:r>
          </w:p>
          <w:p>
            <w:pPr>
              <w:pStyle w:val="1112"/>
              <w:widowControl w:val="false"/>
              <w:rPr>
                <w:color w:themeColor="text1" w:val="000000"/>
              </w:rPr>
            </w:pPr>
            <w:r>
              <w:rPr>
                <w:color w:themeColor="text1" w:val="000000"/>
              </w:rPr>
              <w:t>ул. Георгия Амелина, д.43а</w:t>
            </w:r>
          </w:p>
        </w:tc>
      </w:tr>
      <w:tr>
        <w:trPr>
          <w:trHeight w:val="272"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АО «Калужский Электромеханический Завод»</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Салтыкова-Щедрина, д.121</w:t>
            </w:r>
          </w:p>
        </w:tc>
      </w:tr>
      <w:tr>
        <w:trPr>
          <w:trHeight w:val="56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АО «Калужский завод телеграфной аппаратуры»</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Салтыкова-Щедрина, д.141</w:t>
            </w:r>
          </w:p>
        </w:tc>
      </w:tr>
      <w:tr>
        <w:trPr>
          <w:trHeight w:val="56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АО «НПП» Калужский приборостроительный завод «Тайфун»</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 xml:space="preserve"> </w:t>
            </w:r>
            <w:r>
              <w:rPr>
                <w:color w:themeColor="text1" w:val="000000"/>
              </w:rPr>
              <w:t>Грабцевское шоссе, д.174</w:t>
            </w:r>
          </w:p>
        </w:tc>
      </w:tr>
      <w:tr>
        <w:trPr>
          <w:trHeight w:val="159"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АО «Калугатехремонт»</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Механизаторов, д.38</w:t>
            </w:r>
          </w:p>
        </w:tc>
      </w:tr>
      <w:tr>
        <w:trPr>
          <w:trHeight w:val="56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«Элмат»</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1-й Академический проезд, д.23,</w:t>
            </w:r>
          </w:p>
          <w:p>
            <w:pPr>
              <w:pStyle w:val="1112"/>
              <w:widowControl w:val="false"/>
              <w:rPr>
                <w:color w:themeColor="text1" w:val="000000"/>
              </w:rPr>
            </w:pPr>
            <w:r>
              <w:rPr>
                <w:color w:themeColor="text1" w:val="000000"/>
              </w:rPr>
              <w:t>2-й Академический проезд, д.13</w:t>
            </w:r>
          </w:p>
        </w:tc>
      </w:tr>
      <w:tr>
        <w:trPr>
          <w:trHeight w:val="56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8</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ГБУ «Центральное жилищно-коммунальное управление» Министерства обороны РФ</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Военные городки № 1, 2, 3, 56, 56х</w:t>
            </w:r>
          </w:p>
        </w:tc>
      </w:tr>
      <w:tr>
        <w:trPr>
          <w:trHeight w:val="56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9</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АО «Главное управление жилищно-коммунального хозяйства»</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Военные городки № 5, 10, 12, 15, 25 и в/ч 86283</w:t>
            </w:r>
          </w:p>
        </w:tc>
      </w:tr>
      <w:tr>
        <w:trPr>
          <w:trHeight w:val="56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10</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АО «КНИИТМУ»</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 xml:space="preserve"> </w:t>
            </w:r>
            <w:r>
              <w:rPr>
                <w:color w:themeColor="text1" w:val="000000"/>
              </w:rPr>
              <w:t>ул. Карла Маркса, д.4</w:t>
            </w:r>
          </w:p>
          <w:p>
            <w:pPr>
              <w:pStyle w:val="1112"/>
              <w:widowControl w:val="false"/>
              <w:rPr>
                <w:color w:themeColor="text1" w:val="000000"/>
              </w:rPr>
            </w:pPr>
            <w:r>
              <w:rPr>
                <w:color w:themeColor="text1" w:val="000000"/>
              </w:rPr>
              <w:t>ул. Пушкина, д.19</w:t>
            </w:r>
          </w:p>
        </w:tc>
      </w:tr>
      <w:tr>
        <w:trPr>
          <w:trHeight w:val="104"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«Дом»</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 xml:space="preserve"> </w:t>
            </w:r>
            <w:r>
              <w:rPr>
                <w:color w:themeColor="text1" w:val="000000"/>
              </w:rPr>
              <w:t>ул. Кибальчича, д.8</w:t>
            </w:r>
          </w:p>
        </w:tc>
      </w:tr>
      <w:tr>
        <w:trPr>
          <w:trHeight w:val="66"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«КП «Сигнал»</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 xml:space="preserve"> </w:t>
            </w:r>
            <w:r>
              <w:rPr>
                <w:color w:themeColor="text1" w:val="000000"/>
              </w:rPr>
              <w:t>ул. Никитина, д.39а</w:t>
            </w:r>
          </w:p>
        </w:tc>
      </w:tr>
      <w:tr>
        <w:trPr>
          <w:trHeight w:val="203"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АО «Калужская обувная фабрика «Калита»</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 xml:space="preserve"> </w:t>
            </w:r>
            <w:r>
              <w:rPr>
                <w:color w:themeColor="text1" w:val="000000"/>
              </w:rPr>
              <w:t>ул. Тарутинская, д.17а</w:t>
            </w:r>
          </w:p>
        </w:tc>
      </w:tr>
      <w:tr>
        <w:trPr>
          <w:trHeight w:val="115"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14</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«Энерготранс»</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Анненки</w:t>
            </w:r>
          </w:p>
        </w:tc>
      </w:tr>
      <w:tr>
        <w:trPr>
          <w:trHeight w:val="77"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15</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«ТерраИнвест»</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Пухова, д.56</w:t>
            </w:r>
          </w:p>
        </w:tc>
      </w:tr>
      <w:tr>
        <w:trPr>
          <w:trHeight w:val="101"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16</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«ПрофИнжиниринг»</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Кубяка, д.9 к. 6 пом.1</w:t>
            </w:r>
          </w:p>
        </w:tc>
      </w:tr>
      <w:tr>
        <w:trPr>
          <w:trHeight w:val="113"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17</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ООО «Тепло-Сервис»</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ул. Молодежная, д.8а</w:t>
            </w:r>
          </w:p>
        </w:tc>
      </w:tr>
      <w:tr>
        <w:trPr/>
        <w:tc>
          <w:tcPr>
            <w:tcW w:w="9875" w:type="dxa"/>
            <w:gridSpan w:val="3"/>
            <w:tcBorders>
              <w:top w:val="single" w:sz="4" w:space="0" w:color="000000"/>
              <w:left w:val="single" w:sz="4" w:space="0" w:color="000000"/>
              <w:bottom w:val="single" w:sz="4" w:space="0" w:color="000000"/>
              <w:right w:val="single" w:sz="4" w:space="0" w:color="000000"/>
            </w:tcBorders>
            <w:shd w:color="auto" w:fill="auto" w:val="clear"/>
            <w:vAlign w:val="bottom"/>
          </w:tcPr>
          <w:p>
            <w:pPr>
              <w:pStyle w:val="1112"/>
              <w:widowControl w:val="false"/>
              <w:rPr>
                <w:color w:themeColor="text1" w:val="000000"/>
              </w:rPr>
            </w:pPr>
            <w:r>
              <w:rPr>
                <w:b/>
                <w:color w:themeColor="text1" w:val="000000"/>
              </w:rPr>
              <w:t>Источники комбинированной выработки тепловой энергии</w:t>
            </w:r>
          </w:p>
        </w:tc>
      </w:tr>
      <w:tr>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Филиал ПАО «Квадра» - «Центральная генерация» Производственное подразделение «Калужская ТЭЦ»</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КВАДРА, ул. Московская, 286а</w:t>
            </w:r>
          </w:p>
        </w:tc>
      </w:tr>
      <w:tr>
        <w:trPr>
          <w:trHeight w:val="293" w:hRule="atLeast"/>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2</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ПАО «Калужский турбинный завод»</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ТЭЦ Московская площадка,</w:t>
            </w:r>
          </w:p>
          <w:p>
            <w:pPr>
              <w:pStyle w:val="1112"/>
              <w:widowControl w:val="false"/>
              <w:rPr>
                <w:color w:themeColor="text1" w:val="000000"/>
              </w:rPr>
            </w:pPr>
            <w:r>
              <w:rPr>
                <w:color w:themeColor="text1" w:val="000000"/>
              </w:rPr>
              <w:t>пл. Московская, 241</w:t>
            </w:r>
          </w:p>
        </w:tc>
      </w:tr>
      <w:tr>
        <w:trPr/>
        <w:tc>
          <w:tcPr>
            <w:tcW w:w="704"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3</w:t>
            </w:r>
          </w:p>
        </w:tc>
        <w:tc>
          <w:tcPr>
            <w:tcW w:w="46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ПАО «Калужский турбинный завод»</w:t>
            </w:r>
          </w:p>
        </w:tc>
        <w:tc>
          <w:tcPr>
            <w:tcW w:w="44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ТЭЦИ Турынинская площадка</w:t>
            </w:r>
          </w:p>
          <w:p>
            <w:pPr>
              <w:pStyle w:val="1112"/>
              <w:widowControl w:val="false"/>
              <w:rPr>
                <w:color w:themeColor="text1" w:val="000000"/>
              </w:rPr>
            </w:pPr>
            <w:r>
              <w:rPr>
                <w:color w:themeColor="text1" w:val="000000"/>
              </w:rPr>
              <w:t>ул. Турбостроителей, 30</w:t>
            </w:r>
          </w:p>
        </w:tc>
      </w:tr>
    </w:tbl>
    <w:p>
      <w:pPr>
        <w:pStyle w:val="Heading3"/>
        <w:numPr>
          <w:ilvl w:val="2"/>
          <w:numId w:val="2"/>
        </w:numPr>
        <w:spacing w:before="100" w:after="100"/>
        <w:ind w:firstLine="709" w:left="0"/>
        <w:rPr>
          <w:rFonts w:eastAsia="Symbol" w:cs="Symbol"/>
          <w:color w:themeColor="text1" w:val="000000"/>
        </w:rPr>
      </w:pPr>
      <w:bookmarkStart w:id="41" w:name="_Toc217312460"/>
      <w:r>
        <w:rPr>
          <w:rFonts w:eastAsia="Symbol" w:cs="Symbol"/>
          <w:color w:themeColor="text1" w:val="000000"/>
        </w:rPr>
        <w:t>7.4. Газоснабжение</w:t>
      </w:r>
      <w:bookmarkEnd w:id="41"/>
    </w:p>
    <w:p>
      <w:pPr>
        <w:pStyle w:val="Style70"/>
        <w:spacing w:before="0" w:after="0"/>
        <w:ind w:firstLine="709"/>
        <w:rPr>
          <w:color w:themeColor="text1" w:val="000000"/>
        </w:rPr>
      </w:pPr>
      <w:r>
        <w:rPr>
          <w:color w:themeColor="text1" w:val="000000"/>
        </w:rPr>
        <w:t xml:space="preserve">Газоснабжение осуществляется на базе природного газа. По отводам от магистральных газопроводов: Дашава – Киев – Брянск – Москва, Акатово, Белоусово газ подается на газораспределительные станции (ГРС). Город обслуживают ГРС Калуга – 1 (д. Крутицы) и ГРС Калуга – 2 (п. Турынино). ГРС 1 и 2 закольцованы. АГРС «Промплощадка» (д. Мстихино) автономно обслуживает районы Мстихино, Калуга-2, п. Резвань. Максимальная пропускная способность ГРС Калуга – 1 – </w:t>
      </w:r>
      <w:r>
        <w:rPr>
          <w:rStyle w:val="Style21"/>
          <w:color w:themeColor="text1" w:val="000000"/>
        </w:rPr>
        <w:t>260 тыс. м</w:t>
      </w:r>
      <w:r>
        <w:rPr>
          <w:rStyle w:val="Style21"/>
          <w:color w:themeColor="text1" w:val="000000"/>
          <w:vertAlign w:val="superscript"/>
        </w:rPr>
        <w:t>3</w:t>
      </w:r>
      <w:r>
        <w:rPr>
          <w:rStyle w:val="Style21"/>
          <w:color w:themeColor="text1" w:val="000000"/>
        </w:rPr>
        <w:t xml:space="preserve">/час, ГРС Калуга – 2 </w:t>
      </w:r>
      <w:r>
        <w:rPr>
          <w:color w:themeColor="text1" w:val="000000"/>
        </w:rPr>
        <w:t>–</w:t>
      </w:r>
      <w:r>
        <w:rPr>
          <w:rStyle w:val="Style21"/>
          <w:color w:themeColor="text1" w:val="000000"/>
        </w:rPr>
        <w:t xml:space="preserve"> 300 тыс. м</w:t>
      </w:r>
      <w:r>
        <w:rPr>
          <w:rStyle w:val="Style21"/>
          <w:color w:themeColor="text1" w:val="000000"/>
          <w:vertAlign w:val="superscript"/>
        </w:rPr>
        <w:t>3</w:t>
      </w:r>
      <w:r>
        <w:rPr>
          <w:rStyle w:val="Style21"/>
          <w:color w:themeColor="text1" w:val="000000"/>
        </w:rPr>
        <w:t xml:space="preserve">/час, </w:t>
      </w:r>
      <w:r>
        <w:rPr>
          <w:color w:themeColor="text1" w:val="000000"/>
        </w:rPr>
        <w:t xml:space="preserve">АГРС «Промплощадка» (д. Мстихино) – 30 </w:t>
      </w:r>
      <w:r>
        <w:rPr>
          <w:rStyle w:val="Style21"/>
          <w:color w:themeColor="text1" w:val="000000"/>
        </w:rPr>
        <w:t>тыс. м</w:t>
      </w:r>
      <w:r>
        <w:rPr>
          <w:rStyle w:val="Style21"/>
          <w:color w:themeColor="text1" w:val="000000"/>
          <w:vertAlign w:val="superscript"/>
        </w:rPr>
        <w:t>3</w:t>
      </w:r>
      <w:r>
        <w:rPr>
          <w:rStyle w:val="Style21"/>
          <w:color w:themeColor="text1" w:val="000000"/>
        </w:rPr>
        <w:t>/час.</w:t>
      </w:r>
    </w:p>
    <w:p>
      <w:pPr>
        <w:pStyle w:val="Style70"/>
        <w:spacing w:before="0" w:after="0"/>
        <w:ind w:firstLine="709"/>
        <w:rPr>
          <w:color w:themeColor="text1" w:val="000000"/>
        </w:rPr>
      </w:pPr>
      <w:r>
        <w:rPr>
          <w:color w:themeColor="text1" w:val="000000"/>
        </w:rPr>
        <w:t xml:space="preserve">Распределение газа по давлению осуществляется по 2-х и 3-х ступенчатой схеме газопроводами высокого давления </w:t>
      </w:r>
      <w:r>
        <w:rPr>
          <w:color w:themeColor="text1" w:val="000000"/>
          <w:lang w:val="en-US"/>
        </w:rPr>
        <w:t>II</w:t>
      </w:r>
      <w:r>
        <w:rPr>
          <w:color w:themeColor="text1" w:val="000000"/>
        </w:rPr>
        <w:t xml:space="preserve"> категории с рабочим давлением до 0,5 МПа; газопроводами среднего давления до 0,3 МПа и газопроводами низкого давления до 0,005 МПа. Протяженность сетей газоснабжения составляет 2093,58 км.</w:t>
      </w:r>
    </w:p>
    <w:p>
      <w:pPr>
        <w:pStyle w:val="Style70"/>
        <w:spacing w:before="0" w:after="0"/>
        <w:ind w:firstLine="709"/>
        <w:rPr>
          <w:color w:themeColor="text1" w:val="000000"/>
        </w:rPr>
      </w:pPr>
      <w:r>
        <w:rPr>
          <w:color w:themeColor="text1" w:val="000000"/>
        </w:rPr>
        <w:t>Связь между ступенями предусматривается через стационарные и шкафные газорегуляторные пункты (ГРП – 69 шт., ШРП – 111 шт.).</w:t>
      </w:r>
    </w:p>
    <w:p>
      <w:pPr>
        <w:pStyle w:val="Style70"/>
        <w:spacing w:before="0" w:after="0"/>
        <w:ind w:firstLine="709"/>
        <w:rPr>
          <w:color w:themeColor="text1" w:val="000000"/>
        </w:rPr>
      </w:pPr>
      <w:r>
        <w:rPr>
          <w:color w:themeColor="text1" w:val="000000"/>
        </w:rPr>
        <w:t>Направления использования газа:</w:t>
      </w:r>
    </w:p>
    <w:p>
      <w:pPr>
        <w:pStyle w:val="138"/>
        <w:spacing w:before="0" w:after="0"/>
        <w:ind w:firstLine="709" w:left="0"/>
        <w:rPr>
          <w:color w:themeColor="text1" w:val="000000"/>
        </w:rPr>
      </w:pPr>
      <w:r>
        <w:rPr>
          <w:color w:themeColor="text1" w:val="000000"/>
        </w:rPr>
        <w:t>- технологические и санитарно-технические цели коммунально-бытовых и промышленных предприятий;</w:t>
      </w:r>
    </w:p>
    <w:p>
      <w:pPr>
        <w:pStyle w:val="138"/>
        <w:spacing w:before="0" w:after="0"/>
        <w:ind w:firstLine="709" w:left="0"/>
        <w:rPr>
          <w:color w:themeColor="text1" w:val="000000"/>
        </w:rPr>
      </w:pPr>
      <w:r>
        <w:rPr>
          <w:color w:themeColor="text1" w:val="000000"/>
        </w:rPr>
        <w:t>- отопление и горячее водоснабжение жилых и общественных зданий (топливо для источников тепла);</w:t>
      </w:r>
    </w:p>
    <w:p>
      <w:pPr>
        <w:pStyle w:val="138"/>
        <w:spacing w:before="0" w:after="0"/>
        <w:ind w:firstLine="709" w:left="0"/>
        <w:rPr>
          <w:color w:themeColor="text1" w:val="000000"/>
        </w:rPr>
      </w:pPr>
      <w:r>
        <w:rPr>
          <w:color w:themeColor="text1" w:val="000000"/>
        </w:rPr>
        <w:t>- хозяйственно-бытовые нужды населения (приготовление пищи и горячей воды).</w:t>
      </w:r>
    </w:p>
    <w:p>
      <w:pPr>
        <w:pStyle w:val="Style70"/>
        <w:spacing w:before="0" w:after="0"/>
        <w:jc w:val="right"/>
        <w:rPr>
          <w:color w:themeColor="text1" w:val="000000"/>
        </w:rPr>
      </w:pPr>
      <w:r>
        <w:rPr>
          <w:color w:themeColor="text1" w:val="000000"/>
        </w:rPr>
        <w:t>Таблица 7.4.1</w:t>
      </w:r>
    </w:p>
    <w:p>
      <w:pPr>
        <w:pStyle w:val="Style70"/>
        <w:spacing w:before="0" w:after="0"/>
        <w:ind w:hanging="0"/>
        <w:jc w:val="center"/>
        <w:rPr>
          <w:color w:themeColor="text1" w:val="000000"/>
        </w:rPr>
      </w:pPr>
      <w:r>
        <w:rPr>
          <w:color w:themeColor="text1" w:val="000000"/>
        </w:rPr>
        <w:t>Уровень газификации населенных пунктов городского округа</w:t>
      </w:r>
    </w:p>
    <w:tbl>
      <w:tblPr>
        <w:tblW w:w="9874"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418"/>
        <w:gridCol w:w="2545"/>
        <w:gridCol w:w="3978"/>
        <w:gridCol w:w="2932"/>
      </w:tblGrid>
      <w:tr>
        <w:trPr>
          <w:tblHeader w:val="true"/>
        </w:trPr>
        <w:tc>
          <w:tcPr>
            <w:tcW w:w="41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w:t>
            </w:r>
          </w:p>
        </w:tc>
        <w:tc>
          <w:tcPr>
            <w:tcW w:w="254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Группа сельских населенных пунктов</w:t>
            </w:r>
          </w:p>
        </w:tc>
        <w:tc>
          <w:tcPr>
            <w:tcW w:w="3978"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Пункты газифицированы</w:t>
            </w:r>
          </w:p>
        </w:tc>
        <w:tc>
          <w:tcPr>
            <w:tcW w:w="293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Пункты не газифицированы</w:t>
            </w:r>
          </w:p>
        </w:tc>
      </w:tr>
      <w:tr>
        <w:trPr>
          <w:trHeight w:val="559" w:hRule="atLeast"/>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1</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Мстихенская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д. Мстихино, с. Сосновый Бор, д. Плетеневка</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rHeight w:val="836" w:hRule="atLeast"/>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lang w:val="en-US"/>
              </w:rPr>
              <w:t>2</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Шопинская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д. Шопино, д. Рождествено, д. Воровая, д. Желыбино,</w:t>
            </w:r>
          </w:p>
          <w:p>
            <w:pPr>
              <w:pStyle w:val="1112"/>
              <w:widowControl w:val="false"/>
              <w:rPr>
                <w:color w:themeColor="text1" w:val="000000"/>
              </w:rPr>
            </w:pPr>
            <w:r>
              <w:rPr>
                <w:color w:themeColor="text1" w:val="000000"/>
              </w:rPr>
              <w:t>д. Чижовка, с. Шахты</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rHeight w:val="322" w:hRule="atLeast"/>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3</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Ромодановская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д. Колюпаново, д. Георгиевское, д. Андреевское, д. Животинки, д. Горенское, д. Сивково, д. Верхняя Вырка, с. Приокское лесничество,</w:t>
            </w:r>
          </w:p>
          <w:p>
            <w:pPr>
              <w:pStyle w:val="1112"/>
              <w:widowControl w:val="false"/>
              <w:rPr>
                <w:color w:themeColor="text1" w:val="000000"/>
              </w:rPr>
            </w:pPr>
            <w:r>
              <w:rPr>
                <w:color w:themeColor="text1" w:val="000000"/>
              </w:rPr>
              <w:t>д. Нижняя Вырка, д. Пучково, д. Тинино, с. Некрасово, д. Калашников Хутор</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с. Подстанция Колюпановская,</w:t>
            </w:r>
          </w:p>
          <w:p>
            <w:pPr>
              <w:pStyle w:val="1112"/>
              <w:widowControl w:val="false"/>
              <w:rPr>
                <w:color w:themeColor="text1" w:val="000000"/>
              </w:rPr>
            </w:pPr>
            <w:r>
              <w:rPr>
                <w:color w:themeColor="text1" w:val="000000"/>
              </w:rPr>
              <w:t>д. Калашников Хутор,</w:t>
            </w:r>
          </w:p>
          <w:p>
            <w:pPr>
              <w:pStyle w:val="1112"/>
              <w:widowControl w:val="false"/>
              <w:rPr>
                <w:color w:themeColor="text1" w:val="000000"/>
              </w:rPr>
            </w:pPr>
            <w:r>
              <w:rPr>
                <w:color w:themeColor="text1" w:val="000000"/>
              </w:rPr>
              <w:t>д. Переселенец</w:t>
            </w:r>
          </w:p>
        </w:tc>
      </w:tr>
      <w:tr>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4</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Муратовская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pPr>
            <w:r>
              <w:rPr>
                <w:color w:themeColor="text1" w:val="000000"/>
              </w:rPr>
              <w:t>ж/д ст. Тихонова Пустынь, с. Муратовка, п. Мирный, с. Рябинка, п. Зеленый, д. Юрьевка, д. Большая Каменка</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pPr>
            <w:r>
              <w:rPr>
                <w:color w:themeColor="text1" w:val="000000"/>
              </w:rPr>
              <w:t>ж/д ст. Горенская</w:t>
            </w:r>
          </w:p>
        </w:tc>
      </w:tr>
      <w:tr>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5</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Черносвитенская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rFonts w:cs="Symbol"/>
                <w:color w:themeColor="text1" w:val="000000"/>
              </w:rPr>
              <w:t>д. Бабенки, д. Белая, д. Карачево, д. Крутицы, с. Муратовского щебзавода, п. Новый, с. Пригородного лесничества, д. Березовка</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rFonts w:cs="Symbol"/>
                <w:color w:themeColor="text1" w:val="000000"/>
              </w:rPr>
              <w:t>д. Горенское</w:t>
            </w:r>
          </w:p>
        </w:tc>
      </w:tr>
      <w:tr>
        <w:trPr>
          <w:trHeight w:val="663" w:hRule="atLeast"/>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6</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Спаская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с. Росва, д. Яглово, д. Угра, с. Спас, д. Городок, с. Козлово</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д. Николо-Лапиносово, д. Сокорево, д. Орешково</w:t>
            </w:r>
          </w:p>
        </w:tc>
      </w:tr>
      <w:tr>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7</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Новоильинская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д. Жерело, д. Ильинка, д. Лихун, д. Матюнино, д. Марьино</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д. Новоселки, д. Марьино, д. Лобаново, д. Аргуново, с. Рожки</w:t>
            </w:r>
          </w:p>
        </w:tc>
      </w:tr>
      <w:tr>
        <w:trPr/>
        <w:tc>
          <w:tcPr>
            <w:tcW w:w="418"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8</w:t>
            </w:r>
          </w:p>
        </w:tc>
        <w:tc>
          <w:tcPr>
            <w:tcW w:w="2545" w:type="dxa"/>
            <w:tcBorders>
              <w:top w:val="single" w:sz="4" w:space="0" w:color="000000"/>
              <w:left w:val="single" w:sz="4" w:space="0" w:color="000000"/>
              <w:bottom w:val="single" w:sz="4" w:space="0" w:color="000000"/>
            </w:tcBorders>
            <w:shd w:color="auto" w:fill="auto" w:val="clear"/>
            <w:vAlign w:val="center"/>
          </w:tcPr>
          <w:p>
            <w:pPr>
              <w:pStyle w:val="1112"/>
              <w:widowControl w:val="false"/>
              <w:rPr>
                <w:color w:themeColor="text1" w:val="000000"/>
              </w:rPr>
            </w:pPr>
            <w:r>
              <w:rPr>
                <w:color w:themeColor="text1" w:val="000000"/>
              </w:rPr>
              <w:t>Ольговская</w:t>
            </w:r>
          </w:p>
        </w:tc>
        <w:tc>
          <w:tcPr>
            <w:tcW w:w="3978" w:type="dxa"/>
            <w:tcBorders>
              <w:top w:val="single" w:sz="4" w:space="0" w:color="000000"/>
              <w:left w:val="single" w:sz="4" w:space="0" w:color="000000"/>
              <w:bottom w:val="single" w:sz="4" w:space="0" w:color="000000"/>
            </w:tcBorders>
            <w:shd w:color="auto" w:fill="auto" w:val="clear"/>
            <w:vAlign w:val="center"/>
          </w:tcPr>
          <w:p>
            <w:pPr>
              <w:pStyle w:val="1112"/>
              <w:widowControl w:val="false"/>
              <w:snapToGrid w:val="false"/>
              <w:rPr>
                <w:color w:themeColor="text1" w:val="000000"/>
              </w:rPr>
            </w:pPr>
            <w:r>
              <w:rPr>
                <w:color w:themeColor="text1" w:val="000000"/>
              </w:rPr>
              <w:t>д. Григоровка, д. Петрово, д. Починки д. Косарево, д. Заречье, д. Доможирово, д. Груздово, д. Уварово, д. Тимошево, д. Галкино, д. Канищево, д. Малая Каменка</w:t>
            </w:r>
          </w:p>
        </w:tc>
        <w:tc>
          <w:tcPr>
            <w:tcW w:w="29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д. Макаровка</w:t>
            </w:r>
          </w:p>
        </w:tc>
      </w:tr>
    </w:tbl>
    <w:p>
      <w:pPr>
        <w:pStyle w:val="Heading3"/>
        <w:numPr>
          <w:ilvl w:val="2"/>
          <w:numId w:val="2"/>
        </w:numPr>
        <w:spacing w:before="100" w:after="100"/>
        <w:ind w:firstLine="709" w:left="0"/>
        <w:rPr>
          <w:rFonts w:eastAsia="Symbol" w:cs="Symbol"/>
          <w:color w:themeColor="text1" w:val="000000"/>
        </w:rPr>
      </w:pPr>
      <w:bookmarkStart w:id="42" w:name="_Toc217312461"/>
      <w:r>
        <w:rPr>
          <w:rFonts w:eastAsia="Symbol" w:cs="Symbol"/>
          <w:color w:themeColor="text1" w:val="000000"/>
        </w:rPr>
        <w:t>7.5. Электроснабжение</w:t>
      </w:r>
      <w:bookmarkEnd w:id="42"/>
    </w:p>
    <w:p>
      <w:pPr>
        <w:pStyle w:val="Style70"/>
        <w:spacing w:before="0" w:after="0"/>
        <w:ind w:firstLine="709"/>
        <w:rPr>
          <w:color w:themeColor="text1" w:val="000000"/>
        </w:rPr>
      </w:pPr>
      <w:r>
        <w:rPr>
          <w:color w:themeColor="text1" w:val="000000"/>
        </w:rPr>
        <w:t xml:space="preserve">Услуги по передаче электрической энергии на территории городского округа осуществляет филиал  ПАО «Россети Центр и Приволжье» - «Калугаэнерго». </w:t>
      </w:r>
    </w:p>
    <w:p>
      <w:pPr>
        <w:pStyle w:val="Style70"/>
        <w:spacing w:before="0" w:after="0"/>
        <w:ind w:firstLine="709"/>
        <w:rPr>
          <w:color w:themeColor="text1" w:val="000000"/>
        </w:rPr>
      </w:pPr>
      <w:r>
        <w:rPr>
          <w:color w:themeColor="text1" w:val="000000"/>
        </w:rPr>
        <w:t>Электроэнергия поставляется по линиям электропередач с напряжением 220, 110, 35, 10 и 6 кВ. Затем она распределяется по 32 подстанциям, нагрузка на которые в пиковые часы составляет 60-70%. Электроснабжение организовано при помощи кабельных и воздушных линий, распределительных пунктов и трансформаторных подстанций на низком уровне напряжения (6-10 киловольт).</w:t>
      </w:r>
    </w:p>
    <w:p>
      <w:pPr>
        <w:pStyle w:val="Style70"/>
        <w:spacing w:before="0" w:after="0"/>
        <w:ind w:firstLine="709"/>
        <w:rPr>
          <w:color w:themeColor="text1" w:val="000000"/>
        </w:rPr>
      </w:pPr>
      <w:r>
        <w:rPr>
          <w:color w:themeColor="text1" w:val="000000"/>
        </w:rPr>
      </w:r>
    </w:p>
    <w:p>
      <w:pPr>
        <w:pStyle w:val="Style70"/>
        <w:spacing w:before="0" w:after="0"/>
        <w:jc w:val="right"/>
        <w:rPr>
          <w:color w:themeColor="text1" w:val="000000"/>
        </w:rPr>
      </w:pPr>
      <w:r>
        <w:rPr>
          <w:color w:themeColor="text1" w:val="000000"/>
        </w:rPr>
        <w:t>Таблица 7.5.1</w:t>
      </w:r>
    </w:p>
    <w:p>
      <w:pPr>
        <w:pStyle w:val="Style70"/>
        <w:spacing w:before="0" w:after="0"/>
        <w:jc w:val="center"/>
        <w:rPr>
          <w:color w:themeColor="text1" w:val="000000"/>
        </w:rPr>
      </w:pPr>
      <w:r>
        <w:rPr>
          <w:color w:themeColor="text1" w:val="000000"/>
        </w:rPr>
        <w:t>Перечень электрических подстанций,</w:t>
      </w:r>
    </w:p>
    <w:p>
      <w:pPr>
        <w:pStyle w:val="Style70"/>
        <w:spacing w:before="0" w:after="0"/>
        <w:jc w:val="center"/>
        <w:rPr>
          <w:color w:themeColor="text1" w:val="000000"/>
        </w:rPr>
      </w:pPr>
      <w:r>
        <w:rPr>
          <w:color w:themeColor="text1" w:val="000000"/>
        </w:rPr>
        <w:t>расположенных на территории городского округа</w:t>
      </w:r>
    </w:p>
    <w:tbl>
      <w:tblPr>
        <w:tblW w:w="1006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4824"/>
        <w:gridCol w:w="2545"/>
        <w:gridCol w:w="2700"/>
      </w:tblGrid>
      <w:tr>
        <w:trPr>
          <w:tblHeader w:val="true"/>
        </w:trPr>
        <w:tc>
          <w:tcPr>
            <w:tcW w:w="482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Наименование подстанции</w:t>
            </w:r>
          </w:p>
        </w:tc>
        <w:tc>
          <w:tcPr>
            <w:tcW w:w="254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Мощность установленных</w:t>
            </w:r>
          </w:p>
          <w:p>
            <w:pPr>
              <w:pStyle w:val="1112"/>
              <w:widowControl w:val="false"/>
              <w:rPr>
                <w:b/>
                <w:color w:themeColor="text1" w:val="000000"/>
              </w:rPr>
            </w:pPr>
            <w:r>
              <w:rPr>
                <w:b/>
                <w:color w:themeColor="text1" w:val="000000"/>
              </w:rPr>
              <w:t>трансформаторов, МВА</w:t>
            </w:r>
          </w:p>
        </w:tc>
        <w:tc>
          <w:tcPr>
            <w:tcW w:w="270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Год</w:t>
            </w:r>
          </w:p>
          <w:p>
            <w:pPr>
              <w:pStyle w:val="1112"/>
              <w:widowControl w:val="false"/>
              <w:rPr>
                <w:b/>
                <w:color w:themeColor="text1" w:val="000000"/>
              </w:rPr>
            </w:pPr>
            <w:r>
              <w:rPr>
                <w:b/>
                <w:color w:themeColor="text1" w:val="000000"/>
              </w:rPr>
              <w:t>ввода в эксплуатацию</w:t>
            </w:r>
          </w:p>
        </w:tc>
      </w:tr>
      <w:tr>
        <w:trPr>
          <w:trHeight w:val="565"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220/110/10 кВ</w:t>
            </w:r>
          </w:p>
          <w:p>
            <w:pPr>
              <w:pStyle w:val="1112"/>
              <w:widowControl w:val="false"/>
              <w:rPr>
                <w:color w:themeColor="text1" w:val="000000"/>
              </w:rPr>
            </w:pPr>
            <w:r>
              <w:rPr>
                <w:color w:themeColor="text1" w:val="000000"/>
              </w:rPr>
              <w:t>«ФКС Спутник»</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4АТх125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2013 г.</w:t>
            </w:r>
          </w:p>
        </w:tc>
      </w:tr>
      <w:tr>
        <w:trPr>
          <w:trHeight w:val="565"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110/10/6 кВ</w:t>
            </w:r>
          </w:p>
          <w:p>
            <w:pPr>
              <w:pStyle w:val="1112"/>
              <w:widowControl w:val="false"/>
              <w:rPr>
                <w:color w:themeColor="text1" w:val="000000"/>
              </w:rPr>
            </w:pPr>
            <w:r>
              <w:rPr>
                <w:color w:themeColor="text1" w:val="000000"/>
              </w:rPr>
              <w:t>«Приокская»</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1967 г.</w:t>
            </w:r>
          </w:p>
        </w:tc>
      </w:tr>
      <w:tr>
        <w:trPr>
          <w:trHeight w:val="565"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110/35/6 кВ</w:t>
            </w:r>
          </w:p>
          <w:p>
            <w:pPr>
              <w:pStyle w:val="1112"/>
              <w:widowControl w:val="false"/>
              <w:rPr>
                <w:color w:themeColor="text1" w:val="000000"/>
              </w:rPr>
            </w:pPr>
            <w:r>
              <w:rPr>
                <w:color w:themeColor="text1" w:val="000000"/>
              </w:rPr>
              <w:t>«Калуга»</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1х40; 1х31.5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1951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«Тихоново» (ж/д)</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1х15; 1х10</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35/10 кВ</w:t>
            </w:r>
          </w:p>
          <w:p>
            <w:pPr>
              <w:pStyle w:val="1112"/>
              <w:widowControl w:val="false"/>
              <w:rPr>
                <w:color w:themeColor="text1" w:val="000000"/>
              </w:rPr>
            </w:pPr>
            <w:r>
              <w:rPr>
                <w:color w:themeColor="text1" w:val="000000"/>
              </w:rPr>
              <w:t>«Муратовка»</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2х3.2</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1957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110/35/10 кВ</w:t>
            </w:r>
          </w:p>
          <w:p>
            <w:pPr>
              <w:pStyle w:val="1112"/>
              <w:widowControl w:val="false"/>
              <w:rPr>
                <w:color w:themeColor="text1" w:val="000000"/>
              </w:rPr>
            </w:pPr>
            <w:r>
              <w:rPr>
                <w:color w:themeColor="text1" w:val="000000"/>
              </w:rPr>
              <w:t>«Галкино»</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1986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«Пегас»</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1993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110/35/10 кВ</w:t>
            </w:r>
          </w:p>
          <w:p>
            <w:pPr>
              <w:pStyle w:val="1112"/>
              <w:widowControl w:val="false"/>
              <w:rPr>
                <w:color w:themeColor="text1" w:val="000000"/>
              </w:rPr>
            </w:pPr>
            <w:r>
              <w:rPr>
                <w:color w:themeColor="text1" w:val="000000"/>
              </w:rPr>
              <w:t>«Азарово»</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1х25; 1х16; 1х10</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1957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«Малинники»</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1978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110/20 кВ</w:t>
            </w:r>
          </w:p>
          <w:p>
            <w:pPr>
              <w:pStyle w:val="1112"/>
              <w:widowControl w:val="false"/>
              <w:rPr>
                <w:color w:themeColor="text1" w:val="000000"/>
              </w:rPr>
            </w:pPr>
            <w:r>
              <w:rPr>
                <w:color w:themeColor="text1" w:val="000000"/>
              </w:rPr>
              <w:t>«Автозавод» (аб.)</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2х63</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2010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35/6 кВ</w:t>
            </w:r>
          </w:p>
          <w:p>
            <w:pPr>
              <w:pStyle w:val="1112"/>
              <w:widowControl w:val="false"/>
              <w:rPr>
                <w:color w:themeColor="text1" w:val="000000"/>
              </w:rPr>
            </w:pPr>
            <w:r>
              <w:rPr>
                <w:color w:themeColor="text1" w:val="000000"/>
              </w:rPr>
              <w:t>«Грабцево»</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2х4</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1988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«ПРМЗ»</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1994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«Моторная» (аб.)</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1х40; 1х25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110/6 кВ</w:t>
            </w:r>
          </w:p>
          <w:p>
            <w:pPr>
              <w:pStyle w:val="1112"/>
              <w:widowControl w:val="false"/>
              <w:rPr>
                <w:color w:themeColor="text1" w:val="000000"/>
              </w:rPr>
            </w:pPr>
            <w:r>
              <w:rPr>
                <w:color w:themeColor="text1" w:val="000000"/>
              </w:rPr>
              <w:t>«СДВ»</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2000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110/35/6 кВ</w:t>
            </w:r>
          </w:p>
          <w:p>
            <w:pPr>
              <w:pStyle w:val="1112"/>
              <w:widowControl w:val="false"/>
              <w:rPr>
                <w:color w:themeColor="text1" w:val="000000"/>
              </w:rPr>
            </w:pPr>
            <w:r>
              <w:rPr>
                <w:color w:themeColor="text1" w:val="000000"/>
              </w:rPr>
              <w:t>Железняки</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1957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35/10 кВ</w:t>
            </w:r>
          </w:p>
          <w:p>
            <w:pPr>
              <w:pStyle w:val="1112"/>
              <w:widowControl w:val="false"/>
              <w:rPr>
                <w:color w:themeColor="text1" w:val="000000"/>
              </w:rPr>
            </w:pPr>
            <w:r>
              <w:rPr>
                <w:color w:themeColor="text1" w:val="000000"/>
              </w:rPr>
              <w:t>«Мстихино» (аб.)</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2х4</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«Крутицы»</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1992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35/6 кВ</w:t>
            </w:r>
          </w:p>
          <w:p>
            <w:pPr>
              <w:pStyle w:val="1112"/>
              <w:widowControl w:val="false"/>
              <w:rPr>
                <w:color w:themeColor="text1" w:val="000000"/>
              </w:rPr>
            </w:pPr>
            <w:r>
              <w:rPr>
                <w:color w:themeColor="text1" w:val="000000"/>
              </w:rPr>
              <w:t>«Резвань»</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2004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110/6 кВ</w:t>
            </w:r>
          </w:p>
          <w:p>
            <w:pPr>
              <w:pStyle w:val="1112"/>
              <w:widowControl w:val="false"/>
              <w:rPr>
                <w:color w:themeColor="text1" w:val="000000"/>
              </w:rPr>
            </w:pPr>
            <w:r>
              <w:rPr>
                <w:color w:themeColor="text1" w:val="000000"/>
              </w:rPr>
              <w:t>«Анненки»</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1980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35/6 кВ</w:t>
            </w:r>
          </w:p>
          <w:p>
            <w:pPr>
              <w:pStyle w:val="1112"/>
              <w:widowControl w:val="false"/>
              <w:rPr>
                <w:color w:themeColor="text1" w:val="000000"/>
              </w:rPr>
            </w:pPr>
            <w:r>
              <w:rPr>
                <w:color w:themeColor="text1" w:val="000000"/>
              </w:rPr>
              <w:t>«Бор»</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1х5.6; 1х4</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1964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35/10 кВ</w:t>
            </w:r>
          </w:p>
          <w:p>
            <w:pPr>
              <w:pStyle w:val="1112"/>
              <w:widowControl w:val="false"/>
              <w:rPr>
                <w:color w:themeColor="text1" w:val="000000"/>
              </w:rPr>
            </w:pPr>
            <w:r>
              <w:rPr>
                <w:color w:themeColor="text1" w:val="000000"/>
              </w:rPr>
              <w:t>«Куровская»</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1982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«Угорская» (аб.)</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1x24</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2011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110/35/10 кВ</w:t>
            </w:r>
          </w:p>
          <w:p>
            <w:pPr>
              <w:pStyle w:val="1112"/>
              <w:widowControl w:val="false"/>
              <w:rPr>
                <w:color w:themeColor="text1" w:val="000000"/>
              </w:rPr>
            </w:pPr>
            <w:r>
              <w:rPr>
                <w:color w:themeColor="text1" w:val="000000"/>
              </w:rPr>
              <w:t>«Росва»</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1981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«Верховая»</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1x25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2016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110/35/10 кВ</w:t>
            </w:r>
          </w:p>
          <w:p>
            <w:pPr>
              <w:pStyle w:val="1112"/>
              <w:widowControl w:val="false"/>
              <w:rPr>
                <w:color w:themeColor="text1" w:val="000000"/>
              </w:rPr>
            </w:pPr>
            <w:r>
              <w:rPr>
                <w:color w:themeColor="text1" w:val="000000"/>
              </w:rPr>
              <w:t>«Квань»</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1979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«Гранат»</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2х40</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1985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35/10 кВ</w:t>
            </w:r>
          </w:p>
          <w:p>
            <w:pPr>
              <w:pStyle w:val="1112"/>
              <w:widowControl w:val="false"/>
              <w:rPr>
                <w:color w:themeColor="text1" w:val="000000"/>
              </w:rPr>
            </w:pPr>
            <w:r>
              <w:rPr>
                <w:color w:themeColor="text1" w:val="000000"/>
              </w:rPr>
              <w:t>«Колюпаново»</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1х3.2; 1х4</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1964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 кВ</w:t>
            </w:r>
          </w:p>
          <w:p>
            <w:pPr>
              <w:pStyle w:val="1112"/>
              <w:widowControl w:val="false"/>
              <w:rPr>
                <w:color w:themeColor="text1" w:val="000000"/>
              </w:rPr>
            </w:pPr>
            <w:r>
              <w:rPr>
                <w:color w:themeColor="text1" w:val="000000"/>
              </w:rPr>
              <w:t>«Университет»</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2x16</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2020 г.</w:t>
            </w:r>
          </w:p>
        </w:tc>
      </w:tr>
      <w:tr>
        <w:trPr>
          <w:trHeight w:val="526" w:hRule="atLeast"/>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110/6 кВ</w:t>
            </w:r>
          </w:p>
          <w:p>
            <w:pPr>
              <w:pStyle w:val="1112"/>
              <w:widowControl w:val="false"/>
              <w:rPr>
                <w:color w:themeColor="text1" w:val="000000"/>
              </w:rPr>
            </w:pPr>
            <w:r>
              <w:rPr>
                <w:color w:themeColor="text1" w:val="000000"/>
              </w:rPr>
              <w:t>«Турынино» (аб.)</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110/10/6 кВ</w:t>
            </w:r>
          </w:p>
          <w:p>
            <w:pPr>
              <w:pStyle w:val="1112"/>
              <w:widowControl w:val="false"/>
              <w:rPr>
                <w:color w:themeColor="text1" w:val="000000"/>
              </w:rPr>
            </w:pPr>
            <w:r>
              <w:rPr>
                <w:color w:themeColor="text1" w:val="000000"/>
              </w:rPr>
              <w:t>«Восход»</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1971 г.</w:t>
            </w:r>
          </w:p>
        </w:tc>
      </w:tr>
      <w:tr>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110/35/6 кВ</w:t>
            </w:r>
          </w:p>
          <w:p>
            <w:pPr>
              <w:pStyle w:val="1112"/>
              <w:widowControl w:val="false"/>
              <w:rPr>
                <w:color w:themeColor="text1" w:val="000000"/>
              </w:rPr>
            </w:pPr>
            <w:r>
              <w:rPr>
                <w:color w:themeColor="text1" w:val="000000"/>
              </w:rPr>
              <w:t>«Маяк»</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1967 г.</w:t>
            </w:r>
          </w:p>
        </w:tc>
      </w:tr>
      <w:tr>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11/0/35/6 кВ</w:t>
            </w:r>
          </w:p>
          <w:p>
            <w:pPr>
              <w:pStyle w:val="1112"/>
              <w:widowControl w:val="false"/>
              <w:rPr>
                <w:color w:themeColor="text1" w:val="000000"/>
              </w:rPr>
            </w:pPr>
            <w:r>
              <w:rPr>
                <w:color w:themeColor="text1" w:val="000000"/>
              </w:rPr>
              <w:t>«КМЗ» (аб.)</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1х20; 1х15</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w:t>
            </w:r>
          </w:p>
        </w:tc>
      </w:tr>
      <w:tr>
        <w:trPr/>
        <w:tc>
          <w:tcPr>
            <w:tcW w:w="48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ПС 110/6 кВ</w:t>
            </w:r>
          </w:p>
          <w:p>
            <w:pPr>
              <w:pStyle w:val="1112"/>
              <w:widowControl w:val="false"/>
              <w:rPr>
                <w:color w:themeColor="text1" w:val="000000"/>
              </w:rPr>
            </w:pPr>
            <w:r>
              <w:rPr>
                <w:color w:themeColor="text1" w:val="000000"/>
              </w:rPr>
              <w:t>«Дубрава»</w:t>
            </w:r>
          </w:p>
        </w:tc>
        <w:tc>
          <w:tcPr>
            <w:tcW w:w="25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2х25 МВА</w:t>
            </w:r>
          </w:p>
        </w:tc>
        <w:tc>
          <w:tcPr>
            <w:tcW w:w="27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1112"/>
              <w:widowControl w:val="false"/>
              <w:rPr>
                <w:color w:themeColor="text1" w:val="000000"/>
              </w:rPr>
            </w:pPr>
            <w:r>
              <w:rPr>
                <w:color w:themeColor="text1" w:val="000000"/>
              </w:rPr>
              <w:t>1974 г.</w:t>
            </w:r>
          </w:p>
        </w:tc>
      </w:tr>
    </w:tbl>
    <w:p>
      <w:pPr>
        <w:pStyle w:val="Style70"/>
        <w:spacing w:before="0" w:after="0"/>
        <w:ind w:firstLine="709"/>
        <w:rPr>
          <w:color w:themeColor="text1" w:val="000000"/>
        </w:rPr>
      </w:pPr>
      <w:r>
        <w:rPr>
          <w:color w:themeColor="text1" w:val="000000"/>
        </w:rPr>
        <w:t>Выработку электроэнергии на территории городского округа осуществляют три источника: ТЭЦ ОАО «КТЗ», Калужская ТЭЦ ПАО «Квадра», ТЭЦ № 107 Турынино.</w:t>
      </w:r>
    </w:p>
    <w:p>
      <w:pPr>
        <w:pStyle w:val="Heading3"/>
        <w:numPr>
          <w:ilvl w:val="2"/>
          <w:numId w:val="2"/>
        </w:numPr>
        <w:spacing w:before="100" w:after="100"/>
        <w:ind w:firstLine="709" w:left="0"/>
        <w:rPr>
          <w:rFonts w:eastAsia="Symbol" w:cs="Symbol"/>
          <w:color w:themeColor="text1" w:val="000000"/>
        </w:rPr>
      </w:pPr>
      <w:bookmarkStart w:id="43" w:name="_Toc217312462"/>
      <w:r>
        <w:rPr>
          <w:rFonts w:eastAsia="Symbol" w:cs="Symbol"/>
          <w:color w:themeColor="text1" w:val="000000"/>
        </w:rPr>
        <w:t>7.6. Средства связи</w:t>
      </w:r>
      <w:bookmarkEnd w:id="43"/>
    </w:p>
    <w:p>
      <w:pPr>
        <w:pStyle w:val="Normal"/>
        <w:spacing w:before="60" w:after="60"/>
        <w:ind w:firstLine="709"/>
        <w:jc w:val="both"/>
        <w:rPr>
          <w:b/>
          <w:bCs/>
          <w:color w:themeColor="text1" w:val="000000"/>
        </w:rPr>
      </w:pPr>
      <w:r>
        <w:rPr>
          <w:b/>
          <w:bCs/>
          <w:color w:themeColor="text1" w:val="000000"/>
        </w:rPr>
        <w:t>Телефонизация</w:t>
      </w:r>
    </w:p>
    <w:p>
      <w:pPr>
        <w:pStyle w:val="Style70"/>
        <w:spacing w:before="0" w:after="0"/>
        <w:ind w:firstLine="709"/>
        <w:rPr/>
      </w:pPr>
      <w:r>
        <w:rPr>
          <w:color w:themeColor="text1" w:val="000000"/>
        </w:rPr>
        <w:t>Услуги телефонной связи общего пользования предоставляются населению и организациям Калужским филиалом ПАО «Ростелеком». На телефонной сети Калуги действуют 4 АТС и 131 выносной концентратор общей монтированной емкостью 96 995 номеров. Количество абонентов города составляет 54 772, в том числе 38 316 физические лица и 9676 юридические лица.</w:t>
      </w:r>
    </w:p>
    <w:p>
      <w:pPr>
        <w:pStyle w:val="Style70"/>
        <w:spacing w:before="0" w:after="0"/>
        <w:ind w:firstLine="709"/>
        <w:rPr>
          <w:color w:themeColor="text1" w:val="000000"/>
        </w:rPr>
      </w:pPr>
      <w:r>
        <w:rPr>
          <w:color w:themeColor="text1" w:val="000000"/>
        </w:rPr>
        <w:t>Характеристика автоматических телефонных станций:</w:t>
      </w:r>
    </w:p>
    <w:p>
      <w:pPr>
        <w:pStyle w:val="Style70"/>
        <w:spacing w:before="0" w:after="0"/>
        <w:ind w:firstLine="709"/>
        <w:rPr>
          <w:color w:themeColor="text1" w:val="000000"/>
        </w:rPr>
      </w:pPr>
      <w:r>
        <w:rPr>
          <w:color w:themeColor="text1" w:val="000000"/>
        </w:rPr>
        <w:t>- Электронная комбинированная ТЗУС/АТС типа EWSD. Адрес установки: г. Калуга, ул. Театральная, д. 38. В состав АТС входят 26 выносных концентраторов. Общая монтированная емкость 74 874 номера, возможность расширения имеется.</w:t>
      </w:r>
    </w:p>
    <w:p>
      <w:pPr>
        <w:pStyle w:val="Style70"/>
        <w:spacing w:before="0" w:after="0"/>
        <w:ind w:firstLine="709"/>
        <w:rPr>
          <w:color w:themeColor="text1" w:val="000000"/>
        </w:rPr>
      </w:pPr>
      <w:r>
        <w:rPr>
          <w:color w:themeColor="text1" w:val="000000"/>
        </w:rPr>
        <w:t>- Электронная АТС типа EWSD. Адрес установки: г. Калуга, б-р. Энтузиастов, д. 3. В состав АТС входят 6 выносных концентраторов. Общая монтированная емкость 10884 номера, возможность расширения имеется.</w:t>
      </w:r>
    </w:p>
    <w:p>
      <w:pPr>
        <w:pStyle w:val="Style70"/>
        <w:spacing w:before="0" w:after="0"/>
        <w:ind w:firstLine="709"/>
        <w:rPr>
          <w:color w:themeColor="text1" w:val="000000"/>
        </w:rPr>
      </w:pPr>
      <w:r>
        <w:rPr>
          <w:color w:themeColor="text1" w:val="000000"/>
        </w:rPr>
        <w:t>- Цифровая АТС типа SI-3000. Адрес установки: г. Калуга, ул. Театральная, д. 38. В состав АТС входят 99 выносных концентраторов. Общая монтированная емкость 11 224 номера, возможность расширения имеется.</w:t>
      </w:r>
    </w:p>
    <w:p>
      <w:pPr>
        <w:pStyle w:val="Style70"/>
        <w:spacing w:before="0" w:after="0"/>
        <w:ind w:firstLine="709"/>
        <w:rPr>
          <w:color w:themeColor="text1" w:val="000000"/>
        </w:rPr>
      </w:pPr>
      <w:r>
        <w:rPr>
          <w:color w:themeColor="text1" w:val="000000"/>
        </w:rPr>
        <w:t>- Цифровой комбинированный узел ТМгУС/ТЗУС/АТС типа vIMS Edge Iskratel. Адрес установки: г. Калуга, ул. Театральная, д.38. Монтированная номерная IP-емкость 13 номеров, возможность расширения имеется.</w:t>
      </w:r>
    </w:p>
    <w:p>
      <w:pPr>
        <w:pStyle w:val="Style70"/>
        <w:spacing w:before="0" w:after="0"/>
        <w:ind w:firstLine="709"/>
        <w:rPr>
          <w:color w:themeColor="text1" w:val="000000"/>
        </w:rPr>
      </w:pPr>
      <w:r>
        <w:rPr>
          <w:color w:themeColor="text1" w:val="000000"/>
        </w:rPr>
        <w:t>Связь между АТС осуществляется посредством волоконно-оптических линий связи. Выход абонентов Калуги на междугородную и внутризоновую сети осуществляется через комбинированный узел ТЗУС/АТС типа EWSD.</w:t>
      </w:r>
    </w:p>
    <w:p>
      <w:pPr>
        <w:pStyle w:val="Style70"/>
        <w:spacing w:before="0" w:after="0"/>
        <w:ind w:firstLine="709"/>
        <w:rPr>
          <w:color w:themeColor="text1" w:val="000000"/>
        </w:rPr>
      </w:pPr>
      <w:r>
        <w:rPr>
          <w:color w:themeColor="text1" w:val="000000"/>
        </w:rPr>
        <w:t>На смену традиционной телефонии приходят новые технологии, организованные по сети Интернет: «SIP телефония», «ОТА поверх GPON» и «Виртуальная АТС» для юридических лиц.</w:t>
      </w:r>
    </w:p>
    <w:p>
      <w:pPr>
        <w:pStyle w:val="Normal"/>
        <w:spacing w:before="60" w:after="60"/>
        <w:ind w:firstLine="709"/>
        <w:jc w:val="both"/>
        <w:rPr>
          <w:b/>
          <w:bCs/>
          <w:color w:themeColor="text1" w:val="000000"/>
        </w:rPr>
      </w:pPr>
      <w:r>
        <w:rPr>
          <w:b/>
          <w:bCs/>
          <w:color w:themeColor="text1" w:val="000000"/>
        </w:rPr>
        <w:t xml:space="preserve">Радиофикация </w:t>
      </w:r>
    </w:p>
    <w:p>
      <w:pPr>
        <w:pStyle w:val="Style70"/>
        <w:spacing w:before="0" w:after="0"/>
        <w:ind w:firstLine="709"/>
        <w:rPr>
          <w:color w:themeColor="text1" w:val="000000"/>
        </w:rPr>
      </w:pPr>
      <w:r>
        <w:rPr>
          <w:color w:themeColor="text1" w:val="000000"/>
        </w:rPr>
        <w:t>Услуги проводного радиовещания на территории г. Калуги предоставляются Калужским филиалом ПАО «Ростелеком» в соответствии с постановлением Правительства Российской Федерации от 19.06.1994 № 723.</w:t>
      </w:r>
    </w:p>
    <w:p>
      <w:pPr>
        <w:pStyle w:val="Style70"/>
        <w:spacing w:before="0" w:after="0"/>
        <w:ind w:firstLine="709"/>
        <w:rPr>
          <w:color w:themeColor="text1" w:val="000000"/>
        </w:rPr>
      </w:pPr>
      <w:r>
        <w:rPr>
          <w:color w:themeColor="text1" w:val="000000"/>
        </w:rPr>
        <w:t>Эфирное аналоговое радиовещание федеральных, региональных и сетевых программ, а также программ ВГТРК в составе пакета программ РТРС-1 цифрового эфирного наземного телевидения осуществляется с радиотелевизионной передающей станции (РТПС) Калуга филиала РТРС «Калужский ОРТПЦ».</w:t>
      </w:r>
    </w:p>
    <w:p>
      <w:pPr>
        <w:pStyle w:val="Style70"/>
        <w:spacing w:before="0" w:after="0"/>
        <w:ind w:firstLine="709"/>
        <w:rPr>
          <w:color w:themeColor="text1" w:val="000000"/>
        </w:rPr>
      </w:pPr>
      <w:r>
        <w:rPr>
          <w:color w:themeColor="text1" w:val="000000"/>
        </w:rPr>
        <w:t>Услуги проводного радиовещания предоставляются в цифровом формате «1Р-радио» на основе технологий BOJIC-FTTx посредством ресурсов своей сети передачи и не предусматривают возможности использования устаревших аналоговых технологий, изложенных в Правилах технической эксплуатации сетей проводного вещания, утвержденных приказом Минсвязи России от 23.03.1997 № 44.</w:t>
      </w:r>
    </w:p>
    <w:p>
      <w:pPr>
        <w:pStyle w:val="Style70"/>
        <w:spacing w:before="0" w:after="0"/>
        <w:ind w:firstLine="709"/>
        <w:rPr>
          <w:color w:themeColor="text1" w:val="000000"/>
        </w:rPr>
      </w:pPr>
      <w:r>
        <w:rPr>
          <w:color w:themeColor="text1" w:val="000000"/>
        </w:rPr>
        <w:t>По сети проводного радиовещания Калужского филиала ПАО «Ростелеком» в г. Калуге ведется вещание радиопрограммы «Радио России». Источником сигнала является студия ГТРК «Калуга».</w:t>
      </w:r>
    </w:p>
    <w:p>
      <w:pPr>
        <w:pStyle w:val="Style70"/>
        <w:spacing w:before="0" w:after="0"/>
        <w:ind w:firstLine="709"/>
        <w:rPr>
          <w:color w:themeColor="text1" w:val="000000"/>
        </w:rPr>
      </w:pPr>
      <w:r>
        <w:rPr>
          <w:color w:themeColor="text1" w:val="000000"/>
        </w:rPr>
        <w:t>Количество абонентов сети проводного радиовещания в г. Калуге составляет</w:t>
        <w:br/>
        <w:t>13 пользователей.</w:t>
      </w:r>
    </w:p>
    <w:p>
      <w:pPr>
        <w:pStyle w:val="Normal"/>
        <w:spacing w:before="60" w:after="60"/>
        <w:ind w:firstLine="709"/>
        <w:jc w:val="both"/>
        <w:rPr>
          <w:b/>
          <w:bCs/>
          <w:color w:themeColor="text1" w:val="000000"/>
        </w:rPr>
      </w:pPr>
      <w:r>
        <w:rPr>
          <w:b/>
          <w:bCs/>
          <w:color w:themeColor="text1" w:val="000000"/>
        </w:rPr>
        <w:t>Телевидение</w:t>
      </w:r>
    </w:p>
    <w:p>
      <w:pPr>
        <w:pStyle w:val="Style70"/>
        <w:spacing w:before="0" w:after="0"/>
        <w:ind w:firstLine="709"/>
        <w:rPr>
          <w:color w:themeColor="text1" w:val="000000"/>
        </w:rPr>
      </w:pPr>
      <w:r>
        <w:rPr>
          <w:color w:themeColor="text1" w:val="000000"/>
        </w:rPr>
        <w:t>Трансляция пакетов программ РТРС-1 и РТРС-2 цифрового эфирного наземного телевидения, а также региональной программы ТРК «Ника» в аналоговом формате осуществляется с радиотелевизионной передающей станции (РТПС) Калуга филиала РТРС «Калужский ОРТПЦ».</w:t>
      </w:r>
    </w:p>
    <w:p>
      <w:pPr>
        <w:pStyle w:val="Style70"/>
        <w:spacing w:before="0" w:after="0"/>
        <w:ind w:firstLine="709"/>
        <w:rPr>
          <w:color w:themeColor="text1" w:val="000000"/>
        </w:rPr>
      </w:pPr>
      <w:r>
        <w:rPr>
          <w:color w:themeColor="text1" w:val="000000"/>
        </w:rPr>
        <w:t>Услуги телевидения на территории г. Калуги предоставляются Калужским филиалом</w:t>
        <w:br/>
        <w:t>ПАО «Ростелеком» в цифровом формате IPTV на основе технологий ВОЛС-FTTx посредством ресурсов своей сети передачи данных.</w:t>
      </w:r>
    </w:p>
    <w:p>
      <w:pPr>
        <w:pStyle w:val="Style70"/>
        <w:spacing w:before="0" w:after="0"/>
        <w:ind w:firstLine="709"/>
        <w:rPr>
          <w:color w:themeColor="text1" w:val="000000"/>
        </w:rPr>
      </w:pPr>
      <w:r>
        <w:rPr>
          <w:color w:themeColor="text1" w:val="000000"/>
        </w:rPr>
        <w:t>Услуги IPTV обеспечивают возможность вещания 270 телеканалов, в т.ч.</w:t>
        <w:br/>
        <w:t>10 региональных.</w:t>
      </w:r>
    </w:p>
    <w:p>
      <w:pPr>
        <w:pStyle w:val="Style70"/>
        <w:spacing w:before="0" w:after="0"/>
        <w:ind w:firstLine="709"/>
        <w:rPr>
          <w:color w:themeColor="text1" w:val="000000"/>
        </w:rPr>
      </w:pPr>
      <w:r>
        <w:rPr>
          <w:color w:themeColor="text1" w:val="000000"/>
        </w:rPr>
      </w:r>
    </w:p>
    <w:p>
      <w:pPr>
        <w:pStyle w:val="Style70"/>
        <w:spacing w:before="0" w:after="0"/>
        <w:ind w:firstLine="709"/>
        <w:jc w:val="center"/>
        <w:rPr>
          <w:b/>
          <w:bCs/>
          <w:sz w:val="26"/>
          <w:szCs w:val="26"/>
        </w:rPr>
      </w:pPr>
      <w:bookmarkStart w:id="44" w:name="_Toc217312463"/>
      <w:r>
        <w:rPr>
          <w:rFonts w:cs="Symbol"/>
          <w:b/>
          <w:bCs/>
          <w:color w:themeColor="text1" w:val="000000"/>
          <w:sz w:val="26"/>
          <w:szCs w:val="26"/>
        </w:rPr>
        <w:t>8. Состояние окружающей среды</w:t>
      </w:r>
      <w:bookmarkEnd w:id="44"/>
    </w:p>
    <w:p>
      <w:pPr>
        <w:pStyle w:val="Style70"/>
        <w:ind w:firstLine="709"/>
        <w:rPr>
          <w:rFonts w:eastAsia="TimesNewRoman"/>
          <w:color w:themeColor="text1" w:val="000000"/>
        </w:rPr>
      </w:pPr>
      <w:r>
        <w:rPr>
          <w:color w:themeColor="text1" w:val="000000"/>
        </w:rPr>
        <w:t>Город Калуга – один из крупных промышленных центров России, в котором сосредоточены предприятия машиностроения, приборостроения, ВПК, стройиндустрии, химической, деревообрабатывающей, пищевой промышленности. Объекты энергетики, промышленного и сельскохозяйственного производства, транспорт, подземное газохранилище оказывают негативное воздействие на состояние окружающей среды в городе и на прилегающих территориях.</w:t>
      </w:r>
    </w:p>
    <w:p>
      <w:pPr>
        <w:pStyle w:val="Heading3"/>
        <w:numPr>
          <w:ilvl w:val="2"/>
          <w:numId w:val="2"/>
        </w:numPr>
        <w:spacing w:before="100" w:after="100"/>
        <w:ind w:hanging="0" w:left="0"/>
        <w:rPr>
          <w:rFonts w:eastAsia="Symbol" w:cs="Symbol"/>
          <w:color w:themeColor="text1" w:val="000000"/>
        </w:rPr>
      </w:pPr>
      <w:bookmarkStart w:id="45" w:name="_Toc217312464"/>
      <w:r>
        <w:rPr>
          <w:rFonts w:eastAsia="Symbol" w:cs="Symbol"/>
          <w:color w:themeColor="text1" w:val="000000"/>
        </w:rPr>
        <w:t>8.1. Состояние воздушного бассейна</w:t>
      </w:r>
      <w:bookmarkEnd w:id="45"/>
    </w:p>
    <w:p>
      <w:pPr>
        <w:pStyle w:val="Style70"/>
        <w:spacing w:before="0" w:after="0"/>
        <w:ind w:firstLine="709"/>
        <w:rPr>
          <w:color w:themeColor="text1" w:val="000000"/>
        </w:rPr>
      </w:pPr>
      <w:r>
        <w:rPr>
          <w:color w:themeColor="text1" w:val="000000"/>
        </w:rPr>
        <w:t>В городе остро стоит проблема загрязнения воздушного бассейна. Большое количество стационарных и передвижных источников выбросов, повышенный потенциал загрязнения атмосферы, сложные орографические условия обусловливают высокий уровень загрязнения приземного слоя воздуха на значительной по площади территории города. По данным Управления Роспотребнадзора по Калужской области отмечен рост показателей загрязнения атмосферного воздуха в г. Калуге, главным образом, от передвижных источников (автотранспорт).</w:t>
      </w:r>
    </w:p>
    <w:p>
      <w:pPr>
        <w:pStyle w:val="Style70"/>
        <w:spacing w:before="0" w:after="0"/>
        <w:ind w:firstLine="709"/>
        <w:rPr>
          <w:color w:themeColor="text1" w:val="000000"/>
        </w:rPr>
      </w:pPr>
      <w:r>
        <w:rPr>
          <w:color w:themeColor="text1" w:val="000000"/>
        </w:rPr>
        <w:t>Основные источники загрязнения воздуха в Калуге - это выбросы предприятий и автомобилей. Предприятия города выбрасывают в атмосферу около 8,39 тысяч тонн загрязняющих веществ двухсот сорока шести наименований. Более 70% этих выбросов приходится на три вещества - оксид углерода, диоксид азота и метан. Остальные 240 видов загрязняющих веществ составляют примерно 27% от общего объема выбросов.</w:t>
      </w:r>
    </w:p>
    <w:p>
      <w:pPr>
        <w:pStyle w:val="Style70"/>
        <w:spacing w:before="0" w:after="0"/>
        <w:ind w:firstLine="709"/>
        <w:rPr/>
      </w:pPr>
      <w:r>
        <w:rPr>
          <w:color w:themeColor="text1" w:val="000000"/>
        </w:rPr>
        <w:t>Калуга лидирует по объему выбросов вредных (загрязняющих) веществ в атмосферный воздух от стационарных источников в области.</w:t>
      </w:r>
      <w:r>
        <w:rPr>
          <w:rFonts w:eastAsia="TimesNewRomanPSMT"/>
          <w:color w:themeColor="text1" w:val="000000"/>
        </w:rPr>
        <w:t xml:space="preserve"> </w:t>
      </w:r>
      <w:r>
        <w:rPr>
          <w:color w:themeColor="text1" w:val="000000"/>
        </w:rPr>
        <w:t>Больше всего загрязняют воздух предприятия, такие как МУП «Калугатеплосеть» г. Калуги, Калужский турбинный завод, Газпром ПХГ и другие.</w:t>
      </w:r>
    </w:p>
    <w:p>
      <w:pPr>
        <w:pStyle w:val="Style70"/>
        <w:spacing w:before="0" w:after="0"/>
        <w:ind w:firstLine="709"/>
        <w:rPr>
          <w:color w:themeColor="text1" w:val="000000"/>
        </w:rPr>
      </w:pPr>
      <w:r>
        <w:rPr>
          <w:color w:themeColor="text1" w:val="000000"/>
        </w:rPr>
        <w:t>Несмотря на появление новых предприятий, выбросы промышленности Калуги на протяжении последних лет достаточно стабильны, поскольку на новых предприятиях применяются современные материалы, технологии и системы пылегазоочистки, а традиционные заводы работают над модернизацией технологического оборудования и процессов, а также над внедрением современного очистного оборудования.</w:t>
      </w:r>
    </w:p>
    <w:p>
      <w:pPr>
        <w:pStyle w:val="Style70"/>
        <w:spacing w:before="0" w:after="0"/>
        <w:ind w:firstLine="709"/>
        <w:rPr>
          <w:color w:themeColor="text1" w:val="000000"/>
        </w:rPr>
      </w:pPr>
      <w:r>
        <w:rPr>
          <w:color w:themeColor="text1" w:val="000000"/>
        </w:rPr>
        <w:t xml:space="preserve">Количество городских предприятий, нарушающих нормативы выбросов загрязняющих веществ в последнее время достаточно стабильно и составляет 2–3% от всех предприятий, имеющих выбросы в атмосферу. Основными компонентам, выбрасываемыми в атмосферу предприятиями–нарушителями, является пыль различного состава, диоксид азота и компоненты нефтепродуктов. </w:t>
      </w:r>
    </w:p>
    <w:p>
      <w:pPr>
        <w:pStyle w:val="Style70"/>
        <w:spacing w:before="0" w:after="0"/>
        <w:ind w:firstLine="709"/>
        <w:rPr>
          <w:color w:themeColor="text1" w:val="000000"/>
        </w:rPr>
      </w:pPr>
      <w:r>
        <w:rPr>
          <w:color w:themeColor="text1" w:val="000000"/>
        </w:rPr>
        <w:t>Постоянный рост автомобильного парка выдвинул автотранспорт на одно из первых мест среди источников загрязнения атмосферы.</w:t>
      </w:r>
      <w:r>
        <w:rPr>
          <w:rFonts w:eastAsia="TimesNewRomanPSMT"/>
          <w:color w:themeColor="text1" w:val="000000"/>
        </w:rPr>
        <w:t xml:space="preserve"> </w:t>
      </w:r>
      <w:r>
        <w:rPr>
          <w:color w:themeColor="text1" w:val="000000"/>
        </w:rPr>
        <w:t>Основными компонентами, загрязняющими атмосферный воздух и содержащимися в выбросах автотранспорта, являются оксид углерода, углеводороды, оксиды азота и диоксид серы. Вредные вещества поступают в атмосферу в зоне дыхания человека, поэтому автомобильный транспорт относится к одному из наиболее опасных источников загрязнения атмосферного воздуха и воздействия на организм человека.</w:t>
      </w:r>
    </w:p>
    <w:p>
      <w:pPr>
        <w:pStyle w:val="Style70"/>
        <w:spacing w:before="0" w:after="0"/>
        <w:ind w:firstLine="709"/>
        <w:rPr>
          <w:color w:themeColor="text1" w:val="000000"/>
        </w:rPr>
      </w:pPr>
      <w:r>
        <w:rPr>
          <w:color w:themeColor="text1" w:val="000000"/>
        </w:rPr>
        <w:t>Выбросы городского транспорта, по экспертным оценкам, составляют 75% от всех выбросов в атмосферу и в отличие от промышленных распределены по всей территории города. Наибольшие выбросы наблюдаются в районах скопления машин: на перекрестках, у светофоров, в пробках.</w:t>
      </w:r>
    </w:p>
    <w:p>
      <w:pPr>
        <w:pStyle w:val="Style70"/>
        <w:spacing w:before="0" w:after="0"/>
        <w:ind w:firstLine="709"/>
        <w:rPr>
          <w:color w:themeColor="text1" w:val="000000"/>
        </w:rPr>
      </w:pPr>
      <w:r>
        <w:rPr>
          <w:color w:themeColor="text1" w:val="000000"/>
        </w:rPr>
        <w:t>Выбросы загрязняющих веществ - это нагрузка на атмосферу. Рассеиваясь, они создают концентрации компонентов в приземном слое, которые могут находиться в пределах нормативных (безопасных) значений, а могут превышать их. Превышение нормативных уровней создает сверхнормативное загрязнение воздуха. В 2012 г. сверхнормативное загрязнение воздуха прогнозировалось по 10 веществам (4% всех выбрасываемых веществ). Основные вещества с наибольшим превышением нормативных уровней приведены в таблице 8.1.1.</w:t>
      </w:r>
    </w:p>
    <w:p>
      <w:pPr>
        <w:pStyle w:val="Style78"/>
        <w:rPr>
          <w:color w:themeColor="text1" w:val="000000"/>
        </w:rPr>
      </w:pPr>
      <w:r>
        <w:rPr>
          <w:color w:themeColor="text1" w:val="000000"/>
        </w:rPr>
        <w:t>Таблица 8.1.1</w:t>
      </w:r>
    </w:p>
    <w:p>
      <w:pPr>
        <w:pStyle w:val="Style83"/>
        <w:rPr>
          <w:color w:themeColor="text1" w:val="000000"/>
        </w:rPr>
      </w:pPr>
      <w:r>
        <w:rPr>
          <w:color w:themeColor="text1" w:val="000000"/>
        </w:rPr>
        <w:t>Основные вещества, концентрации которых превышают нормативные значения (ПДК) на территории города</w:t>
      </w:r>
    </w:p>
    <w:tbl>
      <w:tblPr>
        <w:tblW w:w="9874" w:type="dxa"/>
        <w:jc w:val="left"/>
        <w:tblInd w:w="-10" w:type="dxa"/>
        <w:tblLayout w:type="fixed"/>
        <w:tblCellMar>
          <w:top w:w="0" w:type="dxa"/>
          <w:left w:w="108" w:type="dxa"/>
          <w:bottom w:w="0" w:type="dxa"/>
          <w:right w:w="108" w:type="dxa"/>
        </w:tblCellMar>
        <w:tblLook w:firstRow="0" w:noVBand="0" w:lastRow="0" w:firstColumn="0" w:lastColumn="0" w:noHBand="0" w:val="0000"/>
      </w:tblPr>
      <w:tblGrid>
        <w:gridCol w:w="3284"/>
        <w:gridCol w:w="3284"/>
        <w:gridCol w:w="3306"/>
      </w:tblGrid>
      <w:tr>
        <w:trPr>
          <w:tblHeader w:val="true"/>
        </w:trPr>
        <w:tc>
          <w:tcPr>
            <w:tcW w:w="328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Вещество</w:t>
            </w:r>
          </w:p>
        </w:tc>
        <w:tc>
          <w:tcPr>
            <w:tcW w:w="328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Нормативное значение ПДК</w:t>
            </w:r>
          </w:p>
        </w:tc>
        <w:tc>
          <w:tcPr>
            <w:tcW w:w="3306"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Наибольшее превышение ПДК (раз)</w:t>
            </w:r>
          </w:p>
        </w:tc>
      </w:tr>
      <w:tr>
        <w:trPr/>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Азота диоксид</w:t>
            </w:r>
          </w:p>
        </w:tc>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0,2</w:t>
            </w:r>
          </w:p>
        </w:tc>
        <w:tc>
          <w:tcPr>
            <w:tcW w:w="3306" w:type="dxa"/>
            <w:tcBorders>
              <w:top w:val="single" w:sz="4" w:space="0" w:color="000000"/>
              <w:left w:val="single" w:sz="4" w:space="0" w:color="000000"/>
              <w:bottom w:val="single" w:sz="4" w:space="0" w:color="000000"/>
              <w:right w:val="single" w:sz="4" w:space="0" w:color="000000"/>
            </w:tcBorders>
            <w:shd w:color="auto" w:fill="auto" w:val="clear"/>
          </w:tcPr>
          <w:p>
            <w:pPr>
              <w:pStyle w:val="1112"/>
              <w:widowControl w:val="false"/>
              <w:rPr>
                <w:color w:themeColor="text1" w:val="000000"/>
              </w:rPr>
            </w:pPr>
            <w:r>
              <w:rPr>
                <w:color w:themeColor="text1" w:val="000000"/>
              </w:rPr>
              <w:t>До 6,1</w:t>
            </w:r>
          </w:p>
        </w:tc>
      </w:tr>
      <w:tr>
        <w:trPr/>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Пыль различного состава</w:t>
            </w:r>
          </w:p>
        </w:tc>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От 0,03 до 0,5</w:t>
            </w:r>
          </w:p>
        </w:tc>
        <w:tc>
          <w:tcPr>
            <w:tcW w:w="3306" w:type="dxa"/>
            <w:tcBorders>
              <w:top w:val="single" w:sz="4" w:space="0" w:color="000000"/>
              <w:left w:val="single" w:sz="4" w:space="0" w:color="000000"/>
              <w:bottom w:val="single" w:sz="4" w:space="0" w:color="000000"/>
              <w:right w:val="single" w:sz="4" w:space="0" w:color="000000"/>
            </w:tcBorders>
            <w:shd w:color="auto" w:fill="auto" w:val="clear"/>
          </w:tcPr>
          <w:p>
            <w:pPr>
              <w:pStyle w:val="1112"/>
              <w:widowControl w:val="false"/>
              <w:rPr>
                <w:color w:themeColor="text1" w:val="000000"/>
              </w:rPr>
            </w:pPr>
            <w:r>
              <w:rPr>
                <w:color w:themeColor="text1" w:val="000000"/>
              </w:rPr>
              <w:t>До 4,1</w:t>
            </w:r>
          </w:p>
        </w:tc>
      </w:tr>
      <w:tr>
        <w:trPr/>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Ксилол</w:t>
            </w:r>
          </w:p>
        </w:tc>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0,2</w:t>
            </w:r>
          </w:p>
        </w:tc>
        <w:tc>
          <w:tcPr>
            <w:tcW w:w="3306" w:type="dxa"/>
            <w:tcBorders>
              <w:top w:val="single" w:sz="4" w:space="0" w:color="000000"/>
              <w:left w:val="single" w:sz="4" w:space="0" w:color="000000"/>
              <w:bottom w:val="single" w:sz="4" w:space="0" w:color="000000"/>
              <w:right w:val="single" w:sz="4" w:space="0" w:color="000000"/>
            </w:tcBorders>
            <w:shd w:color="auto" w:fill="auto" w:val="clear"/>
          </w:tcPr>
          <w:p>
            <w:pPr>
              <w:pStyle w:val="1112"/>
              <w:widowControl w:val="false"/>
              <w:rPr>
                <w:color w:themeColor="text1" w:val="000000"/>
              </w:rPr>
            </w:pPr>
            <w:r>
              <w:rPr>
                <w:color w:themeColor="text1" w:val="000000"/>
              </w:rPr>
              <w:t>До 2,4</w:t>
            </w:r>
          </w:p>
        </w:tc>
      </w:tr>
      <w:tr>
        <w:trPr/>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Бензол</w:t>
            </w:r>
          </w:p>
        </w:tc>
        <w:tc>
          <w:tcPr>
            <w:tcW w:w="3284" w:type="dxa"/>
            <w:tcBorders>
              <w:top w:val="single" w:sz="4" w:space="0" w:color="000000"/>
              <w:left w:val="single" w:sz="4" w:space="0" w:color="000000"/>
              <w:bottom w:val="single" w:sz="4" w:space="0" w:color="000000"/>
            </w:tcBorders>
            <w:shd w:color="auto" w:fill="auto" w:val="clear"/>
          </w:tcPr>
          <w:p>
            <w:pPr>
              <w:pStyle w:val="1112"/>
              <w:widowControl w:val="false"/>
              <w:rPr>
                <w:color w:themeColor="text1" w:val="000000"/>
              </w:rPr>
            </w:pPr>
            <w:r>
              <w:rPr>
                <w:color w:themeColor="text1" w:val="000000"/>
              </w:rPr>
              <w:t>0,3</w:t>
            </w:r>
          </w:p>
        </w:tc>
        <w:tc>
          <w:tcPr>
            <w:tcW w:w="3306" w:type="dxa"/>
            <w:tcBorders>
              <w:top w:val="single" w:sz="4" w:space="0" w:color="000000"/>
              <w:left w:val="single" w:sz="4" w:space="0" w:color="000000"/>
              <w:bottom w:val="single" w:sz="4" w:space="0" w:color="000000"/>
              <w:right w:val="single" w:sz="4" w:space="0" w:color="000000"/>
            </w:tcBorders>
            <w:shd w:color="auto" w:fill="auto" w:val="clear"/>
          </w:tcPr>
          <w:p>
            <w:pPr>
              <w:pStyle w:val="1112"/>
              <w:widowControl w:val="false"/>
              <w:rPr>
                <w:color w:themeColor="text1" w:val="000000"/>
              </w:rPr>
            </w:pPr>
            <w:r>
              <w:rPr>
                <w:color w:themeColor="text1" w:val="000000"/>
              </w:rPr>
              <w:t>До 1,6</w:t>
            </w:r>
          </w:p>
        </w:tc>
      </w:tr>
    </w:tbl>
    <w:p>
      <w:pPr>
        <w:pStyle w:val="Style70"/>
        <w:spacing w:before="0" w:after="0"/>
        <w:ind w:firstLine="709"/>
        <w:rPr>
          <w:color w:themeColor="text1" w:val="000000"/>
        </w:rPr>
      </w:pPr>
      <w:r>
        <w:rPr>
          <w:color w:themeColor="text1" w:val="000000"/>
        </w:rPr>
        <w:t>Очаги сверхнормативного загрязнения большинства веществ локализованы в районе объектов, их выбрасывающих. В то же время загрязнение диоксидом азота распространяется на всю территорию города, поскольку этот компонент присутствует как в выбросах промышленности, так и в выбросах городского транспорта.</w:t>
      </w:r>
    </w:p>
    <w:p>
      <w:pPr>
        <w:pStyle w:val="Style70"/>
        <w:spacing w:before="0" w:after="0"/>
        <w:ind w:firstLine="709"/>
        <w:rPr>
          <w:color w:themeColor="text1" w:val="000000"/>
        </w:rPr>
      </w:pPr>
      <w:r>
        <w:rPr>
          <w:color w:themeColor="text1" w:val="000000"/>
        </w:rPr>
        <w:t>В целом по городу состояние воздушного бассейна оценивается как напряженное, требующее проведения технических, технологических и планировочных мероприятий по снижению уровня загрязнения и оздоровлению экологической обстановки. Важную роль в обеспечении благоприятной среды проживания играет соблюдение санитарно-гигиенических нормативов качества атмосферного воздуха, организация и обустройство санитарно-защитных зон предприятий.</w:t>
      </w:r>
    </w:p>
    <w:p>
      <w:pPr>
        <w:pStyle w:val="Heading3"/>
        <w:numPr>
          <w:ilvl w:val="2"/>
          <w:numId w:val="2"/>
        </w:numPr>
        <w:spacing w:before="100" w:after="100"/>
        <w:ind w:firstLine="709" w:left="0"/>
        <w:rPr>
          <w:rFonts w:eastAsia="Symbol" w:cs="Symbol"/>
          <w:color w:themeColor="text1" w:val="000000"/>
        </w:rPr>
      </w:pPr>
      <w:bookmarkStart w:id="46" w:name="_Toc217312465"/>
      <w:r>
        <w:rPr>
          <w:rFonts w:eastAsia="Symbol" w:cs="Symbol"/>
          <w:color w:themeColor="text1" w:val="000000"/>
        </w:rPr>
        <w:t>8.2. Состояние водных ресурсов</w:t>
      </w:r>
      <w:bookmarkEnd w:id="46"/>
    </w:p>
    <w:p>
      <w:pPr>
        <w:pStyle w:val="Style70"/>
        <w:spacing w:before="0" w:after="0"/>
        <w:ind w:firstLine="709"/>
        <w:rPr>
          <w:color w:themeColor="text1" w:val="000000"/>
        </w:rPr>
      </w:pPr>
      <w:r>
        <w:rPr>
          <w:color w:themeColor="text1" w:val="000000"/>
        </w:rPr>
        <w:t xml:space="preserve">Реки города Ока, Яченка, Киевка, Терепец и Яченское водохранилище по гидрохимическим показателям относятся к умеренно-загрязненным и загрязненным. В последние годы отмечается увеличение уровня загрязнения поверхностных вод тяжелыми металлами, продуктами коррозии, нефтепродуктами, соединениями фенола, сульфатами и хлоридами. </w:t>
      </w:r>
    </w:p>
    <w:p>
      <w:pPr>
        <w:pStyle w:val="Style70"/>
        <w:spacing w:before="0" w:after="0"/>
        <w:ind w:firstLine="709"/>
        <w:rPr>
          <w:color w:themeColor="text1" w:val="000000"/>
        </w:rPr>
      </w:pPr>
      <w:r>
        <w:rPr>
          <w:color w:themeColor="text1" w:val="000000"/>
        </w:rPr>
        <w:t>Калужский ЦГМС – филиал ФГБУ «Центральное УГМС» проводит исследования химического состава поверхностных вод на территории городского округа на р. Оке – у</w:t>
        <w:br/>
        <w:t>г.  Калуги (0,5 км выше сброса сточных вод совхоза им. Циолковского и 0,6 км ниже г. Калуга, 1 км выше впадения р. Калужка).</w:t>
      </w:r>
    </w:p>
    <w:p>
      <w:pPr>
        <w:pStyle w:val="Style70"/>
        <w:spacing w:before="0" w:after="0"/>
        <w:ind w:firstLine="709"/>
        <w:rPr>
          <w:color w:themeColor="text1" w:val="000000"/>
        </w:rPr>
      </w:pPr>
      <w:r>
        <w:rPr>
          <w:color w:themeColor="text1" w:val="000000"/>
        </w:rPr>
        <w:t>Река Ока, один из крупнейших притоков реки Волги, характеризуется стабильным загрязнением воды на территории Калужской области. Качество воды в фоновых и контрольных створах оценивается как «загрязненная» и «очень загрязненная». Превышения предельно допустимых концентраций были зафиксированы по 7 из 14 показателей. Основными загрязняющими веществами являются железо и медь. Их концентрация классифицируется как «характерная» и «тяготеющая к низкому уровню». В контрольном створе загрязнение органическими веществами, аммиачным и нитритным азотом, а также фенолами возрастает от «неустойчивого» до «характерного», оставаясь на низком уровне. Значительных изменений среднегодовых значений загрязняющих веществ в фоновом створе не обнаружено. В отчетном году случаев «высокого» и «экстремально высокого» загрязнения не зарегистрировано.</w:t>
      </w:r>
    </w:p>
    <w:p>
      <w:pPr>
        <w:pStyle w:val="Style70"/>
        <w:spacing w:before="0" w:after="0"/>
        <w:ind w:firstLine="709"/>
        <w:rPr>
          <w:color w:themeColor="text1" w:val="000000"/>
        </w:rPr>
      </w:pPr>
      <w:r>
        <w:rPr>
          <w:rStyle w:val="Style18"/>
          <w:color w:themeColor="text1" w:val="000000"/>
        </w:rPr>
        <w:t>По заказу министерства природных ресурсов, экологии и благоустройства Калужской области ООО Фирма «Экоаналитика» выполняет работу «Осуществление государственного мониторинга водных объектов Калужской области в части полномочий субъекта Федерации», в рамках которой сформирована сеть наблюдений, включающая места контроля качества воды в водных объектах.</w:t>
      </w:r>
    </w:p>
    <w:p>
      <w:pPr>
        <w:pStyle w:val="Style70"/>
        <w:spacing w:before="0" w:after="0"/>
        <w:ind w:firstLine="709"/>
        <w:rPr>
          <w:color w:themeColor="text1" w:val="000000"/>
        </w:rPr>
      </w:pPr>
      <w:r>
        <w:rPr>
          <w:color w:themeColor="text1" w:val="000000"/>
        </w:rPr>
        <w:t>По данным ООО «Экоаналитика»</w:t>
      </w:r>
      <w:r>
        <w:rPr>
          <w:rStyle w:val="FootnoteReference"/>
          <w:color w:themeColor="text1" w:val="000000"/>
        </w:rPr>
        <w:footnoteReference w:id="3"/>
      </w:r>
      <w:r>
        <w:rPr>
          <w:color w:themeColor="text1" w:val="000000"/>
        </w:rPr>
        <w:t xml:space="preserve">, проводится мониторинг рек, протекающих по территории города и его окрестностей. С 2001 г. этот вид мониторинга является для города ежегодным. </w:t>
      </w:r>
    </w:p>
    <w:p>
      <w:pPr>
        <w:pStyle w:val="Style70"/>
        <w:spacing w:before="0" w:after="0"/>
        <w:ind w:firstLine="709"/>
        <w:rPr/>
      </w:pPr>
      <w:r>
        <w:rPr>
          <w:color w:themeColor="text1" w:val="000000"/>
        </w:rPr>
        <w:t>Мониторинг рек проводился один раз в месяц с апреля по сентябрь, а контроль ливневых стоков - два раза за сезон наблюдений. Сеть мониторинга включает 13 створов наблюдений. При этом в Терепец входит 4 выпуска, в Яченку - 2 выпуска, в Оку - 6 выпусков и в Киевку - 3 выпуска. В Яченское водохранилище сбрасываются ливневые воды из 13 выпусков, из которых 11 выпусков - с полотна дороги, проходящей по набережной. То есть мониторинг осуществляется менее чем на половине выпусков. Контролируются следующие показатели качества воды: взвешенные вещества, общая минерализация, растворенный в воде кислород, БПК, ХПК, фенолы, нефтепродукты, азот нитритов, азот нитратов, азот аммонийный, железо общее, медь, цинк, никель, марганец, хлориды, сульфаты.</w:t>
      </w:r>
    </w:p>
    <w:p>
      <w:pPr>
        <w:pStyle w:val="Style70"/>
        <w:spacing w:before="0" w:after="0"/>
        <w:ind w:firstLine="709"/>
        <w:rPr>
          <w:color w:themeColor="text1" w:val="000000"/>
        </w:rPr>
      </w:pPr>
      <w:r>
        <w:rPr>
          <w:color w:themeColor="text1" w:val="000000"/>
        </w:rPr>
        <w:t>Результаты мониторинга показывают, что наиболее значимыми загрязняющими веществами водной среды рек являются: БПК, азот аммонийный, азот нитритов, фосфаты, нефтепродукты, медь, цинк. Уровень загрязнения воды изменяется в течение сезона наблюдений. В отдельные месяцы он может многократно превышать значения ПДК и средние значения за сезон наблюдений. Наибольшие нагрузки на водные объекты наблюдаются:</w:t>
      </w:r>
    </w:p>
    <w:p>
      <w:pPr>
        <w:pStyle w:val="138"/>
        <w:spacing w:lineRule="auto" w:line="276" w:before="0" w:after="0"/>
        <w:ind w:firstLine="709" w:left="0"/>
        <w:rPr>
          <w:color w:themeColor="text1" w:val="000000"/>
        </w:rPr>
      </w:pPr>
      <w:r>
        <w:rPr>
          <w:color w:themeColor="text1" w:val="000000"/>
        </w:rPr>
        <w:t>- р. Терепец - в местах сброса промышленных предприятий КАДВИ, Калугаприбор, КЗАЭ;</w:t>
      </w:r>
    </w:p>
    <w:p>
      <w:pPr>
        <w:pStyle w:val="138"/>
        <w:spacing w:lineRule="auto" w:line="276" w:before="0" w:after="0"/>
        <w:ind w:firstLine="709" w:left="0"/>
        <w:rPr>
          <w:color w:themeColor="text1" w:val="000000"/>
        </w:rPr>
      </w:pPr>
      <w:r>
        <w:rPr>
          <w:color w:themeColor="text1" w:val="000000"/>
        </w:rPr>
        <w:t>- место впадения р. Терепец в р. Яченка - в месте сброса КТЗ;</w:t>
      </w:r>
    </w:p>
    <w:p>
      <w:pPr>
        <w:pStyle w:val="138"/>
        <w:spacing w:lineRule="auto" w:line="276" w:before="0" w:after="0"/>
        <w:ind w:firstLine="709" w:left="0"/>
        <w:rPr>
          <w:color w:themeColor="text1" w:val="000000"/>
        </w:rPr>
      </w:pPr>
      <w:r>
        <w:rPr>
          <w:color w:themeColor="text1" w:val="000000"/>
        </w:rPr>
        <w:t>- Яченское водохранилище - по БПК в летние месяцы во время цветения воды.</w:t>
      </w:r>
    </w:p>
    <w:p>
      <w:pPr>
        <w:pStyle w:val="Style70"/>
        <w:spacing w:before="0" w:after="0"/>
        <w:ind w:firstLine="709"/>
        <w:rPr>
          <w:color w:themeColor="text1" w:val="000000"/>
        </w:rPr>
      </w:pPr>
      <w:r>
        <w:rPr>
          <w:color w:themeColor="text1" w:val="000000"/>
        </w:rPr>
        <w:t>По результатам мониторинга, вода в исследованных объектах характеризуется, в основном, как «загрязненная», а в реках Киевка и Терепец на выходе из промзоны (Пиломатериалы) как «грязная».</w:t>
      </w:r>
    </w:p>
    <w:p>
      <w:pPr>
        <w:pStyle w:val="Style70"/>
        <w:spacing w:before="0" w:after="0"/>
        <w:ind w:firstLine="709"/>
        <w:rPr>
          <w:color w:themeColor="text1" w:val="000000"/>
        </w:rPr>
      </w:pPr>
      <w:r>
        <w:rPr>
          <w:color w:themeColor="text1" w:val="000000"/>
        </w:rPr>
        <w:t>Кроме того, на состояние поверхностных вод оказывают влияние дополнительные источники загрязнения и деградации рек:</w:t>
      </w:r>
    </w:p>
    <w:p>
      <w:pPr>
        <w:pStyle w:val="138"/>
        <w:spacing w:lineRule="auto" w:line="276" w:before="0" w:after="0"/>
        <w:ind w:firstLine="709" w:left="0"/>
        <w:rPr>
          <w:color w:themeColor="text1" w:val="000000"/>
        </w:rPr>
      </w:pPr>
      <w:r>
        <w:rPr>
          <w:color w:themeColor="text1" w:val="000000"/>
        </w:rPr>
        <w:t>- заторы из поваленных деревьев, кустов, пластиковых бутылок, упаковочных материалов и других отходов, загрязняющих реки продуктами гниения и создающие преграды для прохождения воды в периоды половодья и ливневых дождей;</w:t>
      </w:r>
    </w:p>
    <w:p>
      <w:pPr>
        <w:pStyle w:val="138"/>
        <w:spacing w:lineRule="auto" w:line="276" w:before="0" w:after="0"/>
        <w:ind w:firstLine="709" w:left="0"/>
        <w:rPr>
          <w:color w:themeColor="text1" w:val="000000"/>
        </w:rPr>
      </w:pPr>
      <w:r>
        <w:rPr>
          <w:color w:themeColor="text1" w:val="000000"/>
        </w:rPr>
        <w:t>- свалки бытового мусора и пищевых отходов на берегах и береговых склонах рек, создаваемые жителями прибрежных домов и членами гаражных кооперативов. Во время дождей образующиеся в свалках загрязняющие вещества смываются в реку и являются источниками как временного, так и длительного загрязнения;</w:t>
      </w:r>
    </w:p>
    <w:p>
      <w:pPr>
        <w:pStyle w:val="138"/>
        <w:spacing w:lineRule="auto" w:line="276" w:before="0" w:after="0"/>
        <w:ind w:firstLine="709" w:left="0"/>
        <w:rPr>
          <w:color w:themeColor="text1" w:val="000000"/>
        </w:rPr>
      </w:pPr>
      <w:r>
        <w:rPr>
          <w:color w:themeColor="text1" w:val="000000"/>
        </w:rPr>
        <w:t>- бесконтрольное проведение строительных работ в водоохранных зонах и прибрежных полосах рек, сопровождаемое нагромождением насыпных крутых откосов, а иногда и засыпкой русел, что приводит к заилению русел рек, изменению их водного режима, солевого состава вод и созданию условий подтопления прибрежных территорий во время половодья и ливней.</w:t>
      </w:r>
    </w:p>
    <w:p>
      <w:pPr>
        <w:pStyle w:val="Style70"/>
        <w:spacing w:before="0" w:after="0"/>
        <w:ind w:firstLine="709"/>
        <w:rPr>
          <w:color w:themeColor="text1" w:val="000000"/>
        </w:rPr>
      </w:pPr>
      <w:r>
        <w:rPr>
          <w:color w:themeColor="text1" w:val="000000"/>
        </w:rPr>
        <w:t>К поверхностным водоемам также относятся озера, пруды и обводненные карьеры. Было обследовано 46 водоемов на соответствие воды культурно-бытового назначения. Большинство из них оказались непригодными для рекреационных целей из-за физико-химических и микробиологических показателей. Только 10 водоемов оказались безопасными для использования.</w:t>
      </w:r>
    </w:p>
    <w:p>
      <w:pPr>
        <w:pStyle w:val="Style70"/>
        <w:spacing w:before="0" w:after="0"/>
        <w:ind w:firstLine="709"/>
        <w:rPr>
          <w:color w:themeColor="text1" w:val="000000"/>
        </w:rPr>
      </w:pPr>
      <w:r>
        <w:rPr>
          <w:color w:themeColor="text1" w:val="000000"/>
        </w:rPr>
        <w:t xml:space="preserve">На территории городского округа имеется значительное количество родников, также используемых гражданами. Работы по исследованию качества воды в родниках городского округа проводятся ежегодно предприятием «Испытательная лаборатория по качеству пищевых продуктов, продовольственного сырья и экологии» (ИЛКППЭ). По данным Лаборатории, на протяжении многих лет качество воды в родниках ухудшается, и количество родников с чистой водой становится все меньше. </w:t>
      </w:r>
    </w:p>
    <w:p>
      <w:pPr>
        <w:pStyle w:val="Style70"/>
        <w:spacing w:before="0" w:after="0"/>
        <w:ind w:firstLine="709"/>
        <w:rPr>
          <w:color w:themeColor="text1" w:val="000000"/>
        </w:rPr>
      </w:pPr>
      <w:r>
        <w:rPr>
          <w:color w:themeColor="text1" w:val="000000"/>
        </w:rPr>
        <w:t xml:space="preserve">На состояние подземных вод большое влияние оказывают свойства и состояние геологической среды. Известняки Окско-Тарусского горизонта, пески Нижнетульского горизонта и известняки Упинского водоносного горизонта характеризуются слабой защищенностью подземных вод от поверхностного загрязнения, что определяет потенциальную опасность загрязнения водоносных горизонтов. </w:t>
      </w:r>
    </w:p>
    <w:p>
      <w:pPr>
        <w:pStyle w:val="Style70"/>
        <w:spacing w:before="0" w:after="0"/>
        <w:ind w:firstLine="709"/>
        <w:rPr>
          <w:color w:themeColor="text1" w:val="000000"/>
        </w:rPr>
      </w:pPr>
      <w:r>
        <w:rPr>
          <w:color w:themeColor="text1" w:val="000000"/>
        </w:rPr>
        <w:t xml:space="preserve">Крайне негативное воздействие на состояние геологической среды и подземные воды оказывает Калужское подземное газохранилище, расположенное в районе д. Мстихино. В течение периода эксплуатации газохранилища произошло насыщение газом водоносных горизонтов, залегающих над продуктивным пластом, образовалась стабильная газовая залежь, которая служит аккумулятором утечек. Именно здесь сформировался участок газогеохимической аномалии – повышенного содержания углеводородных газов в зоне аэрации. </w:t>
      </w:r>
    </w:p>
    <w:p>
      <w:pPr>
        <w:pStyle w:val="Style70"/>
        <w:spacing w:before="0" w:after="0"/>
        <w:ind w:firstLine="709"/>
        <w:rPr>
          <w:color w:themeColor="text1" w:val="000000"/>
        </w:rPr>
      </w:pPr>
      <w:r>
        <w:rPr>
          <w:color w:themeColor="text1" w:val="000000"/>
        </w:rPr>
        <w:t>Снижение уровня подземных вод в результате интенсивного водоотбора из Упинского и Нижнетульского водоносных горизонтов приводит к осушению болот в долине реки Яченка, на территории Калужского городского бора, исчезновению родников, падению уровней воды в колодцах, увеличению минерализации воды за счет подтягивания вод из нижних горизонтов.</w:t>
      </w:r>
    </w:p>
    <w:p>
      <w:pPr>
        <w:pStyle w:val="Heading3"/>
        <w:numPr>
          <w:ilvl w:val="2"/>
          <w:numId w:val="2"/>
        </w:numPr>
        <w:spacing w:before="100" w:after="100"/>
        <w:ind w:firstLine="709" w:left="0"/>
        <w:rPr>
          <w:rFonts w:eastAsia="Symbol" w:cs="Symbol"/>
          <w:color w:themeColor="text1" w:val="000000"/>
        </w:rPr>
      </w:pPr>
      <w:bookmarkStart w:id="47" w:name="_Toc217312466"/>
      <w:r>
        <w:rPr>
          <w:rFonts w:eastAsia="Symbol" w:cs="Symbol"/>
          <w:color w:themeColor="text1" w:val="000000"/>
        </w:rPr>
        <w:t>8.3. Состояние почв</w:t>
      </w:r>
      <w:bookmarkEnd w:id="47"/>
    </w:p>
    <w:p>
      <w:pPr>
        <w:pStyle w:val="Style70"/>
        <w:spacing w:before="0" w:after="0"/>
        <w:ind w:firstLine="709"/>
        <w:rPr>
          <w:color w:themeColor="text1" w:val="000000"/>
        </w:rPr>
      </w:pPr>
      <w:r>
        <w:rPr>
          <w:color w:themeColor="text1" w:val="000000"/>
        </w:rPr>
        <w:t xml:space="preserve">Объектами, влияющими на состояние почвенного покрова на территории городского округа, являются кладбища, скотомогильники и промышленные предприятия. </w:t>
      </w:r>
    </w:p>
    <w:p>
      <w:pPr>
        <w:pStyle w:val="Normal"/>
        <w:shd w:val="clear" w:color="auto" w:fill="FFFFFF"/>
        <w:spacing w:lineRule="exact" w:line="274"/>
        <w:ind w:firstLine="709"/>
        <w:jc w:val="both"/>
        <w:rPr>
          <w:color w:themeColor="text1" w:val="000000"/>
        </w:rPr>
      </w:pPr>
      <w:r>
        <w:rPr>
          <w:color w:themeColor="text1" w:val="000000"/>
          <w:spacing w:val="-3"/>
        </w:rPr>
        <w:t xml:space="preserve">По данным управления жилищно-коммунального хозяйства города Калуги на территории городского округа расположено 24 </w:t>
      </w:r>
      <w:r>
        <w:rPr>
          <w:color w:themeColor="text1" w:val="000000"/>
        </w:rPr>
        <w:t>гражданских кладбища и 1 воинское (характеристика существующих мест захоронения см. в таблице 5.3.19.)</w:t>
      </w:r>
    </w:p>
    <w:p>
      <w:pPr>
        <w:pStyle w:val="Style70"/>
        <w:spacing w:before="0" w:after="0"/>
        <w:ind w:firstLine="709"/>
        <w:rPr>
          <w:color w:themeColor="text1" w:val="000000"/>
        </w:rPr>
      </w:pPr>
      <w:r>
        <w:rPr>
          <w:color w:themeColor="text1" w:val="000000"/>
        </w:rPr>
        <w:t>Согласно данным Комитета ветеринарии при Правительстве Калужской области на территории городского округа зарегистрировано одно место уничтожения и утилизации биологических отходов (далее – скотомогильник). Скотомогильник расположен на территории закрытого полигона ТКО (Ждамирово) представляет собой три биометрические ямы. Скотомогильник не действует, дата первого уничтожения биологических отходов 2000 год, дата последнего уничтожения 2014 год. Данный скотомогильник после комиссионного обследования внесен в «Реестр мест уничтожения и утилизации биологических отходов, расположенных на территории Калужской области» и планируется к ликвидации после выделения финансирования из областного бюджета.</w:t>
      </w:r>
    </w:p>
    <w:p>
      <w:pPr>
        <w:pStyle w:val="Style70"/>
        <w:spacing w:before="0" w:after="0"/>
        <w:ind w:firstLine="709"/>
        <w:rPr>
          <w:color w:themeColor="text1" w:val="000000"/>
        </w:rPr>
      </w:pPr>
      <w:r>
        <w:rPr>
          <w:color w:themeColor="text1" w:val="000000"/>
        </w:rPr>
        <w:t>Зарегистрированные в установленном порядке сибиреязвенные захоронения на территории городского округа отсутствуют.</w:t>
      </w:r>
    </w:p>
    <w:p>
      <w:pPr>
        <w:pStyle w:val="Style70"/>
        <w:spacing w:before="0" w:after="0"/>
        <w:ind w:firstLine="709"/>
        <w:rPr>
          <w:color w:themeColor="text1" w:val="000000"/>
        </w:rPr>
      </w:pPr>
      <w:r>
        <w:rPr>
          <w:color w:themeColor="text1" w:val="000000"/>
        </w:rPr>
        <w:t>Для сбора жидких бытовых отходов в не канализованных домовладениях обустроены дворовые стокоприемники с водонепроницаемым заглубленным выгребом, в наземной части имеющие крышки и с решеткой для отделения твердых фракций. Выгребы очищаются по мере необходимости, но не ранее одного раза в полгода.</w:t>
      </w:r>
    </w:p>
    <w:p>
      <w:pPr>
        <w:pStyle w:val="Style70"/>
        <w:spacing w:before="0" w:after="0"/>
        <w:ind w:firstLine="709"/>
        <w:rPr>
          <w:color w:themeColor="text1" w:val="000000"/>
        </w:rPr>
      </w:pPr>
      <w:r>
        <w:rPr>
          <w:color w:themeColor="text1" w:val="000000"/>
        </w:rPr>
        <w:t>Снег вывозится на три снегосвалки, расположенные: в районе Правобережья, за промплощадкой завода «Элмат»; в разработанном карьере за п. Силикатным; в районе д. Ольговки между автодорогой на кладбище в д. Литвиново и технологической дорогой Ольговского кирпичного завода.</w:t>
      </w:r>
    </w:p>
    <w:p>
      <w:pPr>
        <w:pStyle w:val="Heading3"/>
        <w:numPr>
          <w:ilvl w:val="2"/>
          <w:numId w:val="2"/>
        </w:numPr>
        <w:spacing w:before="100" w:after="100"/>
        <w:ind w:firstLine="709" w:left="0"/>
        <w:rPr>
          <w:rFonts w:eastAsia="Symbol" w:cs="Symbol"/>
          <w:color w:themeColor="text1" w:val="000000"/>
        </w:rPr>
      </w:pPr>
      <w:bookmarkStart w:id="48" w:name="_Toc217312467"/>
      <w:r>
        <w:rPr>
          <w:rFonts w:eastAsia="Symbol" w:cs="Symbol"/>
          <w:color w:themeColor="text1" w:val="000000"/>
        </w:rPr>
        <w:t>8.4. Санитарная очистка территории</w:t>
      </w:r>
      <w:bookmarkEnd w:id="48"/>
    </w:p>
    <w:p>
      <w:pPr>
        <w:pStyle w:val="Style70"/>
        <w:spacing w:before="0" w:after="0"/>
        <w:ind w:firstLine="709"/>
        <w:rPr>
          <w:color w:themeColor="text1" w:val="000000"/>
        </w:rPr>
      </w:pPr>
      <w:r>
        <w:rPr>
          <w:color w:themeColor="text1" w:val="000000"/>
        </w:rPr>
        <w:t>Организация сбора и вывоза твердых коммунальных отходов и мусора с территории городского округа, а также очистка территории населенных пунктов относится к вопросам местного значения.</w:t>
      </w:r>
    </w:p>
    <w:p>
      <w:pPr>
        <w:pStyle w:val="Style70"/>
        <w:spacing w:before="0" w:after="0"/>
        <w:ind w:firstLine="709"/>
        <w:rPr>
          <w:color w:themeColor="text1" w:val="000000"/>
        </w:rPr>
      </w:pPr>
      <w:r>
        <w:rPr>
          <w:color w:themeColor="text1" w:val="000000"/>
        </w:rPr>
        <w:t>Сбор и транспортировка твердых коммунальных отходов (далее – ТКО) с территории городского округа в соответствии с действующим законодательством осуществляется по планово-регулярной системе, согласно утвержденным графикам. Вывоз ТКО осуществляется региональным оператором по обращению с ТКО и направляется на сортировку и дальнейшее захоронение в соответствии с территориальной схемой обращения с отходами Калужской области. Обращение с иными видами отходов осуществляется операторами, имеющими соответствующие лицензии на данный вид деятельности.</w:t>
      </w:r>
    </w:p>
    <w:p>
      <w:pPr>
        <w:pStyle w:val="Style70"/>
        <w:spacing w:before="0" w:after="0"/>
        <w:ind w:firstLine="709"/>
        <w:rPr>
          <w:color w:themeColor="text1" w:val="000000"/>
        </w:rPr>
      </w:pPr>
      <w:r>
        <w:rPr>
          <w:color w:themeColor="text1" w:val="000000"/>
        </w:rPr>
        <w:t>В соответствии с постановлением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осуществлять сбор ТКО:</w:t>
      </w:r>
    </w:p>
    <w:p>
      <w:pPr>
        <w:pStyle w:val="Style70"/>
        <w:spacing w:before="0" w:after="0"/>
        <w:rPr>
          <w:color w:themeColor="text1" w:val="000000"/>
        </w:rPr>
      </w:pPr>
      <w:r>
        <w:rPr>
          <w:color w:themeColor="text1" w:val="000000"/>
        </w:rPr>
        <w:t xml:space="preserve">  </w:t>
      </w:r>
      <w:r>
        <w:rPr>
          <w:color w:themeColor="text1" w:val="000000"/>
        </w:rPr>
        <w:t>- не реже 1 раза в трое суток при температуре наружного воздуха до +5 °С и ежедневно при температуре выше +5 °С;</w:t>
      </w:r>
    </w:p>
    <w:p>
      <w:pPr>
        <w:pStyle w:val="Style70"/>
        <w:spacing w:before="0" w:after="0"/>
        <w:rPr>
          <w:color w:themeColor="text1" w:val="000000"/>
        </w:rPr>
      </w:pPr>
      <w:r>
        <w:rPr>
          <w:color w:themeColor="text1" w:val="000000"/>
        </w:rPr>
        <w:t xml:space="preserve"> </w:t>
      </w:r>
      <w:r>
        <w:rPr>
          <w:color w:themeColor="text1" w:val="000000"/>
        </w:rPr>
        <w:t>- крупногабаритные отходы вывозятся по мере накопления, но не реже одного раза в неделю.</w:t>
      </w:r>
    </w:p>
    <w:p>
      <w:pPr>
        <w:pStyle w:val="Style78"/>
        <w:rPr>
          <w:rStyle w:val="Style23"/>
          <w:color w:themeColor="text1" w:val="000000"/>
        </w:rPr>
      </w:pPr>
      <w:r>
        <w:rPr>
          <w:color w:themeColor="text1" w:val="000000"/>
        </w:rPr>
        <w:t>Таблица 8.4.1</w:t>
      </w:r>
    </w:p>
    <w:p>
      <w:pPr>
        <w:pStyle w:val="Style70"/>
        <w:spacing w:before="0" w:after="0"/>
        <w:jc w:val="center"/>
        <w:rPr>
          <w:color w:themeColor="text1" w:val="000000"/>
        </w:rPr>
      </w:pPr>
      <w:r>
        <w:rPr>
          <w:color w:themeColor="text1" w:val="000000"/>
        </w:rPr>
        <w:t xml:space="preserve">Объекты обращения с твердыми коммунальными отходами, </w:t>
      </w:r>
    </w:p>
    <w:p>
      <w:pPr>
        <w:pStyle w:val="Style70"/>
        <w:spacing w:before="0" w:after="0"/>
        <w:jc w:val="center"/>
        <w:rPr>
          <w:color w:themeColor="text1" w:val="000000"/>
        </w:rPr>
      </w:pPr>
      <w:r>
        <w:rPr>
          <w:color w:themeColor="text1" w:val="000000"/>
        </w:rPr>
        <w:t>расположенные на территории городского округа</w:t>
      </w:r>
    </w:p>
    <w:tbl>
      <w:tblPr>
        <w:tblStyle w:val="afffffffffffc"/>
        <w:tblW w:w="9628"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697"/>
        <w:gridCol w:w="4257"/>
        <w:gridCol w:w="4674"/>
      </w:tblGrid>
      <w:tr>
        <w:trPr>
          <w:tblHeader w:val="true"/>
        </w:trPr>
        <w:tc>
          <w:tcPr>
            <w:tcW w:w="69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b/>
                <w:color w:themeColor="text1" w:val="000000"/>
                <w:sz w:val="22"/>
                <w:szCs w:val="22"/>
              </w:rPr>
              <w:t>№</w:t>
            </w:r>
          </w:p>
          <w:p>
            <w:pPr>
              <w:pStyle w:val="Normal"/>
              <w:widowControl w:val="false"/>
              <w:spacing w:before="0" w:after="0"/>
              <w:jc w:val="center"/>
              <w:rPr>
                <w:b/>
                <w:color w:themeColor="text1" w:val="000000"/>
                <w:sz w:val="22"/>
                <w:szCs w:val="22"/>
              </w:rPr>
            </w:pPr>
            <w:r>
              <w:rPr>
                <w:b/>
                <w:color w:themeColor="text1" w:val="000000"/>
                <w:sz w:val="22"/>
                <w:szCs w:val="22"/>
              </w:rPr>
              <w:t>п/п</w:t>
            </w:r>
          </w:p>
        </w:tc>
        <w:tc>
          <w:tcPr>
            <w:tcW w:w="425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b/>
                <w:color w:themeColor="text1" w:val="000000"/>
                <w:sz w:val="22"/>
                <w:szCs w:val="22"/>
              </w:rPr>
              <w:t>Наименование объекта</w:t>
            </w:r>
          </w:p>
        </w:tc>
        <w:tc>
          <w:tcPr>
            <w:tcW w:w="4674"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b/>
                <w:color w:themeColor="text1" w:val="000000"/>
                <w:sz w:val="22"/>
                <w:szCs w:val="22"/>
              </w:rPr>
              <w:t>Фактический адрес объекта</w:t>
            </w:r>
          </w:p>
        </w:tc>
      </w:tr>
      <w:tr>
        <w:trPr>
          <w:trHeight w:val="759" w:hRule="atLeast"/>
        </w:trPr>
        <w:tc>
          <w:tcPr>
            <w:tcW w:w="697" w:type="dxa"/>
            <w:tcBorders/>
            <w:shd w:color="auto"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1</w:t>
            </w:r>
          </w:p>
        </w:tc>
        <w:tc>
          <w:tcPr>
            <w:tcW w:w="425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Мусоросортировочный комплекс</w:t>
            </w:r>
          </w:p>
          <w:p>
            <w:pPr>
              <w:pStyle w:val="Normal"/>
              <w:widowControl w:val="false"/>
              <w:spacing w:before="0" w:after="0"/>
              <w:rPr>
                <w:color w:themeColor="text1" w:val="000000"/>
                <w:sz w:val="22"/>
                <w:szCs w:val="22"/>
              </w:rPr>
            </w:pPr>
            <w:r>
              <w:rPr>
                <w:color w:themeColor="text1" w:val="000000"/>
                <w:sz w:val="22"/>
                <w:szCs w:val="22"/>
              </w:rPr>
              <w:t>ООО «КЗПАТ» (сортировка)</w:t>
            </w:r>
          </w:p>
        </w:tc>
        <w:tc>
          <w:tcPr>
            <w:tcW w:w="4674" w:type="dxa"/>
            <w:tcBorders/>
            <w:shd w:color="auto" w:fill="auto" w:val="clear"/>
            <w:vAlign w:val="center"/>
          </w:tcPr>
          <w:p>
            <w:pPr>
              <w:pStyle w:val="Normal"/>
              <w:widowControl w:val="false"/>
              <w:spacing w:before="0" w:after="0"/>
              <w:rPr>
                <w:color w:themeColor="text1" w:val="000000"/>
                <w:sz w:val="22"/>
                <w:szCs w:val="22"/>
              </w:rPr>
            </w:pPr>
            <w:r>
              <w:rPr>
                <w:color w:themeColor="text1" w:val="000000"/>
                <w:sz w:val="22"/>
                <w:szCs w:val="22"/>
              </w:rPr>
              <w:t>г. Калуга, ул. Городенская, д.27а</w:t>
            </w:r>
          </w:p>
        </w:tc>
      </w:tr>
      <w:tr>
        <w:trPr>
          <w:trHeight w:val="759" w:hRule="atLeast"/>
        </w:trPr>
        <w:tc>
          <w:tcPr>
            <w:tcW w:w="697" w:type="dxa"/>
            <w:tcBorders/>
            <w:shd w:color="auto"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w:t>
            </w:r>
          </w:p>
        </w:tc>
        <w:tc>
          <w:tcPr>
            <w:tcW w:w="4257" w:type="dxa"/>
            <w:tcBorders/>
            <w:shd w:color="auto"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Мусоросортировочный комплекс</w:t>
            </w:r>
          </w:p>
          <w:p>
            <w:pPr>
              <w:pStyle w:val="Normal"/>
              <w:widowControl w:val="false"/>
              <w:spacing w:before="0" w:after="0"/>
              <w:rPr>
                <w:color w:themeColor="text1" w:val="000000"/>
                <w:sz w:val="22"/>
                <w:szCs w:val="22"/>
              </w:rPr>
            </w:pPr>
            <w:r>
              <w:rPr>
                <w:color w:themeColor="text1" w:val="000000"/>
                <w:sz w:val="22"/>
                <w:szCs w:val="22"/>
              </w:rPr>
              <w:t>ООО «КЗПАТ» (</w:t>
            </w:r>
            <w:r>
              <w:rPr>
                <w:rFonts w:eastAsia="SimSun"/>
                <w:color w:themeColor="text1" w:val="000000"/>
                <w:sz w:val="22"/>
                <w:szCs w:val="22"/>
              </w:rPr>
              <w:t>производство альтернативного топлива)</w:t>
            </w:r>
          </w:p>
        </w:tc>
        <w:tc>
          <w:tcPr>
            <w:tcW w:w="4674" w:type="dxa"/>
            <w:tcBorders/>
            <w:shd w:color="auto" w:fill="auto" w:val="clear"/>
            <w:vAlign w:val="center"/>
          </w:tcPr>
          <w:p>
            <w:pPr>
              <w:pStyle w:val="Normal"/>
              <w:widowControl w:val="false"/>
              <w:spacing w:before="0" w:after="0"/>
              <w:rPr>
                <w:color w:themeColor="text1" w:val="000000"/>
                <w:sz w:val="22"/>
                <w:szCs w:val="22"/>
              </w:rPr>
            </w:pPr>
            <w:r>
              <w:rPr>
                <w:color w:themeColor="text1" w:val="000000"/>
                <w:sz w:val="22"/>
                <w:szCs w:val="22"/>
              </w:rPr>
              <w:t>г. Калуга, ул. Городенская, д.27а</w:t>
            </w:r>
          </w:p>
        </w:tc>
      </w:tr>
      <w:tr>
        <w:trPr>
          <w:trHeight w:val="759" w:hRule="atLeast"/>
        </w:trPr>
        <w:tc>
          <w:tcPr>
            <w:tcW w:w="697" w:type="dxa"/>
            <w:tcBorders/>
            <w:shd w:color="auto"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t>3</w:t>
            </w:r>
          </w:p>
        </w:tc>
        <w:tc>
          <w:tcPr>
            <w:tcW w:w="4257" w:type="dxa"/>
            <w:tcBorders/>
            <w:shd w:color="auto" w:fill="auto" w:val="clear"/>
            <w:vAlign w:val="center"/>
          </w:tcPr>
          <w:p>
            <w:pPr>
              <w:pStyle w:val="Normal"/>
              <w:widowControl w:val="false"/>
              <w:spacing w:before="0" w:after="0"/>
              <w:rPr>
                <w:color w:themeColor="text1" w:val="000000"/>
                <w:sz w:val="22"/>
                <w:szCs w:val="22"/>
              </w:rPr>
            </w:pPr>
            <w:r>
              <w:rPr>
                <w:color w:themeColor="text1" w:val="000000"/>
                <w:sz w:val="22"/>
                <w:szCs w:val="22"/>
              </w:rPr>
              <w:t>ООО «Прогресс-Транспортные технологи» (сортировка)</w:t>
            </w:r>
          </w:p>
        </w:tc>
        <w:tc>
          <w:tcPr>
            <w:tcW w:w="4674" w:type="dxa"/>
            <w:tcBorders/>
            <w:shd w:color="auto" w:fill="auto" w:val="clear"/>
            <w:vAlign w:val="center"/>
          </w:tcPr>
          <w:p>
            <w:pPr>
              <w:pStyle w:val="Normal"/>
              <w:widowControl w:val="false"/>
              <w:spacing w:before="0" w:after="0"/>
              <w:rPr>
                <w:color w:themeColor="text1" w:val="000000"/>
                <w:sz w:val="22"/>
                <w:szCs w:val="22"/>
              </w:rPr>
            </w:pPr>
            <w:r>
              <w:rPr>
                <w:color w:themeColor="text1" w:val="000000"/>
                <w:sz w:val="22"/>
                <w:szCs w:val="22"/>
              </w:rPr>
              <w:t>г. Калуга, ул. Комсомольская роща, д.39 стр. 62</w:t>
            </w:r>
          </w:p>
        </w:tc>
      </w:tr>
    </w:tbl>
    <w:p>
      <w:pPr>
        <w:pStyle w:val="Heading3"/>
        <w:numPr>
          <w:ilvl w:val="2"/>
          <w:numId w:val="2"/>
        </w:numPr>
        <w:spacing w:before="100" w:after="100"/>
        <w:ind w:firstLine="709" w:left="0"/>
        <w:rPr>
          <w:rFonts w:eastAsia="Symbol" w:cs="Symbol"/>
          <w:color w:themeColor="text1" w:val="000000"/>
        </w:rPr>
      </w:pPr>
      <w:bookmarkStart w:id="49" w:name="_Toc217312468"/>
      <w:r>
        <w:rPr>
          <w:rFonts w:eastAsia="Symbol" w:cs="Symbol"/>
          <w:color w:themeColor="text1" w:val="000000"/>
        </w:rPr>
        <w:t>8.5. Физические факторы воздействия</w:t>
      </w:r>
      <w:bookmarkEnd w:id="49"/>
    </w:p>
    <w:p>
      <w:pPr>
        <w:pStyle w:val="223"/>
        <w:spacing w:before="60" w:after="60"/>
        <w:ind w:firstLine="709" w:left="0"/>
        <w:rPr>
          <w:color w:themeColor="text1" w:val="000000"/>
        </w:rPr>
      </w:pPr>
      <w:r>
        <w:rPr>
          <w:color w:themeColor="text1" w:val="000000"/>
        </w:rPr>
        <w:t>Акустическое загрязнение</w:t>
      </w:r>
    </w:p>
    <w:p>
      <w:pPr>
        <w:pStyle w:val="Style70"/>
        <w:spacing w:before="0" w:after="0"/>
        <w:ind w:firstLine="709"/>
        <w:rPr>
          <w:color w:themeColor="text1" w:val="000000"/>
        </w:rPr>
      </w:pPr>
      <w:r>
        <w:rPr>
          <w:color w:themeColor="text1" w:val="000000"/>
        </w:rPr>
        <w:t>К серьезным экологическим проблемам современного города относится акустическое загрязнение, основным источником которого являются транспортные средства. Измеренные уровни шума превышают допустимые значения более чем в 3 раза на дорогах, имеющих высокую интенсивность движения всех видов транспорта с преобладанием грузового, плохое состояние дорожного покрытия и почти полное отсутствие зеленых насаждений. В городе Калуге это улицы Поселковая, Герцена, Огарева, Труда, Достоевского, Октябрьская, Кутузова, Механизаторов, Пролетарская, Степной проезд.</w:t>
      </w:r>
    </w:p>
    <w:p>
      <w:pPr>
        <w:pStyle w:val="Style70"/>
        <w:spacing w:before="0" w:after="0"/>
        <w:ind w:firstLine="709"/>
        <w:rPr>
          <w:color w:themeColor="text1" w:val="000000"/>
        </w:rPr>
      </w:pPr>
      <w:r>
        <w:rPr>
          <w:color w:themeColor="text1" w:val="000000"/>
        </w:rPr>
        <w:t xml:space="preserve">Уровень шума определяется не только транспортными потоками, но и планировочными особенностями. Узкая проезжая часть большей части центральных улиц, узкие тротуары не позволяют изолировать жилую застройку от транспортного шума. Например, ул. Театральная даже в пешеходной своей части не удовлетворяет санитарным нормам. Большинство детских дошкольных учреждений, школ, училищ, больниц и поликлиник города расположены вблизи проезжей части, что приводит к многократному превышению допустимого уровня шума. </w:t>
      </w:r>
    </w:p>
    <w:p>
      <w:pPr>
        <w:pStyle w:val="Style70"/>
        <w:spacing w:before="0" w:after="0"/>
        <w:ind w:firstLine="709"/>
        <w:rPr>
          <w:rStyle w:val="Style15"/>
          <w:color w:themeColor="text1" w:val="000000"/>
        </w:rPr>
      </w:pPr>
      <w:r>
        <w:rPr>
          <w:color w:themeColor="text1" w:val="000000"/>
        </w:rPr>
        <w:t>Одной из основных причин повышенного уровня шумового загрязнения является нерациональное распределение транспортных потоков по улицам города, а также практически полное отсутствие организации противошумовых мероприятий. Для решения данной проблемы в первую очередь необходимо перераспределение транспортных нагрузок, особенно в центральной части города, озеленение примагистральных территорий.</w:t>
      </w:r>
    </w:p>
    <w:p>
      <w:pPr>
        <w:pStyle w:val="223"/>
        <w:spacing w:before="60" w:after="60"/>
        <w:ind w:firstLine="709" w:left="0"/>
        <w:rPr>
          <w:color w:themeColor="text1" w:val="000000"/>
        </w:rPr>
      </w:pPr>
      <w:r>
        <w:rPr>
          <w:color w:themeColor="text1" w:val="000000"/>
        </w:rPr>
        <w:t>Электромагнитная обстановка</w:t>
      </w:r>
    </w:p>
    <w:p>
      <w:pPr>
        <w:pStyle w:val="Style70"/>
        <w:spacing w:before="0" w:after="0"/>
        <w:ind w:firstLine="709"/>
        <w:rPr>
          <w:color w:themeColor="text1" w:val="000000"/>
        </w:rPr>
      </w:pPr>
      <w:r>
        <w:rPr>
          <w:color w:themeColor="text1" w:val="000000"/>
        </w:rPr>
        <w:t>Основными источниками электромагнитного воздействия в городе являются линии электропередач и передающие радиотехнические объекты.</w:t>
      </w:r>
    </w:p>
    <w:p>
      <w:pPr>
        <w:pStyle w:val="Style70"/>
        <w:spacing w:before="0" w:after="0"/>
        <w:ind w:firstLine="709"/>
        <w:rPr>
          <w:color w:themeColor="text1" w:val="000000"/>
        </w:rPr>
      </w:pPr>
      <w:r>
        <w:rPr>
          <w:color w:themeColor="text1" w:val="000000"/>
        </w:rPr>
        <w:t>Электромагнитное воздействие радиопередающих объектов, как правило, не выходит за пределы предоставленной территории.</w:t>
      </w:r>
    </w:p>
    <w:p>
      <w:pPr>
        <w:pStyle w:val="Style70"/>
        <w:spacing w:before="0" w:after="0"/>
        <w:ind w:firstLine="709"/>
        <w:rPr>
          <w:color w:themeColor="text1" w:val="000000"/>
        </w:rPr>
      </w:pPr>
      <w:r>
        <w:rPr>
          <w:color w:themeColor="text1" w:val="000000"/>
        </w:rPr>
      </w:r>
    </w:p>
    <w:p>
      <w:pPr>
        <w:pStyle w:val="Style70"/>
        <w:spacing w:before="0" w:after="0"/>
        <w:ind w:firstLine="709"/>
        <w:rPr>
          <w:color w:themeColor="text1" w:val="000000"/>
        </w:rPr>
      </w:pPr>
      <w:r>
        <w:rPr>
          <w:color w:themeColor="text1" w:val="000000"/>
        </w:rPr>
      </w:r>
    </w:p>
    <w:p>
      <w:pPr>
        <w:pStyle w:val="Heading2"/>
        <w:numPr>
          <w:ilvl w:val="1"/>
          <w:numId w:val="2"/>
        </w:numPr>
        <w:spacing w:before="0" w:after="0"/>
        <w:ind w:firstLine="709" w:left="0"/>
        <w:rPr>
          <w:rFonts w:cs="Symbol"/>
          <w:color w:themeColor="text1" w:val="000000"/>
        </w:rPr>
      </w:pPr>
      <w:bookmarkStart w:id="50" w:name="_Toc217312469"/>
      <w:r>
        <w:rPr>
          <w:rFonts w:cs="Symbol"/>
          <w:color w:themeColor="text1" w:val="000000"/>
        </w:rPr>
        <w:t>9. Зоны с особыми условиями использования территорий</w:t>
      </w:r>
      <w:bookmarkEnd w:id="50"/>
    </w:p>
    <w:p>
      <w:pPr>
        <w:pStyle w:val="137"/>
        <w:ind w:hanging="0" w:left="709"/>
        <w:rPr>
          <w:color w:themeColor="text1" w:val="000000"/>
          <w:u w:val="none"/>
        </w:rPr>
      </w:pPr>
      <w:r>
        <w:rPr>
          <w:color w:themeColor="text1" w:val="000000"/>
          <w:u w:val="none"/>
        </w:rPr>
        <w:t>К основным зонам с особыми условиями использования территорий относятся следующие:</w:t>
      </w:r>
    </w:p>
    <w:p>
      <w:pPr>
        <w:pStyle w:val="138"/>
        <w:ind w:hanging="0" w:left="0"/>
        <w:rPr/>
      </w:pPr>
      <w:r>
        <w:rPr>
          <w:color w:themeColor="text1" w:val="000000"/>
        </w:rPr>
        <w:tab/>
        <w:t xml:space="preserve">    - санитарно-защитные зоны предприятий, сооружений и иных объектов;</w:t>
      </w:r>
    </w:p>
    <w:p>
      <w:pPr>
        <w:pStyle w:val="138"/>
        <w:ind w:hanging="0" w:left="0"/>
        <w:rPr/>
      </w:pPr>
      <w:r>
        <w:rPr>
          <w:color w:themeColor="text1" w:val="000000"/>
        </w:rPr>
        <w:tab/>
        <w:t xml:space="preserve">    - санитарные разрывы от транспортных коммуникаций;</w:t>
      </w:r>
    </w:p>
    <w:p>
      <w:pPr>
        <w:pStyle w:val="138"/>
        <w:ind w:hanging="0" w:left="0"/>
        <w:rPr/>
      </w:pPr>
      <w:r>
        <w:rPr>
          <w:color w:themeColor="text1" w:val="000000"/>
        </w:rPr>
        <w:tab/>
        <w:t xml:space="preserve">    - санитарные разрывы от инженерных коммуникаций;</w:t>
      </w:r>
    </w:p>
    <w:p>
      <w:pPr>
        <w:pStyle w:val="138"/>
        <w:ind w:hanging="0" w:left="0"/>
        <w:rPr/>
      </w:pPr>
      <w:r>
        <w:rPr>
          <w:color w:themeColor="text1" w:val="000000"/>
        </w:rPr>
        <w:tab/>
        <w:t xml:space="preserve">    - охранные зоны объектов инженерной инфраструктуры;</w:t>
      </w:r>
    </w:p>
    <w:p>
      <w:pPr>
        <w:pStyle w:val="138"/>
        <w:ind w:hanging="0" w:left="0"/>
        <w:rPr/>
      </w:pPr>
      <w:r>
        <w:rPr>
          <w:color w:themeColor="text1" w:val="000000"/>
        </w:rPr>
        <w:tab/>
        <w:t xml:space="preserve">    - придорожные полосы;</w:t>
      </w:r>
    </w:p>
    <w:p>
      <w:pPr>
        <w:pStyle w:val="138"/>
        <w:ind w:hanging="0" w:left="0"/>
        <w:rPr/>
      </w:pPr>
      <w:r>
        <w:rPr>
          <w:color w:themeColor="text1" w:val="000000"/>
        </w:rPr>
        <w:tab/>
        <w:t xml:space="preserve">    - приаэродромная территория;</w:t>
      </w:r>
    </w:p>
    <w:p>
      <w:pPr>
        <w:pStyle w:val="138"/>
        <w:ind w:hanging="0" w:left="0"/>
        <w:rPr/>
      </w:pPr>
      <w:r>
        <w:rPr>
          <w:color w:themeColor="text1" w:val="000000"/>
        </w:rPr>
        <w:tab/>
        <w:t xml:space="preserve">    - водоохранные зоны, прибрежные защитные полосы и береговые полосы;</w:t>
      </w:r>
    </w:p>
    <w:p>
      <w:pPr>
        <w:pStyle w:val="138"/>
        <w:ind w:hanging="0" w:left="0"/>
        <w:rPr/>
      </w:pPr>
      <w:r>
        <w:rPr>
          <w:color w:themeColor="text1" w:val="000000"/>
        </w:rPr>
        <w:tab/>
        <w:t xml:space="preserve"> - зоны санитарной охраны источников водоснабжения и водопроводов питьевого назначения;</w:t>
      </w:r>
    </w:p>
    <w:p>
      <w:pPr>
        <w:pStyle w:val="138"/>
        <w:ind w:hanging="0" w:left="0"/>
        <w:rPr/>
      </w:pPr>
      <w:r>
        <w:rPr>
          <w:color w:themeColor="text1" w:val="000000"/>
        </w:rPr>
        <w:tab/>
        <w:t xml:space="preserve">   - зоны охраны объектов культурного наследия;</w:t>
      </w:r>
    </w:p>
    <w:p>
      <w:pPr>
        <w:pStyle w:val="138"/>
        <w:ind w:hanging="0" w:left="0"/>
        <w:rPr/>
      </w:pPr>
      <w:r>
        <w:rPr>
          <w:color w:themeColor="text1" w:val="000000"/>
        </w:rPr>
        <w:tab/>
        <w:t xml:space="preserve">   - зоны особо охраняемых природных территорий;</w:t>
      </w:r>
    </w:p>
    <w:p>
      <w:pPr>
        <w:pStyle w:val="138"/>
        <w:ind w:hanging="0" w:left="0"/>
        <w:rPr/>
      </w:pPr>
      <w:r>
        <w:rPr>
          <w:color w:themeColor="text1" w:val="000000"/>
        </w:rPr>
        <w:tab/>
        <w:t xml:space="preserve">   - лесопарковые зоны и зеленые зоны;</w:t>
      </w:r>
    </w:p>
    <w:p>
      <w:pPr>
        <w:pStyle w:val="138"/>
        <w:ind w:hanging="0" w:left="0"/>
        <w:rPr/>
      </w:pPr>
      <w:r>
        <w:rPr>
          <w:color w:themeColor="text1" w:val="000000"/>
        </w:rPr>
        <w:tab/>
        <w:t xml:space="preserve">  - охранные зоны вокруг стационарных пунктов наблюдений за состоянием окружающей природной среды, ее загрязнением.</w:t>
      </w:r>
    </w:p>
    <w:p>
      <w:pPr>
        <w:pStyle w:val="223"/>
        <w:spacing w:before="60" w:after="60"/>
        <w:ind w:firstLine="709" w:left="0"/>
        <w:rPr>
          <w:color w:themeColor="text1" w:val="000000"/>
        </w:rPr>
      </w:pPr>
      <w:r>
        <w:rPr>
          <w:color w:themeColor="text1" w:val="000000"/>
        </w:rPr>
        <w:t>Санитарно-защитные зоны предприятий, сооружений и иных объектов</w:t>
      </w:r>
    </w:p>
    <w:p>
      <w:pPr>
        <w:pStyle w:val="Normal"/>
        <w:ind w:firstLine="709"/>
        <w:jc w:val="both"/>
        <w:rPr>
          <w:color w:themeColor="text1" w:val="000000"/>
        </w:rPr>
      </w:pPr>
      <w:r>
        <w:rPr>
          <w:color w:themeColor="text1" w:val="000000"/>
        </w:rPr>
        <w:t>Основные требования по организации и режимы использования территорий санитарно-защитных зон устанавливаются в соответствии с действующим законодательством Российской Федерации, в том числе с Федеральным законом от 30.03.1999 № 52-ФЗ «О санитарно-эпидемиологическом благополучии населения» (ред. от 24.07.2023) СанПиН 2.2.1/2.1.1.1200-03 «Санитарно-защитные зоны и санитарная классификация предприятий, сооружений и иных объектов» и техническими регламентами.</w:t>
      </w:r>
    </w:p>
    <w:p>
      <w:pPr>
        <w:pStyle w:val="Normal"/>
        <w:ind w:firstLine="709"/>
        <w:jc w:val="both"/>
        <w:rPr>
          <w:color w:themeColor="text1" w:val="000000"/>
        </w:rPr>
      </w:pPr>
      <w:r>
        <w:rPr>
          <w:color w:themeColor="text1" w:val="000000"/>
        </w:rPr>
        <w:t>Санитарно-защитная зона является обязательным элементом промышленного предприятия и объекта, являющегося источником химического, биологического или физического воздействия. Уровень загрязнения или уровень воздействия в ней выше нормативов, принятых для селитебных территорий. Предоставление земельных участков в границах санитарно-защитных зон производится при наличии заключения территориальных органов Госсанэпиднадзора об отсутствии нарушений санитарных норм и правил.</w:t>
      </w:r>
    </w:p>
    <w:p>
      <w:pPr>
        <w:pStyle w:val="Normal"/>
        <w:ind w:firstLine="709"/>
        <w:jc w:val="both"/>
        <w:rPr>
          <w:color w:themeColor="text1" w:val="000000"/>
        </w:rPr>
      </w:pPr>
      <w:r>
        <w:rPr>
          <w:color w:themeColor="text1" w:val="000000"/>
        </w:rPr>
        <w:t>Достаточность ширины санитарно-защитной зоны должна быть подтверждена выполненными по согласованным и утвержденным в установленном порядке методам расчета рассеивания выбросов в атмосфере для всех загрязняющих веществ, распространения шума, вибрации и электромагнитных полей с учетом фонового загрязнения среды обитания по каждому из факторов за счет вклада действующих, намеченных к строительству или проектируемых предприятий.</w:t>
      </w:r>
    </w:p>
    <w:p>
      <w:pPr>
        <w:pStyle w:val="Normal"/>
        <w:ind w:firstLine="709"/>
        <w:jc w:val="both"/>
        <w:rPr>
          <w:color w:themeColor="text1" w:val="000000"/>
        </w:rPr>
      </w:pPr>
      <w:r>
        <w:rPr>
          <w:color w:themeColor="text1" w:val="000000"/>
        </w:rPr>
        <w:t>Ограничения градостроительной деятельности, связанные с санитарно-защитными зонами, носят временный характер и подлежат корректировке в системе градостроительного и санитарно-гигиенического мониторинга.</w:t>
      </w:r>
    </w:p>
    <w:p>
      <w:pPr>
        <w:pStyle w:val="Normal"/>
        <w:ind w:firstLine="709"/>
        <w:jc w:val="both"/>
        <w:rPr>
          <w:color w:themeColor="text1" w:val="000000"/>
        </w:rPr>
      </w:pPr>
      <w:r>
        <w:rPr>
          <w:color w:themeColor="text1" w:val="000000"/>
        </w:rPr>
        <w:t>Санитарно-защитные зоны от наземных гаражей-стоянок, паркингов закрытого типа принимаются на основании результатов расчетов рассеивания загрязнений в атмосферном воздухе и уровней физического воздействия, для гостевых автостоянок санитарно-защитные зоны не устанавливаются. Для подземных, полуподземных и обвалованных гаражей-стоянок регламентируется лишь расстояние от въезда-выезда и от вентиляционных шахт до территории школ, детских дошкольных учреждений, лечебно-профилактических учреждений, жилых домов, площадок отдыха и др., которое должно составлять не менее 15 м. В случае размещения подземных, полуподземных и обвалованных гаражей-стоянок в жилом доме расстояние от въезда-выезда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p>
      <w:pPr>
        <w:pStyle w:val="Normal"/>
        <w:ind w:firstLine="709"/>
        <w:jc w:val="both"/>
        <w:rPr>
          <w:color w:themeColor="text1" w:val="000000"/>
        </w:rPr>
      </w:pPr>
      <w:r>
        <w:rPr>
          <w:color w:themeColor="text1" w:val="000000"/>
        </w:rPr>
        <w:t>Установление размеров санитарно-защитных зон для промышленных объектов и производств, являющихся источниками воздействия на атмосферный воздух,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 санитарно-защитной зоны.</w:t>
      </w:r>
    </w:p>
    <w:p>
      <w:pPr>
        <w:pStyle w:val="Normal"/>
        <w:ind w:firstLine="709"/>
        <w:jc w:val="both"/>
        <w:rPr>
          <w:color w:themeColor="text1" w:val="000000"/>
        </w:rPr>
      </w:pPr>
      <w:r>
        <w:rPr>
          <w:color w:themeColor="text1" w:val="000000"/>
        </w:rPr>
        <w:t>Согласно СанПиН установлены следующие нормативные размеры СЗЗ: для объектов</w:t>
        <w:br/>
        <w:t xml:space="preserve">I класса опасности 1000 м; II – 500 м; III – 300 м; IV – 100 м; V – 50 м. </w:t>
      </w:r>
    </w:p>
    <w:p>
      <w:pPr>
        <w:pStyle w:val="Normal"/>
        <w:ind w:firstLine="709"/>
        <w:jc w:val="both"/>
        <w:rPr>
          <w:color w:themeColor="text1" w:val="000000"/>
        </w:rPr>
      </w:pPr>
      <w:r>
        <w:rPr>
          <w:color w:themeColor="text1" w:val="000000"/>
        </w:rPr>
        <w:t>Установление, изменение размеров установленных санитарно-защитных зон для промышленных объектов и производств I и II классов опасности осуществляется постановлением Главного государственного санитарного врача Российской Федерации. 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санитарно-эпидемиологического заключения Главного государственного санитарного врача субъекта Российской Федерации или его заместителя.</w:t>
      </w:r>
    </w:p>
    <w:p>
      <w:pPr>
        <w:pStyle w:val="Normal"/>
        <w:ind w:firstLine="709"/>
        <w:jc w:val="both"/>
        <w:rPr/>
      </w:pPr>
      <w:r>
        <w:rPr>
          <w:color w:themeColor="text1" w:val="000000"/>
        </w:rPr>
        <w:t>По данным Управления Федеральной службы по надзору в сфере защиты прав потребителей и благополучия человека по Калужской области на сегодняшний день санитарно-эпидемиологические заключения выданы по 85 проектам санитарно-защитных зон промышленных объектов и предприятий городского округа. Границы санитарно-защитных зон отражены в полном объеме на карте границ зон с особыми условиями использования территории.</w:t>
      </w:r>
    </w:p>
    <w:p>
      <w:pPr>
        <w:pStyle w:val="223"/>
        <w:spacing w:before="60" w:after="60"/>
        <w:ind w:firstLine="709" w:left="0"/>
        <w:rPr>
          <w:color w:themeColor="text1" w:val="000000"/>
        </w:rPr>
      </w:pPr>
      <w:r>
        <w:rPr>
          <w:color w:themeColor="text1" w:val="000000"/>
        </w:rPr>
        <w:t>Санитарные разрывы от транспортных коммуникаций</w:t>
      </w:r>
    </w:p>
    <w:p>
      <w:pPr>
        <w:pStyle w:val="Normal"/>
        <w:ind w:firstLine="709"/>
        <w:jc w:val="both"/>
        <w:rPr>
          <w:color w:themeColor="text1" w:val="000000"/>
        </w:rPr>
      </w:pPr>
      <w:r>
        <w:rPr>
          <w:color w:themeColor="text1" w:val="000000"/>
        </w:rPr>
        <w:t xml:space="preserve">Устанавливаются в соответствии с СанПиНом 2.2.1/2.1.1.1200–03 «Санитарно-защитные зоны и санитарная классификация предприятий, сооружений и иных объектов. Новая редакция», СанПиН 2.2.1. /2.1.1. – 2361–08 «Изменения № 1 к СанПиНу 2.2.1. /2.1.1.1200–03. Новая редакция», СанПиН 2.2.1/2.1.1.2555–09 «Изменение № 2 к СанПиНу 2.2.1/2.1.1.1200–03. Новая редакция» СанПиН 2.2.1/2.1.1.2739–10 «Изменения и дополнения № 3 к СанПиНу 2.2.1/2.1.1.1200–03. Новая редакция», СП 42.13330.2011 «Градостроительство. Планировка и застройка городских и сельских поселений» Актуализированная редакция СНиП 2.07.01–89*. Санитарные разрывы от автомобильных дорог установлены 50 - 100 м, в зависимости от категории дорог, от железнодорожных путей – 100 м. </w:t>
      </w:r>
    </w:p>
    <w:p>
      <w:pPr>
        <w:pStyle w:val="223"/>
        <w:spacing w:before="60" w:after="60"/>
        <w:ind w:firstLine="709" w:left="0"/>
        <w:rPr>
          <w:color w:themeColor="text1" w:val="000000"/>
        </w:rPr>
      </w:pPr>
      <w:r>
        <w:rPr>
          <w:color w:themeColor="text1" w:val="000000"/>
        </w:rPr>
        <w:t xml:space="preserve">Санитарные разрывы от инженерных коммуникаций </w:t>
      </w:r>
    </w:p>
    <w:p>
      <w:pPr>
        <w:pStyle w:val="Normal"/>
        <w:ind w:firstLine="709"/>
        <w:jc w:val="both"/>
        <w:rPr/>
      </w:pPr>
      <w:r>
        <w:rPr>
          <w:color w:themeColor="text1" w:val="000000"/>
        </w:rPr>
        <w:t xml:space="preserve">Определяются в соответствии с СанПиНом 2.2.1/2.1.1.1200–03 «Санитарно-защитные зоны и санитарная классификация предприятий, сооружений и иных объектов» (новая редакция), СанПиН 2.2.1. /2.1.1. – 2361–08 «Изменения № 1 к СанПиНу 2.2.1. /2.1.1.1200–03 Новая редакция», СанПиН 2.2.1/2.1.1.2555–09 «Изменение № 2 к СанПиНу 2.2.1/2.1.1.1200–03 Новая редакция», СанПиН 2.2.1/2.1.1.2739–10 «Изменения и дополнения № 3 к СанПиНу 2.2.1/2.1.1.1200–03 Новая редакция»; СП 42.13330.2011 «Градостроительство. Планировка и застройка городских и сельских поселений» Актуализированная редакция СНиП 2.07.01–89*; </w:t>
      </w:r>
      <w:hyperlink r:id="rId67">
        <w:r>
          <w:rPr>
            <w:color w:themeColor="text1" w:val="000000"/>
          </w:rPr>
          <w:t>СНиП 2.05.06–85* «Магистральные трубопроводы</w:t>
        </w:r>
      </w:hyperlink>
      <w:r>
        <w:rPr>
          <w:color w:themeColor="text1" w:val="000000"/>
        </w:rPr>
        <w:t>»; СНиП 42–01–2002 «Газораспределительные системы».</w:t>
      </w:r>
    </w:p>
    <w:p>
      <w:pPr>
        <w:pStyle w:val="223"/>
        <w:spacing w:before="60" w:after="60"/>
        <w:ind w:firstLine="709" w:left="0"/>
        <w:rPr>
          <w:color w:themeColor="text1" w:val="000000"/>
        </w:rPr>
      </w:pPr>
      <w:r>
        <w:rPr>
          <w:color w:themeColor="text1" w:val="000000"/>
        </w:rPr>
        <w:t>Охранные зоны объектов инженерной инфраструктуры</w:t>
      </w:r>
    </w:p>
    <w:p>
      <w:pPr>
        <w:pStyle w:val="Normal"/>
        <w:ind w:firstLine="709"/>
        <w:jc w:val="both"/>
        <w:rPr>
          <w:color w:themeColor="text1" w:val="000000"/>
        </w:rPr>
      </w:pPr>
      <w:r>
        <w:rPr>
          <w:color w:themeColor="text1" w:val="000000"/>
        </w:rPr>
        <w:t>Устанавливаются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(ред. от 18.02.2023); Федеральным законом от 31.03.1999 № 69</w:t>
        <w:noBreakHyphen/>
        <w:t>ФЗ «О газоснабжении в Российской Федерации» (ред. от 18.03.2023); постановлением Правительства Российской Федерации от 20.11.2000 № 878 «Об утверждении Правил охраны газораспределительных сетей» (ред. от 17.05.2016); Федеральным законом от 07.07.2003 № 126</w:t>
        <w:noBreakHyphen/>
        <w:t>ФЗ  «О связи» (ред. от 04.08.2023); постановлением Правительства Российской Федерации от 09.06.1995 № 578 «Об утверждении Правил охраны линий и сооружений связи Российской Федерации»; постановлением Госгортехнадзора Российской Федерации от 22.04.1992 № 9 «Правила охраны магистральных трубопроводов».</w:t>
      </w:r>
    </w:p>
    <w:p>
      <w:pPr>
        <w:pStyle w:val="223"/>
        <w:spacing w:before="60" w:after="60"/>
        <w:ind w:firstLine="709" w:left="0"/>
        <w:rPr>
          <w:color w:themeColor="text1" w:val="000000"/>
        </w:rPr>
      </w:pPr>
      <w:r>
        <w:rPr>
          <w:color w:themeColor="text1" w:val="000000"/>
        </w:rPr>
        <w:t xml:space="preserve">Придорожные полосы </w:t>
      </w:r>
    </w:p>
    <w:p>
      <w:pPr>
        <w:pStyle w:val="Normal"/>
        <w:ind w:firstLine="709"/>
        <w:jc w:val="both"/>
        <w:rPr>
          <w:color w:themeColor="text1" w:val="000000"/>
        </w:rPr>
      </w:pPr>
      <w:r>
        <w:rPr>
          <w:color w:themeColor="text1" w:val="000000"/>
        </w:rPr>
        <w:t>Устанавливаются 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(ред. от 04.08.2023). Для автомобильных дорог, за исключением автомобильных дорог, расположенных в границах населенных пунктов, устанавливаются придорожные полосы. Решение об установлении границ придорожных полос автомобильных дорог федерального, регионального или муниципального, местного значения или об изменении границ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w:t>
      </w:r>
    </w:p>
    <w:p>
      <w:pPr>
        <w:pStyle w:val="223"/>
        <w:spacing w:before="60" w:after="60"/>
        <w:ind w:firstLine="709" w:left="0"/>
        <w:rPr>
          <w:color w:themeColor="text1" w:val="000000"/>
        </w:rPr>
      </w:pPr>
      <w:r>
        <w:rPr>
          <w:color w:themeColor="text1" w:val="000000"/>
        </w:rPr>
        <w:t>Приаэродромная территория</w:t>
      </w:r>
    </w:p>
    <w:p>
      <w:pPr>
        <w:pStyle w:val="Normal"/>
        <w:ind w:firstLine="709"/>
        <w:jc w:val="both"/>
        <w:rPr>
          <w:color w:themeColor="text1" w:val="000000"/>
        </w:rPr>
      </w:pPr>
      <w:r>
        <w:rPr>
          <w:color w:themeColor="text1" w:val="000000"/>
        </w:rPr>
        <w:t>Граница приаэродромной территории аэродрома гражданской авиации Калуга (Грабцево) отражена на карте границ зон с особыми условиями использования территории (приаэродромная территория).</w:t>
      </w:r>
    </w:p>
    <w:p>
      <w:pPr>
        <w:pStyle w:val="Normal"/>
        <w:ind w:firstLine="709"/>
        <w:jc w:val="both"/>
        <w:rPr>
          <w:color w:themeColor="text1" w:val="000000"/>
        </w:rPr>
      </w:pPr>
      <w:r>
        <w:rPr>
          <w:color w:themeColor="text1" w:val="000000"/>
        </w:rPr>
        <w:t>Приаэродромная территория аэродрома гражданской авиации Калуга (Грабцево) установлена по внешним границам семи подзон, выделенных на основании статьи 47 Воздушного кодекса Российской Федерации. Порядок установления приаэродромной территории и порядок выделения на приаэродромной территории подзон, в которых устанавливаются ограничения использования объектов недвижимости и осуществления деятельности, утвержден Правительством Российской Федерации (постановление от 02.12.2017 № 1460 (ред. от 24.01.2023). Границы приаэродромной территории и подзон установлены приказом Росавиации от 12.04.2024 № 377-П «Об установлении приаэродромной территории аэродрома гражданской авиации Калуга (Грабцево)» (зарегистрировано в Минюсте России 20.05.2024 № 78206).</w:t>
      </w:r>
    </w:p>
    <w:p>
      <w:pPr>
        <w:pStyle w:val="Normal"/>
        <w:ind w:firstLine="709"/>
        <w:jc w:val="both"/>
        <w:rPr>
          <w:color w:themeColor="text1" w:val="000000"/>
        </w:rPr>
      </w:pPr>
      <w:r>
        <w:rPr>
          <w:color w:themeColor="text1" w:val="000000"/>
        </w:rPr>
        <w:t>Перечень населенных пунктов, попадающих в границы приаэродромной территории: г. Калуга, д. Аргуново, д. Бабенки, д. Белая, д. Березовка, д. Большая Каменка, д. Воровая, д. Галкино, д. Георгиевское, д. Горенское, д. Григоровка, д. Груздово, д. Доможирово,             д. Жерело, д. Заречье, д. Ильинка, д. Калашников Хутор, д. Канищево, д. Карачево,                  д. Колюпаново, д. Косарево, д. Крутицы, д. Лихун, д. Лобаново, д. Малая Каменка,                   д. Марьино, д. Матюнино, д. Мстихино, д. Новоселки, д. Петрово, д. Починки, д. Пучково,      д. Рождествено, д. Тимошево, д. Тинино, д. Уварово, д. Чижовка, д. Шопино, д. Юрьевка,       п. Новый, с. Муратовка, с. Муратовского щебзавода, с. Некрасово, с. Пригородного лесничества, с. Приокское лесничество, с. Шахты</w:t>
      </w:r>
    </w:p>
    <w:p>
      <w:pPr>
        <w:pStyle w:val="Normal"/>
        <w:ind w:firstLine="709"/>
        <w:jc w:val="both"/>
        <w:rPr>
          <w:color w:themeColor="text1" w:val="000000"/>
        </w:rPr>
      </w:pPr>
      <w:r>
        <w:rPr>
          <w:color w:themeColor="text1" w:val="000000"/>
        </w:rPr>
        <w:t>В подзонах приаэродромной территории аэродрома гражданской авиации Калуга (Грабцево)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(далее - ограничения использования объектов недвижимости и осуществления деятельности):</w:t>
      </w:r>
    </w:p>
    <w:p>
      <w:pPr>
        <w:pStyle w:val="Normal"/>
        <w:ind w:firstLine="709"/>
        <w:jc w:val="both"/>
        <w:rPr>
          <w:color w:themeColor="text1" w:val="000000"/>
        </w:rPr>
      </w:pPr>
      <w:r>
        <w:rPr>
          <w:color w:themeColor="text1" w:val="000000"/>
        </w:rP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pPr>
        <w:pStyle w:val="Normal"/>
        <w:ind w:firstLine="709"/>
        <w:jc w:val="both"/>
        <w:rPr>
          <w:color w:themeColor="text1" w:val="000000"/>
        </w:rPr>
      </w:pPr>
      <w:r>
        <w:rPr>
          <w:color w:themeColor="text1" w:val="000000"/>
        </w:rP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pPr>
        <w:pStyle w:val="Normal"/>
        <w:ind w:firstLine="709"/>
        <w:jc w:val="both"/>
        <w:rPr>
          <w:color w:themeColor="text1" w:val="000000"/>
        </w:rPr>
      </w:pPr>
      <w:r>
        <w:rPr>
          <w:color w:themeColor="text1" w:val="000000"/>
        </w:rPr>
        <w:t>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pPr>
        <w:pStyle w:val="Normal"/>
        <w:ind w:firstLine="709"/>
        <w:jc w:val="both"/>
        <w:rPr>
          <w:color w:themeColor="text1" w:val="000000"/>
        </w:rPr>
      </w:pPr>
      <w:r>
        <w:rPr>
          <w:color w:themeColor="text1" w:val="000000"/>
        </w:rP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pPr>
        <w:pStyle w:val="Normal"/>
        <w:ind w:firstLine="709"/>
        <w:jc w:val="both"/>
        <w:rPr>
          <w:color w:themeColor="text1" w:val="000000"/>
        </w:rPr>
      </w:pPr>
      <w:r>
        <w:rPr>
          <w:color w:themeColor="text1" w:val="000000"/>
        </w:rP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pPr>
        <w:pStyle w:val="Normal"/>
        <w:ind w:firstLine="709"/>
        <w:jc w:val="both"/>
        <w:rPr>
          <w:color w:themeColor="text1" w:val="000000"/>
        </w:rPr>
      </w:pPr>
      <w:r>
        <w:rPr>
          <w:color w:themeColor="text1" w:val="000000"/>
        </w:rPr>
        <w:t>6) шестая подзона, в которой запрещается размещать объекты, способствующие привлечению и массовому скоплению птиц;</w:t>
      </w:r>
    </w:p>
    <w:p>
      <w:pPr>
        <w:pStyle w:val="Normal"/>
        <w:ind w:firstLine="709"/>
        <w:jc w:val="both"/>
        <w:rPr>
          <w:color w:themeColor="text1" w:val="000000"/>
        </w:rPr>
      </w:pPr>
      <w:r>
        <w:rPr>
          <w:color w:themeColor="text1" w:val="000000"/>
        </w:rPr>
        <w:t>7) 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p>
      <w:pPr>
        <w:pStyle w:val="223"/>
        <w:spacing w:before="60" w:after="60"/>
        <w:ind w:firstLine="709" w:left="0"/>
        <w:rPr>
          <w:color w:themeColor="text1" w:val="000000"/>
        </w:rPr>
      </w:pPr>
      <w:r>
        <w:rPr>
          <w:color w:themeColor="text1" w:val="000000"/>
        </w:rPr>
        <w:t>Перечень ограничений использования земельных участков и (или) расположенных на них объектов недвижимости и осуществления экономической и иной деятельности в границах приаэродромной территории аэродрома гражданской авиации Калуга (Грабцево)</w:t>
      </w:r>
    </w:p>
    <w:p>
      <w:pPr>
        <w:pStyle w:val="ConsPlusNormal"/>
        <w:spacing w:before="22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Первая подзона приаэродромной территории аэродрома гражданской авиации Калуга (Грабцево):</w:t>
      </w:r>
    </w:p>
    <w:p>
      <w:pPr>
        <w:pStyle w:val="Style78"/>
        <w:ind w:firstLine="709" w:right="567"/>
        <w:rPr>
          <w:color w:themeColor="text1" w:val="000000"/>
        </w:rPr>
      </w:pPr>
      <w:r>
        <w:rPr>
          <w:color w:themeColor="text1" w:val="000000"/>
        </w:rPr>
        <w:t>Таблица 9.1.</w:t>
      </w:r>
    </w:p>
    <w:tbl>
      <w:tblPr>
        <w:tblW w:w="9071" w:type="dxa"/>
        <w:jc w:val="center"/>
        <w:tblInd w:w="0" w:type="dxa"/>
        <w:tblLayout w:type="fixed"/>
        <w:tblCellMar>
          <w:top w:w="102" w:type="dxa"/>
          <w:left w:w="62" w:type="dxa"/>
          <w:bottom w:w="102" w:type="dxa"/>
          <w:right w:w="62" w:type="dxa"/>
        </w:tblCellMar>
        <w:tblLook w:firstRow="1" w:noVBand="1" w:lastRow="0" w:firstColumn="1" w:lastColumn="0" w:noHBand="0" w:val="04a0"/>
      </w:tblPr>
      <w:tblGrid>
        <w:gridCol w:w="4820"/>
        <w:gridCol w:w="4250"/>
      </w:tblGrid>
      <w:tr>
        <w:trPr/>
        <w:tc>
          <w:tcPr>
            <w:tcW w:w="48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Перечень ограничений использования объектов недвижимости и осуществления деятельности</w:t>
            </w:r>
          </w:p>
        </w:tc>
        <w:tc>
          <w:tcPr>
            <w:tcW w:w="4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Обоснование ограничений</w:t>
            </w:r>
          </w:p>
        </w:tc>
      </w:tr>
      <w:tr>
        <w:trPr/>
        <w:tc>
          <w:tcPr>
            <w:tcW w:w="482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В границах первой подзоны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tc>
        <w:tc>
          <w:tcPr>
            <w:tcW w:w="425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6" w:right="83"/>
              <w:jc w:val="both"/>
              <w:rPr/>
            </w:pPr>
            <w:r>
              <w:rPr>
                <w:rFonts w:cs="Times New Roman" w:ascii="Times New Roman" w:hAnsi="Times New Roman"/>
                <w:color w:themeColor="text1" w:val="000000"/>
                <w:sz w:val="22"/>
                <w:szCs w:val="22"/>
              </w:rPr>
              <w:t>1. </w:t>
            </w:r>
            <w:hyperlink r:id="rId68">
              <w:r>
                <w:rPr>
                  <w:rFonts w:cs="Times New Roman" w:ascii="Times New Roman" w:hAnsi="Times New Roman"/>
                  <w:color w:themeColor="text1" w:val="000000"/>
                  <w:sz w:val="22"/>
                  <w:szCs w:val="22"/>
                </w:rPr>
                <w:t>Подпункт 1 пункта 3 статьи 47</w:t>
              </w:r>
            </w:hyperlink>
            <w:r>
              <w:rPr>
                <w:rFonts w:cs="Times New Roman" w:ascii="Times New Roman" w:hAnsi="Times New Roman"/>
                <w:color w:themeColor="text1" w:val="000000"/>
                <w:sz w:val="22"/>
                <w:szCs w:val="22"/>
              </w:rPr>
              <w:t xml:space="preserve"> Воздушного кодекса Российской Федерации.</w:t>
            </w:r>
          </w:p>
          <w:p>
            <w:pPr>
              <w:pStyle w:val="ConsPlusNormal"/>
              <w:ind w:hanging="0" w:left="76" w:right="83"/>
              <w:jc w:val="both"/>
              <w:rPr/>
            </w:pPr>
            <w:r>
              <w:rPr>
                <w:rFonts w:cs="Times New Roman" w:ascii="Times New Roman" w:hAnsi="Times New Roman"/>
                <w:color w:themeColor="text1" w:val="000000"/>
                <w:sz w:val="22"/>
                <w:szCs w:val="22"/>
              </w:rPr>
              <w:t>2. </w:t>
            </w:r>
            <w:hyperlink r:id="rId69">
              <w:r>
                <w:rPr>
                  <w:rFonts w:cs="Times New Roman" w:ascii="Times New Roman" w:hAnsi="Times New Roman"/>
                  <w:color w:themeColor="text1" w:val="000000"/>
                  <w:sz w:val="22"/>
                  <w:szCs w:val="22"/>
                </w:rPr>
                <w:t>Подпункт 1 пункта 3 статьи 1</w:t>
              </w:r>
            </w:hyperlink>
            <w:r>
              <w:rPr>
                <w:rFonts w:cs="Times New Roman" w:ascii="Times New Roman" w:hAnsi="Times New Roman"/>
                <w:color w:themeColor="text1" w:val="000000"/>
                <w:sz w:val="22"/>
                <w:szCs w:val="22"/>
              </w:rPr>
              <w:t xml:space="preserve"> Федерального закона от  01.07.2017</w:t>
              <w:br/>
              <w:t>№ 135-ФЗ.</w:t>
            </w:r>
          </w:p>
        </w:tc>
      </w:tr>
    </w:tbl>
    <w:p>
      <w:pPr>
        <w:pStyle w:val="ConsPlusNormal"/>
        <w:spacing w:before="22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Вторая подзона приаэродромной территории аэродрома гражданской авиации Калуга (Грабцево):</w:t>
      </w:r>
    </w:p>
    <w:p>
      <w:pPr>
        <w:pStyle w:val="Style78"/>
        <w:tabs>
          <w:tab w:val="clear" w:pos="397"/>
          <w:tab w:val="left" w:pos="9498" w:leader="none"/>
        </w:tabs>
        <w:ind w:firstLine="709" w:right="567"/>
        <w:rPr>
          <w:color w:themeColor="text1" w:val="000000"/>
        </w:rPr>
      </w:pPr>
      <w:r>
        <w:rPr>
          <w:color w:themeColor="text1" w:val="000000"/>
        </w:rPr>
        <w:t>Таблица 9.2.</w:t>
      </w:r>
    </w:p>
    <w:tbl>
      <w:tblPr>
        <w:tblW w:w="9071" w:type="dxa"/>
        <w:jc w:val="center"/>
        <w:tblInd w:w="0" w:type="dxa"/>
        <w:tblLayout w:type="fixed"/>
        <w:tblCellMar>
          <w:top w:w="102" w:type="dxa"/>
          <w:left w:w="62" w:type="dxa"/>
          <w:bottom w:w="102" w:type="dxa"/>
          <w:right w:w="62" w:type="dxa"/>
        </w:tblCellMar>
        <w:tblLook w:firstRow="1" w:noVBand="1" w:lastRow="0" w:firstColumn="1" w:lastColumn="0" w:noHBand="0" w:val="04a0"/>
      </w:tblPr>
      <w:tblGrid>
        <w:gridCol w:w="4820"/>
        <w:gridCol w:w="4250"/>
      </w:tblGrid>
      <w:tr>
        <w:trPr/>
        <w:tc>
          <w:tcPr>
            <w:tcW w:w="48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Перечень ограничений использования объектов недвижимости и осуществления деятельности</w:t>
            </w:r>
          </w:p>
        </w:tc>
        <w:tc>
          <w:tcPr>
            <w:tcW w:w="4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left="76"/>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Обоснование ограничений</w:t>
            </w:r>
          </w:p>
        </w:tc>
      </w:tr>
      <w:tr>
        <w:trPr/>
        <w:tc>
          <w:tcPr>
            <w:tcW w:w="482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В границах второй подзоны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tc>
        <w:tc>
          <w:tcPr>
            <w:tcW w:w="425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6" w:right="83"/>
              <w:jc w:val="both"/>
              <w:rPr/>
            </w:pPr>
            <w:r>
              <w:rPr>
                <w:rFonts w:cs="Times New Roman" w:ascii="Times New Roman" w:hAnsi="Times New Roman"/>
                <w:color w:themeColor="text1" w:val="000000"/>
                <w:sz w:val="22"/>
                <w:szCs w:val="22"/>
              </w:rPr>
              <w:t xml:space="preserve">1. </w:t>
            </w:r>
            <w:hyperlink r:id="rId70">
              <w:r>
                <w:rPr>
                  <w:rFonts w:cs="Times New Roman" w:ascii="Times New Roman" w:hAnsi="Times New Roman"/>
                  <w:color w:themeColor="text1" w:val="000000"/>
                  <w:sz w:val="22"/>
                  <w:szCs w:val="22"/>
                </w:rPr>
                <w:t>Подпункт 2 пункта 3 статьи 47</w:t>
              </w:r>
            </w:hyperlink>
            <w:r>
              <w:rPr>
                <w:rFonts w:cs="Times New Roman" w:ascii="Times New Roman" w:hAnsi="Times New Roman"/>
                <w:color w:themeColor="text1" w:val="000000"/>
                <w:sz w:val="22"/>
                <w:szCs w:val="22"/>
              </w:rPr>
              <w:t xml:space="preserve"> Воздушного кодекса Российской Федерации.</w:t>
            </w:r>
          </w:p>
          <w:p>
            <w:pPr>
              <w:pStyle w:val="ConsPlusNormal"/>
              <w:ind w:hanging="0" w:left="76" w:right="83"/>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2. Федерального закона от  01.07.2017</w:t>
              <w:br/>
              <w:t>№ 135-ФЗ.</w:t>
            </w:r>
          </w:p>
          <w:p>
            <w:pPr>
              <w:pStyle w:val="ConsPlusNormal"/>
              <w:ind w:hanging="0" w:left="76" w:right="83"/>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bl>
    <w:p>
      <w:pPr>
        <w:pStyle w:val="ConsPlusNormal"/>
        <w:ind w:firstLine="540"/>
        <w:jc w:val="both"/>
        <w:rPr>
          <w:color w:themeColor="text1" w:val="000000"/>
        </w:rPr>
      </w:pPr>
      <w:r>
        <w:rPr>
          <w:color w:themeColor="text1" w:val="000000"/>
        </w:rPr>
      </w:r>
    </w:p>
    <w:p>
      <w:pPr>
        <w:pStyle w:val="ConsPlusNormal"/>
        <w:spacing w:before="220" w:after="0"/>
        <w:ind w:firstLine="540"/>
        <w:jc w:val="both"/>
        <w:rPr>
          <w:color w:themeColor="text1" w:val="000000"/>
        </w:rPr>
      </w:pPr>
      <w:r>
        <w:rPr>
          <w:rFonts w:cs="Times New Roman" w:ascii="Times New Roman" w:hAnsi="Times New Roman"/>
          <w:color w:themeColor="text1" w:val="000000"/>
          <w:sz w:val="24"/>
          <w:szCs w:val="24"/>
        </w:rPr>
        <w:t>Третья подзона приаэродромной территории аэродрома гражданской авиации Калуга (Грабцево):</w:t>
      </w:r>
    </w:p>
    <w:p>
      <w:pPr>
        <w:pStyle w:val="Style78"/>
        <w:tabs>
          <w:tab w:val="clear" w:pos="397"/>
          <w:tab w:val="left" w:pos="9498" w:leader="none"/>
        </w:tabs>
        <w:ind w:firstLine="709" w:right="567"/>
        <w:rPr>
          <w:color w:themeColor="text1" w:val="000000"/>
        </w:rPr>
      </w:pPr>
      <w:r>
        <w:rPr>
          <w:color w:themeColor="text1" w:val="000000"/>
        </w:rPr>
        <w:t>Таблица 9.3.</w:t>
      </w:r>
    </w:p>
    <w:tbl>
      <w:tblPr>
        <w:tblW w:w="9071" w:type="dxa"/>
        <w:jc w:val="center"/>
        <w:tblInd w:w="0" w:type="dxa"/>
        <w:tblLayout w:type="fixed"/>
        <w:tblCellMar>
          <w:top w:w="102" w:type="dxa"/>
          <w:left w:w="62" w:type="dxa"/>
          <w:bottom w:w="102" w:type="dxa"/>
          <w:right w:w="62" w:type="dxa"/>
        </w:tblCellMar>
        <w:tblLook w:firstRow="1" w:noVBand="1" w:lastRow="0" w:firstColumn="1" w:lastColumn="0" w:noHBand="0" w:val="04a0"/>
      </w:tblPr>
      <w:tblGrid>
        <w:gridCol w:w="4820"/>
        <w:gridCol w:w="4250"/>
      </w:tblGrid>
      <w:tr>
        <w:trPr>
          <w:tblHeader w:val="true"/>
        </w:trPr>
        <w:tc>
          <w:tcPr>
            <w:tcW w:w="48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Перечень ограничений использования объектов недвижимости и осуществления деятельности</w:t>
            </w:r>
          </w:p>
        </w:tc>
        <w:tc>
          <w:tcPr>
            <w:tcW w:w="4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Обоснование ограничений</w:t>
            </w:r>
          </w:p>
        </w:tc>
      </w:tr>
      <w:tr>
        <w:trPr>
          <w:trHeight w:val="3402" w:hRule="atLeast"/>
        </w:trPr>
        <w:tc>
          <w:tcPr>
            <w:tcW w:w="4820" w:type="dxa"/>
            <w:tcBorders>
              <w:top w:val="single" w:sz="4" w:space="0" w:color="000000"/>
              <w:left w:val="single" w:sz="4" w:space="0" w:color="000000"/>
              <w:right w:val="single" w:sz="4" w:space="0" w:color="000000"/>
            </w:tcBorders>
            <w:shd w:fill="auto" w:val="clear"/>
          </w:tcPr>
          <w:p>
            <w:pPr>
              <w:pStyle w:val="ConsPlusNormal"/>
              <w:ind w:hanging="0" w:left="75"/>
              <w:jc w:val="both"/>
              <w:rPr/>
            </w:pPr>
            <w:r>
              <w:rPr>
                <w:rFonts w:cs="Times New Roman" w:ascii="Times New Roman" w:hAnsi="Times New Roman"/>
                <w:color w:themeColor="text1" w:val="000000"/>
                <w:sz w:val="22"/>
                <w:szCs w:val="22"/>
              </w:rPr>
              <w:t xml:space="preserve">1. В границах третьей подзоны запрещается размещать объекты, высота которых превышает ограничения, приведенные в </w:t>
            </w:r>
            <w:hyperlink w:anchor="P69023">
              <w:r>
                <w:rPr>
                  <w:rFonts w:cs="Times New Roman" w:ascii="Times New Roman" w:hAnsi="Times New Roman"/>
                  <w:color w:themeColor="text1" w:val="000000"/>
                  <w:sz w:val="22"/>
                  <w:szCs w:val="22"/>
                </w:rPr>
                <w:t>пункте 2</w:t>
              </w:r>
            </w:hyperlink>
            <w:r>
              <w:rPr>
                <w:rFonts w:cs="Times New Roman" w:ascii="Times New Roman" w:hAnsi="Times New Roman"/>
                <w:color w:themeColor="text1" w:val="000000"/>
                <w:sz w:val="22"/>
                <w:szCs w:val="22"/>
              </w:rPr>
              <w:t xml:space="preserve"> настоящей таблицы.</w:t>
            </w:r>
          </w:p>
          <w:p>
            <w:pPr>
              <w:pStyle w:val="ConsPlusNormal"/>
              <w:ind w:hanging="0" w:left="75"/>
              <w:jc w:val="both"/>
              <w:rPr/>
            </w:pPr>
            <w:bookmarkStart w:id="51" w:name="P69023"/>
            <w:bookmarkEnd w:id="51"/>
            <w:r>
              <w:rPr>
                <w:rFonts w:cs="Times New Roman" w:ascii="Times New Roman" w:hAnsi="Times New Roman"/>
                <w:color w:themeColor="text1" w:val="000000"/>
                <w:sz w:val="22"/>
                <w:szCs w:val="22"/>
              </w:rPr>
              <w:t xml:space="preserve">2. Строительство и реконструкция зданий, сооружений в границах третьей подзоны разрешается только после определения максимально допустимой высоты здания, сооружения в зависимости от местоположения путем проведения соответствующих расчетов в соответствии с требованиями </w:t>
            </w:r>
            <w:hyperlink r:id="rId71">
              <w:r>
                <w:rPr>
                  <w:rFonts w:cs="Times New Roman" w:ascii="Times New Roman" w:hAnsi="Times New Roman"/>
                  <w:color w:themeColor="text1" w:val="000000"/>
                  <w:sz w:val="22"/>
                  <w:szCs w:val="22"/>
                </w:rPr>
                <w:t>ФАП-262</w:t>
              </w:r>
            </w:hyperlink>
            <w:r>
              <w:rPr>
                <w:rFonts w:cs="Times New Roman" w:ascii="Times New Roman" w:hAnsi="Times New Roman"/>
                <w:color w:themeColor="text1" w:val="000000"/>
                <w:sz w:val="22"/>
                <w:szCs w:val="22"/>
              </w:rPr>
              <w:t xml:space="preserve"> с учетом следующих абсолютных высот ограничения объектов в Балтийской системе высот 1977 года </w:t>
            </w:r>
            <w:hyperlink w:anchor="P69258">
              <w:r>
                <w:rPr>
                  <w:rFonts w:cs="Times New Roman" w:ascii="Times New Roman" w:hAnsi="Times New Roman"/>
                  <w:color w:themeColor="text1" w:val="000000"/>
                  <w:sz w:val="22"/>
                  <w:szCs w:val="22"/>
                </w:rPr>
                <w:t>&lt;5&gt;</w:t>
              </w:r>
            </w:hyperlink>
            <w:r>
              <w:rPr>
                <w:rFonts w:cs="Times New Roman" w:ascii="Times New Roman" w:hAnsi="Times New Roman"/>
                <w:color w:themeColor="text1" w:val="000000"/>
                <w:sz w:val="22"/>
                <w:szCs w:val="22"/>
              </w:rPr>
              <w:t>:</w:t>
            </w:r>
          </w:p>
        </w:tc>
        <w:tc>
          <w:tcPr>
            <w:tcW w:w="4250" w:type="dxa"/>
            <w:vMerge w:val="restart"/>
            <w:tcBorders>
              <w:top w:val="single" w:sz="4" w:space="0" w:color="000000"/>
              <w:left w:val="single" w:sz="4" w:space="0" w:color="000000"/>
              <w:right w:val="single" w:sz="4" w:space="0" w:color="000000"/>
            </w:tcBorders>
            <w:shd w:fill="auto" w:val="clear"/>
          </w:tcPr>
          <w:p>
            <w:pPr>
              <w:pStyle w:val="ConsPlusNormal"/>
              <w:ind w:hanging="0" w:left="76" w:right="83"/>
              <w:jc w:val="both"/>
              <w:rPr/>
            </w:pPr>
            <w:r>
              <w:rPr>
                <w:rFonts w:cs="Times New Roman" w:ascii="Times New Roman" w:hAnsi="Times New Roman"/>
                <w:color w:themeColor="text1" w:val="000000"/>
                <w:sz w:val="22"/>
                <w:szCs w:val="22"/>
              </w:rPr>
              <w:t xml:space="preserve">1. </w:t>
            </w:r>
            <w:hyperlink r:id="rId72">
              <w:r>
                <w:rPr>
                  <w:rFonts w:cs="Times New Roman" w:ascii="Times New Roman" w:hAnsi="Times New Roman"/>
                  <w:color w:themeColor="text1" w:val="000000"/>
                  <w:sz w:val="22"/>
                  <w:szCs w:val="22"/>
                </w:rPr>
                <w:t>Подпункт 3 пункта 3 статьи 47</w:t>
              </w:r>
            </w:hyperlink>
            <w:r>
              <w:rPr>
                <w:rFonts w:cs="Times New Roman" w:ascii="Times New Roman" w:hAnsi="Times New Roman"/>
                <w:color w:themeColor="text1" w:val="000000"/>
                <w:sz w:val="22"/>
                <w:szCs w:val="22"/>
              </w:rPr>
              <w:t xml:space="preserve"> Воздушного кодекса Российской Федерации.</w:t>
            </w:r>
          </w:p>
          <w:p>
            <w:pPr>
              <w:pStyle w:val="ConsPlusNormal"/>
              <w:ind w:hanging="0" w:left="76" w:right="83"/>
              <w:jc w:val="both"/>
              <w:rPr/>
            </w:pPr>
            <w:r>
              <w:rPr>
                <w:rFonts w:cs="Times New Roman" w:ascii="Times New Roman" w:hAnsi="Times New Roman"/>
                <w:color w:themeColor="text1" w:val="000000"/>
                <w:sz w:val="22"/>
                <w:szCs w:val="22"/>
              </w:rPr>
              <w:t xml:space="preserve">2. </w:t>
            </w:r>
            <w:hyperlink r:id="rId73">
              <w:r>
                <w:rPr>
                  <w:rFonts w:cs="Times New Roman" w:ascii="Times New Roman" w:hAnsi="Times New Roman"/>
                  <w:color w:themeColor="text1" w:val="000000"/>
                  <w:sz w:val="22"/>
                  <w:szCs w:val="22"/>
                </w:rPr>
                <w:t>Подпункт 3 пункта 3 статьи 1</w:t>
              </w:r>
            </w:hyperlink>
            <w:r>
              <w:rPr>
                <w:rFonts w:cs="Times New Roman" w:ascii="Times New Roman" w:hAnsi="Times New Roman"/>
                <w:color w:themeColor="text1" w:val="000000"/>
                <w:sz w:val="22"/>
                <w:szCs w:val="22"/>
              </w:rPr>
              <w:t xml:space="preserve"> Федерального закона от  01.07.2017</w:t>
              <w:br/>
              <w:t>№ 135-ФЗ.</w:t>
            </w:r>
          </w:p>
          <w:p>
            <w:pPr>
              <w:pStyle w:val="ConsPlusNormal"/>
              <w:ind w:hanging="0" w:left="76" w:right="83"/>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7103">
              <w:r>
                <w:rPr>
                  <w:rFonts w:cs="Times New Roman" w:ascii="Times New Roman" w:hAnsi="Times New Roman"/>
                  <w:color w:themeColor="text1" w:val="000000"/>
                  <w:sz w:val="22"/>
                  <w:szCs w:val="22"/>
                </w:rPr>
                <w:t>Зона 1</w:t>
              </w:r>
            </w:hyperlink>
            <w:r>
              <w:rPr>
                <w:rFonts w:cs="Times New Roman" w:ascii="Times New Roman" w:hAnsi="Times New Roman"/>
                <w:color w:themeColor="text1" w:val="000000"/>
                <w:sz w:val="22"/>
                <w:szCs w:val="22"/>
              </w:rPr>
              <w:t xml:space="preserve"> 252,90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8409">
              <w:r>
                <w:rPr>
                  <w:rFonts w:cs="Times New Roman" w:ascii="Times New Roman" w:hAnsi="Times New Roman"/>
                  <w:color w:themeColor="text1" w:val="000000"/>
                  <w:sz w:val="22"/>
                  <w:szCs w:val="22"/>
                </w:rPr>
                <w:t>Зона 2</w:t>
              </w:r>
            </w:hyperlink>
            <w:r>
              <w:rPr>
                <w:rFonts w:cs="Times New Roman" w:ascii="Times New Roman" w:hAnsi="Times New Roman"/>
                <w:color w:themeColor="text1" w:val="000000"/>
                <w:sz w:val="22"/>
                <w:szCs w:val="22"/>
              </w:rPr>
              <w:t xml:space="preserve"> от 252,90 м до 277,90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10926">
              <w:r>
                <w:rPr>
                  <w:rFonts w:cs="Times New Roman" w:ascii="Times New Roman" w:hAnsi="Times New Roman"/>
                  <w:color w:themeColor="text1" w:val="000000"/>
                  <w:sz w:val="22"/>
                  <w:szCs w:val="22"/>
                </w:rPr>
                <w:t>Зона 3</w:t>
              </w:r>
            </w:hyperlink>
            <w:r>
              <w:rPr>
                <w:rFonts w:cs="Times New Roman" w:ascii="Times New Roman" w:hAnsi="Times New Roman"/>
                <w:color w:themeColor="text1" w:val="000000"/>
                <w:sz w:val="22"/>
                <w:szCs w:val="22"/>
              </w:rPr>
              <w:t xml:space="preserve"> от 277,90 м до 302,90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13671">
              <w:r>
                <w:rPr>
                  <w:rFonts w:cs="Times New Roman" w:ascii="Times New Roman" w:hAnsi="Times New Roman"/>
                  <w:color w:themeColor="text1" w:val="000000"/>
                  <w:sz w:val="22"/>
                  <w:szCs w:val="22"/>
                </w:rPr>
                <w:t>Зона 4</w:t>
              </w:r>
            </w:hyperlink>
            <w:r>
              <w:rPr>
                <w:rFonts w:cs="Times New Roman" w:ascii="Times New Roman" w:hAnsi="Times New Roman"/>
                <w:color w:themeColor="text1" w:val="000000"/>
                <w:sz w:val="22"/>
                <w:szCs w:val="22"/>
              </w:rPr>
              <w:t xml:space="preserve"> от 302,90 м до 327,90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16704">
              <w:r>
                <w:rPr>
                  <w:rFonts w:cs="Times New Roman" w:ascii="Times New Roman" w:hAnsi="Times New Roman"/>
                  <w:color w:themeColor="text1" w:val="000000"/>
                  <w:sz w:val="22"/>
                  <w:szCs w:val="22"/>
                </w:rPr>
                <w:t>Зона 5</w:t>
              </w:r>
            </w:hyperlink>
            <w:r>
              <w:rPr>
                <w:rFonts w:cs="Times New Roman" w:ascii="Times New Roman" w:hAnsi="Times New Roman"/>
                <w:color w:themeColor="text1" w:val="000000"/>
                <w:sz w:val="22"/>
                <w:szCs w:val="22"/>
              </w:rPr>
              <w:t xml:space="preserve"> от 327,90 м до 352,90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19869">
              <w:r>
                <w:rPr>
                  <w:rFonts w:cs="Times New Roman" w:ascii="Times New Roman" w:hAnsi="Times New Roman"/>
                  <w:color w:themeColor="text1" w:val="000000"/>
                  <w:sz w:val="22"/>
                  <w:szCs w:val="22"/>
                </w:rPr>
                <w:t>Зона 6</w:t>
              </w:r>
            </w:hyperlink>
            <w:r>
              <w:rPr>
                <w:rFonts w:cs="Times New Roman" w:ascii="Times New Roman" w:hAnsi="Times New Roman"/>
                <w:color w:themeColor="text1" w:val="000000"/>
                <w:sz w:val="22"/>
                <w:szCs w:val="22"/>
              </w:rPr>
              <w:t xml:space="preserve"> 352,90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228">
              <w:r>
                <w:rPr>
                  <w:rFonts w:cs="Times New Roman" w:ascii="Times New Roman" w:hAnsi="Times New Roman"/>
                  <w:color w:themeColor="text1" w:val="000000"/>
                  <w:sz w:val="22"/>
                  <w:szCs w:val="22"/>
                </w:rPr>
                <w:t>Зона 7</w:t>
              </w:r>
            </w:hyperlink>
            <w:r>
              <w:rPr>
                <w:rFonts w:cs="Times New Roman" w:ascii="Times New Roman" w:hAnsi="Times New Roman"/>
                <w:color w:themeColor="text1" w:val="000000"/>
                <w:sz w:val="22"/>
                <w:szCs w:val="22"/>
              </w:rPr>
              <w:t xml:space="preserve"> от 187,08 до 252,90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Зона 8. Наклонные поверхности ограничения препятствий с курса 13:</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297">
              <w:r>
                <w:rPr>
                  <w:rFonts w:cs="Times New Roman" w:ascii="Times New Roman" w:hAnsi="Times New Roman"/>
                  <w:color w:themeColor="text1" w:val="000000"/>
                  <w:sz w:val="22"/>
                  <w:szCs w:val="22"/>
                </w:rPr>
                <w:t>сектор 1.1</w:t>
              </w:r>
            </w:hyperlink>
            <w:r>
              <w:rPr>
                <w:rFonts w:cs="Times New Roman" w:ascii="Times New Roman" w:hAnsi="Times New Roman"/>
                <w:color w:themeColor="text1" w:val="000000"/>
                <w:sz w:val="22"/>
                <w:szCs w:val="22"/>
              </w:rPr>
              <w:t xml:space="preserve"> от 202,74 м до 202,10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320">
              <w:r>
                <w:rPr>
                  <w:rFonts w:cs="Times New Roman" w:ascii="Times New Roman" w:hAnsi="Times New Roman"/>
                  <w:color w:themeColor="text1" w:val="000000"/>
                  <w:sz w:val="22"/>
                  <w:szCs w:val="22"/>
                </w:rPr>
                <w:t>сектор 1.2</w:t>
              </w:r>
            </w:hyperlink>
            <w:r>
              <w:rPr>
                <w:rFonts w:cs="Times New Roman" w:ascii="Times New Roman" w:hAnsi="Times New Roman"/>
                <w:color w:themeColor="text1" w:val="000000"/>
                <w:sz w:val="22"/>
                <w:szCs w:val="22"/>
              </w:rPr>
              <w:t xml:space="preserve"> от 202,10 м до 212,90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337">
              <w:r>
                <w:rPr>
                  <w:rFonts w:cs="Times New Roman" w:ascii="Times New Roman" w:hAnsi="Times New Roman"/>
                  <w:color w:themeColor="text1" w:val="000000"/>
                  <w:sz w:val="22"/>
                  <w:szCs w:val="22"/>
                </w:rPr>
                <w:t>сектор 2</w:t>
              </w:r>
            </w:hyperlink>
            <w:r>
              <w:rPr>
                <w:rFonts w:cs="Times New Roman" w:ascii="Times New Roman" w:hAnsi="Times New Roman"/>
                <w:color w:themeColor="text1" w:val="000000"/>
                <w:sz w:val="22"/>
                <w:szCs w:val="22"/>
              </w:rPr>
              <w:t xml:space="preserve"> от 202,90 м до 212,90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378">
              <w:r>
                <w:rPr>
                  <w:rFonts w:cs="Times New Roman" w:ascii="Times New Roman" w:hAnsi="Times New Roman"/>
                  <w:color w:themeColor="text1" w:val="000000"/>
                  <w:sz w:val="22"/>
                  <w:szCs w:val="22"/>
                </w:rPr>
                <w:t>сектор 3</w:t>
              </w:r>
            </w:hyperlink>
            <w:r>
              <w:rPr>
                <w:rFonts w:cs="Times New Roman" w:ascii="Times New Roman" w:hAnsi="Times New Roman"/>
                <w:color w:themeColor="text1" w:val="000000"/>
                <w:sz w:val="22"/>
                <w:szCs w:val="22"/>
              </w:rPr>
              <w:t xml:space="preserve"> от 202,90 м до 202,46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395">
              <w:r>
                <w:rPr>
                  <w:rFonts w:cs="Times New Roman" w:ascii="Times New Roman" w:hAnsi="Times New Roman"/>
                  <w:color w:themeColor="text1" w:val="000000"/>
                  <w:sz w:val="22"/>
                  <w:szCs w:val="22"/>
                </w:rPr>
                <w:t>сектор 4.1</w:t>
              </w:r>
            </w:hyperlink>
            <w:r>
              <w:rPr>
                <w:rFonts w:cs="Times New Roman" w:ascii="Times New Roman" w:hAnsi="Times New Roman"/>
                <w:color w:themeColor="text1" w:val="000000"/>
                <w:sz w:val="22"/>
                <w:szCs w:val="22"/>
              </w:rPr>
              <w:t xml:space="preserve"> от 202,74 м до 202,10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418">
              <w:r>
                <w:rPr>
                  <w:rFonts w:cs="Times New Roman" w:ascii="Times New Roman" w:hAnsi="Times New Roman"/>
                  <w:color w:themeColor="text1" w:val="000000"/>
                  <w:sz w:val="22"/>
                  <w:szCs w:val="22"/>
                </w:rPr>
                <w:t>сектор 4.2</w:t>
              </w:r>
            </w:hyperlink>
            <w:r>
              <w:rPr>
                <w:rFonts w:cs="Times New Roman" w:ascii="Times New Roman" w:hAnsi="Times New Roman"/>
                <w:color w:themeColor="text1" w:val="000000"/>
                <w:sz w:val="22"/>
                <w:szCs w:val="22"/>
              </w:rPr>
              <w:t xml:space="preserve"> от 202,10 м до 212,90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435">
              <w:r>
                <w:rPr>
                  <w:rFonts w:cs="Times New Roman" w:ascii="Times New Roman" w:hAnsi="Times New Roman"/>
                  <w:color w:themeColor="text1" w:val="000000"/>
                  <w:sz w:val="22"/>
                  <w:szCs w:val="22"/>
                </w:rPr>
                <w:t>сектор 5</w:t>
              </w:r>
            </w:hyperlink>
            <w:r>
              <w:rPr>
                <w:rFonts w:cs="Times New Roman" w:ascii="Times New Roman" w:hAnsi="Times New Roman"/>
                <w:color w:themeColor="text1" w:val="000000"/>
                <w:sz w:val="22"/>
                <w:szCs w:val="22"/>
              </w:rPr>
              <w:t xml:space="preserve"> от 212,90 м до 222,90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452">
              <w:r>
                <w:rPr>
                  <w:rFonts w:cs="Times New Roman" w:ascii="Times New Roman" w:hAnsi="Times New Roman"/>
                  <w:color w:themeColor="text1" w:val="000000"/>
                  <w:sz w:val="22"/>
                  <w:szCs w:val="22"/>
                </w:rPr>
                <w:t>сектор 6</w:t>
              </w:r>
            </w:hyperlink>
            <w:r>
              <w:rPr>
                <w:rFonts w:cs="Times New Roman" w:ascii="Times New Roman" w:hAnsi="Times New Roman"/>
                <w:color w:themeColor="text1" w:val="000000"/>
                <w:sz w:val="22"/>
                <w:szCs w:val="22"/>
              </w:rPr>
              <w:t xml:space="preserve"> от 212,90 м до 222,90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469">
              <w:r>
                <w:rPr>
                  <w:rFonts w:cs="Times New Roman" w:ascii="Times New Roman" w:hAnsi="Times New Roman"/>
                  <w:color w:themeColor="text1" w:val="000000"/>
                  <w:sz w:val="22"/>
                  <w:szCs w:val="22"/>
                </w:rPr>
                <w:t>сектор 7</w:t>
              </w:r>
            </w:hyperlink>
            <w:r>
              <w:rPr>
                <w:rFonts w:cs="Times New Roman" w:ascii="Times New Roman" w:hAnsi="Times New Roman"/>
                <w:color w:themeColor="text1" w:val="000000"/>
                <w:sz w:val="22"/>
                <w:szCs w:val="22"/>
              </w:rPr>
              <w:t xml:space="preserve"> от 209,46 м до 217,46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486">
              <w:r>
                <w:rPr>
                  <w:rFonts w:cs="Times New Roman" w:ascii="Times New Roman" w:hAnsi="Times New Roman"/>
                  <w:color w:themeColor="text1" w:val="000000"/>
                  <w:sz w:val="22"/>
                  <w:szCs w:val="22"/>
                </w:rPr>
                <w:t>сектор 8</w:t>
              </w:r>
            </w:hyperlink>
            <w:r>
              <w:rPr>
                <w:rFonts w:cs="Times New Roman" w:ascii="Times New Roman" w:hAnsi="Times New Roman"/>
                <w:color w:themeColor="text1" w:val="000000"/>
                <w:sz w:val="22"/>
                <w:szCs w:val="22"/>
              </w:rPr>
              <w:t xml:space="preserve"> от 212,90 м до 222,90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503">
              <w:r>
                <w:rPr>
                  <w:rFonts w:cs="Times New Roman" w:ascii="Times New Roman" w:hAnsi="Times New Roman"/>
                  <w:color w:themeColor="text1" w:val="000000"/>
                  <w:sz w:val="22"/>
                  <w:szCs w:val="22"/>
                </w:rPr>
                <w:t>сектор 9</w:t>
              </w:r>
            </w:hyperlink>
            <w:r>
              <w:rPr>
                <w:rFonts w:cs="Times New Roman" w:ascii="Times New Roman" w:hAnsi="Times New Roman"/>
                <w:color w:themeColor="text1" w:val="000000"/>
                <w:sz w:val="22"/>
                <w:szCs w:val="22"/>
              </w:rPr>
              <w:t xml:space="preserve"> от 212,90 м до 222,90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520">
              <w:r>
                <w:rPr>
                  <w:rFonts w:cs="Times New Roman" w:ascii="Times New Roman" w:hAnsi="Times New Roman"/>
                  <w:color w:themeColor="text1" w:val="000000"/>
                  <w:sz w:val="22"/>
                  <w:szCs w:val="22"/>
                </w:rPr>
                <w:t>сектор 10</w:t>
              </w:r>
            </w:hyperlink>
            <w:r>
              <w:rPr>
                <w:rFonts w:cs="Times New Roman" w:ascii="Times New Roman" w:hAnsi="Times New Roman"/>
                <w:color w:themeColor="text1" w:val="000000"/>
                <w:sz w:val="22"/>
                <w:szCs w:val="22"/>
              </w:rPr>
              <w:t xml:space="preserve"> от 222,90 м до 232,90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537">
              <w:r>
                <w:rPr>
                  <w:rFonts w:cs="Times New Roman" w:ascii="Times New Roman" w:hAnsi="Times New Roman"/>
                  <w:color w:themeColor="text1" w:val="000000"/>
                  <w:sz w:val="22"/>
                  <w:szCs w:val="22"/>
                </w:rPr>
                <w:t>сектор 11</w:t>
              </w:r>
            </w:hyperlink>
            <w:r>
              <w:rPr>
                <w:rFonts w:cs="Times New Roman" w:ascii="Times New Roman" w:hAnsi="Times New Roman"/>
                <w:color w:themeColor="text1" w:val="000000"/>
                <w:sz w:val="22"/>
                <w:szCs w:val="22"/>
              </w:rPr>
              <w:t xml:space="preserve"> от 222,90 м до 232,90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554">
              <w:r>
                <w:rPr>
                  <w:rFonts w:cs="Times New Roman" w:ascii="Times New Roman" w:hAnsi="Times New Roman"/>
                  <w:color w:themeColor="text1" w:val="000000"/>
                  <w:sz w:val="22"/>
                  <w:szCs w:val="22"/>
                </w:rPr>
                <w:t>сектор 12</w:t>
              </w:r>
            </w:hyperlink>
            <w:r>
              <w:rPr>
                <w:rFonts w:cs="Times New Roman" w:ascii="Times New Roman" w:hAnsi="Times New Roman"/>
                <w:color w:themeColor="text1" w:val="000000"/>
                <w:sz w:val="22"/>
                <w:szCs w:val="22"/>
              </w:rPr>
              <w:t xml:space="preserve"> от 217,46 м до 225,46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571">
              <w:r>
                <w:rPr>
                  <w:rFonts w:cs="Times New Roman" w:ascii="Times New Roman" w:hAnsi="Times New Roman"/>
                  <w:color w:themeColor="text1" w:val="000000"/>
                  <w:sz w:val="22"/>
                  <w:szCs w:val="22"/>
                </w:rPr>
                <w:t>сектор 13</w:t>
              </w:r>
            </w:hyperlink>
            <w:r>
              <w:rPr>
                <w:rFonts w:cs="Times New Roman" w:ascii="Times New Roman" w:hAnsi="Times New Roman"/>
                <w:color w:themeColor="text1" w:val="000000"/>
                <w:sz w:val="22"/>
                <w:szCs w:val="22"/>
              </w:rPr>
              <w:t xml:space="preserve"> от 222,90 м до 232,90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588">
              <w:r>
                <w:rPr>
                  <w:rFonts w:cs="Times New Roman" w:ascii="Times New Roman" w:hAnsi="Times New Roman"/>
                  <w:color w:themeColor="text1" w:val="000000"/>
                  <w:sz w:val="22"/>
                  <w:szCs w:val="22"/>
                </w:rPr>
                <w:t>сектор 14</w:t>
              </w:r>
            </w:hyperlink>
            <w:r>
              <w:rPr>
                <w:rFonts w:cs="Times New Roman" w:ascii="Times New Roman" w:hAnsi="Times New Roman"/>
                <w:color w:themeColor="text1" w:val="000000"/>
                <w:sz w:val="22"/>
                <w:szCs w:val="22"/>
              </w:rPr>
              <w:t xml:space="preserve"> от 222,90 м до 232,90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605">
              <w:r>
                <w:rPr>
                  <w:rFonts w:cs="Times New Roman" w:ascii="Times New Roman" w:hAnsi="Times New Roman"/>
                  <w:color w:themeColor="text1" w:val="000000"/>
                  <w:sz w:val="22"/>
                  <w:szCs w:val="22"/>
                </w:rPr>
                <w:t>сектор 15</w:t>
              </w:r>
            </w:hyperlink>
            <w:r>
              <w:rPr>
                <w:rFonts w:cs="Times New Roman" w:ascii="Times New Roman" w:hAnsi="Times New Roman"/>
                <w:color w:themeColor="text1" w:val="000000"/>
                <w:sz w:val="22"/>
                <w:szCs w:val="22"/>
              </w:rPr>
              <w:t xml:space="preserve"> от 232,90 м до 242,90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622">
              <w:r>
                <w:rPr>
                  <w:rFonts w:cs="Times New Roman" w:ascii="Times New Roman" w:hAnsi="Times New Roman"/>
                  <w:color w:themeColor="text1" w:val="000000"/>
                  <w:sz w:val="22"/>
                  <w:szCs w:val="22"/>
                </w:rPr>
                <w:t>сектор 16</w:t>
              </w:r>
            </w:hyperlink>
            <w:r>
              <w:rPr>
                <w:rFonts w:cs="Times New Roman" w:ascii="Times New Roman" w:hAnsi="Times New Roman"/>
                <w:color w:themeColor="text1" w:val="000000"/>
                <w:sz w:val="22"/>
                <w:szCs w:val="22"/>
              </w:rPr>
              <w:t xml:space="preserve"> от 232,90 м до 242,90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639">
              <w:r>
                <w:rPr>
                  <w:rFonts w:cs="Times New Roman" w:ascii="Times New Roman" w:hAnsi="Times New Roman"/>
                  <w:color w:themeColor="text1" w:val="000000"/>
                  <w:sz w:val="22"/>
                  <w:szCs w:val="22"/>
                </w:rPr>
                <w:t>сектор 17</w:t>
              </w:r>
            </w:hyperlink>
            <w:r>
              <w:rPr>
                <w:rFonts w:cs="Times New Roman" w:ascii="Times New Roman" w:hAnsi="Times New Roman"/>
                <w:color w:themeColor="text1" w:val="000000"/>
                <w:sz w:val="22"/>
                <w:szCs w:val="22"/>
              </w:rPr>
              <w:t xml:space="preserve"> от 225,46 м до 233,46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656">
              <w:r>
                <w:rPr>
                  <w:rFonts w:cs="Times New Roman" w:ascii="Times New Roman" w:hAnsi="Times New Roman"/>
                  <w:color w:themeColor="text1" w:val="000000"/>
                  <w:sz w:val="22"/>
                  <w:szCs w:val="22"/>
                </w:rPr>
                <w:t>сектор 18</w:t>
              </w:r>
            </w:hyperlink>
            <w:r>
              <w:rPr>
                <w:rFonts w:cs="Times New Roman" w:ascii="Times New Roman" w:hAnsi="Times New Roman"/>
                <w:color w:themeColor="text1" w:val="000000"/>
                <w:sz w:val="22"/>
                <w:szCs w:val="22"/>
              </w:rPr>
              <w:t xml:space="preserve"> от 232,90 м до 242,90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673">
              <w:r>
                <w:rPr>
                  <w:rFonts w:cs="Times New Roman" w:ascii="Times New Roman" w:hAnsi="Times New Roman"/>
                  <w:color w:themeColor="text1" w:val="000000"/>
                  <w:sz w:val="22"/>
                  <w:szCs w:val="22"/>
                </w:rPr>
                <w:t>сектор 19</w:t>
              </w:r>
            </w:hyperlink>
            <w:r>
              <w:rPr>
                <w:rFonts w:cs="Times New Roman" w:ascii="Times New Roman" w:hAnsi="Times New Roman"/>
                <w:color w:themeColor="text1" w:val="000000"/>
                <w:sz w:val="22"/>
                <w:szCs w:val="22"/>
              </w:rPr>
              <w:t xml:space="preserve"> от 232,90 м до 242,90 м;</w:t>
            </w:r>
          </w:p>
        </w:tc>
        <w:tc>
          <w:tcPr>
            <w:tcW w:w="4250" w:type="dxa"/>
            <w:vMerge w:val="restart"/>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690">
              <w:r>
                <w:rPr>
                  <w:rFonts w:cs="Times New Roman" w:ascii="Times New Roman" w:hAnsi="Times New Roman"/>
                  <w:color w:themeColor="text1" w:val="000000"/>
                  <w:sz w:val="22"/>
                  <w:szCs w:val="22"/>
                </w:rPr>
                <w:t>сектор 20</w:t>
              </w:r>
            </w:hyperlink>
            <w:r>
              <w:rPr>
                <w:rFonts w:cs="Times New Roman" w:ascii="Times New Roman" w:hAnsi="Times New Roman"/>
                <w:color w:themeColor="text1" w:val="000000"/>
                <w:sz w:val="22"/>
                <w:szCs w:val="22"/>
              </w:rPr>
              <w:t xml:space="preserve"> от 242,90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704">
              <w:r>
                <w:rPr>
                  <w:rFonts w:cs="Times New Roman" w:ascii="Times New Roman" w:hAnsi="Times New Roman"/>
                  <w:color w:themeColor="text1" w:val="000000"/>
                  <w:sz w:val="22"/>
                  <w:szCs w:val="22"/>
                </w:rPr>
                <w:t>сектор 21</w:t>
              </w:r>
            </w:hyperlink>
            <w:r>
              <w:rPr>
                <w:rFonts w:cs="Times New Roman" w:ascii="Times New Roman" w:hAnsi="Times New Roman"/>
                <w:color w:themeColor="text1" w:val="000000"/>
                <w:sz w:val="22"/>
                <w:szCs w:val="22"/>
              </w:rPr>
              <w:t xml:space="preserve"> от 242,90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721">
              <w:r>
                <w:rPr>
                  <w:rFonts w:cs="Times New Roman" w:ascii="Times New Roman" w:hAnsi="Times New Roman"/>
                  <w:color w:themeColor="text1" w:val="000000"/>
                  <w:sz w:val="22"/>
                  <w:szCs w:val="22"/>
                </w:rPr>
                <w:t>сектор 22</w:t>
              </w:r>
            </w:hyperlink>
            <w:r>
              <w:rPr>
                <w:rFonts w:cs="Times New Roman" w:ascii="Times New Roman" w:hAnsi="Times New Roman"/>
                <w:color w:themeColor="text1" w:val="000000"/>
                <w:sz w:val="22"/>
                <w:szCs w:val="22"/>
              </w:rPr>
              <w:t xml:space="preserve"> от 233,46 м до 241,46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738">
              <w:r>
                <w:rPr>
                  <w:rFonts w:cs="Times New Roman" w:ascii="Times New Roman" w:hAnsi="Times New Roman"/>
                  <w:color w:themeColor="text1" w:val="000000"/>
                  <w:sz w:val="22"/>
                  <w:szCs w:val="22"/>
                </w:rPr>
                <w:t>сектор 23</w:t>
              </w:r>
            </w:hyperlink>
            <w:r>
              <w:rPr>
                <w:rFonts w:cs="Times New Roman" w:ascii="Times New Roman" w:hAnsi="Times New Roman"/>
                <w:color w:themeColor="text1" w:val="000000"/>
                <w:sz w:val="22"/>
                <w:szCs w:val="22"/>
              </w:rPr>
              <w:t xml:space="preserve"> от 242,90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755">
              <w:r>
                <w:rPr>
                  <w:rFonts w:cs="Times New Roman" w:ascii="Times New Roman" w:hAnsi="Times New Roman"/>
                  <w:color w:themeColor="text1" w:val="000000"/>
                  <w:sz w:val="22"/>
                  <w:szCs w:val="22"/>
                </w:rPr>
                <w:t>сектор 24</w:t>
              </w:r>
            </w:hyperlink>
            <w:r>
              <w:rPr>
                <w:rFonts w:cs="Times New Roman" w:ascii="Times New Roman" w:hAnsi="Times New Roman"/>
                <w:color w:themeColor="text1" w:val="000000"/>
                <w:sz w:val="22"/>
                <w:szCs w:val="22"/>
              </w:rPr>
              <w:t xml:space="preserve"> от 242,90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769">
              <w:r>
                <w:rPr>
                  <w:rFonts w:cs="Times New Roman" w:ascii="Times New Roman" w:hAnsi="Times New Roman"/>
                  <w:color w:themeColor="text1" w:val="000000"/>
                  <w:sz w:val="22"/>
                  <w:szCs w:val="22"/>
                </w:rPr>
                <w:t>сектор 25</w:t>
              </w:r>
            </w:hyperlink>
            <w:r>
              <w:rPr>
                <w:rFonts w:cs="Times New Roman" w:ascii="Times New Roman" w:hAnsi="Times New Roman"/>
                <w:color w:themeColor="text1" w:val="000000"/>
                <w:sz w:val="22"/>
                <w:szCs w:val="22"/>
              </w:rPr>
              <w:t xml:space="preserve">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786">
              <w:r>
                <w:rPr>
                  <w:rFonts w:cs="Times New Roman" w:ascii="Times New Roman" w:hAnsi="Times New Roman"/>
                  <w:color w:themeColor="text1" w:val="000000"/>
                  <w:sz w:val="22"/>
                  <w:szCs w:val="22"/>
                </w:rPr>
                <w:t>сектор 26</w:t>
              </w:r>
            </w:hyperlink>
            <w:r>
              <w:rPr>
                <w:rFonts w:cs="Times New Roman" w:ascii="Times New Roman" w:hAnsi="Times New Roman"/>
                <w:color w:themeColor="text1" w:val="000000"/>
                <w:sz w:val="22"/>
                <w:szCs w:val="22"/>
              </w:rPr>
              <w:t xml:space="preserve"> от 241,46 м до 249,46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803">
              <w:r>
                <w:rPr>
                  <w:rFonts w:cs="Times New Roman" w:ascii="Times New Roman" w:hAnsi="Times New Roman"/>
                  <w:color w:themeColor="text1" w:val="000000"/>
                  <w:sz w:val="22"/>
                  <w:szCs w:val="22"/>
                </w:rPr>
                <w:t>сектор 27</w:t>
              </w:r>
            </w:hyperlink>
            <w:r>
              <w:rPr>
                <w:rFonts w:cs="Times New Roman" w:ascii="Times New Roman" w:hAnsi="Times New Roman"/>
                <w:color w:themeColor="text1" w:val="000000"/>
                <w:sz w:val="22"/>
                <w:szCs w:val="22"/>
              </w:rPr>
              <w:t xml:space="preserve">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820">
              <w:r>
                <w:rPr>
                  <w:rFonts w:cs="Times New Roman" w:ascii="Times New Roman" w:hAnsi="Times New Roman"/>
                  <w:color w:themeColor="text1" w:val="000000"/>
                  <w:sz w:val="22"/>
                  <w:szCs w:val="22"/>
                </w:rPr>
                <w:t>сектор 28</w:t>
              </w:r>
            </w:hyperlink>
            <w:r>
              <w:rPr>
                <w:rFonts w:cs="Times New Roman" w:ascii="Times New Roman" w:hAnsi="Times New Roman"/>
                <w:color w:themeColor="text1" w:val="000000"/>
                <w:sz w:val="22"/>
                <w:szCs w:val="22"/>
              </w:rPr>
              <w:t xml:space="preserve">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837">
              <w:r>
                <w:rPr>
                  <w:rFonts w:cs="Times New Roman" w:ascii="Times New Roman" w:hAnsi="Times New Roman"/>
                  <w:color w:themeColor="text1" w:val="000000"/>
                  <w:sz w:val="22"/>
                  <w:szCs w:val="22"/>
                </w:rPr>
                <w:t>сектор 29</w:t>
              </w:r>
            </w:hyperlink>
            <w:r>
              <w:rPr>
                <w:rFonts w:cs="Times New Roman" w:ascii="Times New Roman" w:hAnsi="Times New Roman"/>
                <w:color w:themeColor="text1" w:val="000000"/>
                <w:sz w:val="22"/>
                <w:szCs w:val="22"/>
              </w:rPr>
              <w:t xml:space="preserve"> от 249,46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854">
              <w:r>
                <w:rPr>
                  <w:rFonts w:cs="Times New Roman" w:ascii="Times New Roman" w:hAnsi="Times New Roman"/>
                  <w:color w:themeColor="text1" w:val="000000"/>
                  <w:sz w:val="22"/>
                  <w:szCs w:val="22"/>
                </w:rPr>
                <w:t>сектор 30</w:t>
              </w:r>
            </w:hyperlink>
            <w:r>
              <w:rPr>
                <w:rFonts w:cs="Times New Roman" w:ascii="Times New Roman" w:hAnsi="Times New Roman"/>
                <w:color w:themeColor="text1" w:val="000000"/>
                <w:sz w:val="22"/>
                <w:szCs w:val="22"/>
              </w:rPr>
              <w:t xml:space="preserve">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871">
              <w:r>
                <w:rPr>
                  <w:rFonts w:cs="Times New Roman" w:ascii="Times New Roman" w:hAnsi="Times New Roman"/>
                  <w:color w:themeColor="text1" w:val="000000"/>
                  <w:sz w:val="22"/>
                  <w:szCs w:val="22"/>
                </w:rPr>
                <w:t>сектор 31</w:t>
              </w:r>
            </w:hyperlink>
            <w:r>
              <w:rPr>
                <w:rFonts w:cs="Times New Roman" w:ascii="Times New Roman" w:hAnsi="Times New Roman"/>
                <w:color w:themeColor="text1" w:val="000000"/>
                <w:sz w:val="22"/>
                <w:szCs w:val="22"/>
              </w:rPr>
              <w:t xml:space="preserve"> от 252,90 м до 259,34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888">
              <w:r>
                <w:rPr>
                  <w:rFonts w:cs="Times New Roman" w:ascii="Times New Roman" w:hAnsi="Times New Roman"/>
                  <w:color w:themeColor="text1" w:val="000000"/>
                  <w:sz w:val="22"/>
                  <w:szCs w:val="22"/>
                </w:rPr>
                <w:t>сектор 32</w:t>
              </w:r>
            </w:hyperlink>
            <w:r>
              <w:rPr>
                <w:rFonts w:cs="Times New Roman" w:ascii="Times New Roman" w:hAnsi="Times New Roman"/>
                <w:color w:themeColor="text1" w:val="000000"/>
                <w:sz w:val="22"/>
                <w:szCs w:val="22"/>
              </w:rPr>
              <w:t xml:space="preserve"> от 252,90 м до 255,90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905">
              <w:r>
                <w:rPr>
                  <w:rFonts w:cs="Times New Roman" w:ascii="Times New Roman" w:hAnsi="Times New Roman"/>
                  <w:color w:themeColor="text1" w:val="000000"/>
                  <w:sz w:val="22"/>
                  <w:szCs w:val="22"/>
                </w:rPr>
                <w:t>сектор 33</w:t>
              </w:r>
            </w:hyperlink>
            <w:r>
              <w:rPr>
                <w:rFonts w:cs="Times New Roman" w:ascii="Times New Roman" w:hAnsi="Times New Roman"/>
                <w:color w:themeColor="text1" w:val="000000"/>
                <w:sz w:val="22"/>
                <w:szCs w:val="22"/>
              </w:rPr>
              <w:t xml:space="preserve"> от 252,90 м до 259,34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922">
              <w:r>
                <w:rPr>
                  <w:rFonts w:cs="Times New Roman" w:ascii="Times New Roman" w:hAnsi="Times New Roman"/>
                  <w:color w:themeColor="text1" w:val="000000"/>
                  <w:sz w:val="22"/>
                  <w:szCs w:val="22"/>
                </w:rPr>
                <w:t>сектор 34</w:t>
              </w:r>
            </w:hyperlink>
            <w:r>
              <w:rPr>
                <w:rFonts w:cs="Times New Roman" w:ascii="Times New Roman" w:hAnsi="Times New Roman"/>
                <w:color w:themeColor="text1" w:val="000000"/>
                <w:sz w:val="22"/>
                <w:szCs w:val="22"/>
              </w:rPr>
              <w:t xml:space="preserve"> от 259,34 м до 284,60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939">
              <w:r>
                <w:rPr>
                  <w:rFonts w:cs="Times New Roman" w:ascii="Times New Roman" w:hAnsi="Times New Roman"/>
                  <w:color w:themeColor="text1" w:val="000000"/>
                  <w:sz w:val="22"/>
                  <w:szCs w:val="22"/>
                </w:rPr>
                <w:t>сектор 35</w:t>
              </w:r>
            </w:hyperlink>
            <w:r>
              <w:rPr>
                <w:rFonts w:cs="Times New Roman" w:ascii="Times New Roman" w:hAnsi="Times New Roman"/>
                <w:color w:themeColor="text1" w:val="000000"/>
                <w:sz w:val="22"/>
                <w:szCs w:val="22"/>
              </w:rPr>
              <w:t xml:space="preserve"> от 255,90 м до 273,46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956">
              <w:r>
                <w:rPr>
                  <w:rFonts w:cs="Times New Roman" w:ascii="Times New Roman" w:hAnsi="Times New Roman"/>
                  <w:color w:themeColor="text1" w:val="000000"/>
                  <w:sz w:val="22"/>
                  <w:szCs w:val="22"/>
                </w:rPr>
                <w:t>сектор 36</w:t>
              </w:r>
            </w:hyperlink>
            <w:r>
              <w:rPr>
                <w:rFonts w:cs="Times New Roman" w:ascii="Times New Roman" w:hAnsi="Times New Roman"/>
                <w:color w:themeColor="text1" w:val="000000"/>
                <w:sz w:val="22"/>
                <w:szCs w:val="22"/>
              </w:rPr>
              <w:t xml:space="preserve"> от 259,34 м до 284,60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973">
              <w:r>
                <w:rPr>
                  <w:rFonts w:cs="Times New Roman" w:ascii="Times New Roman" w:hAnsi="Times New Roman"/>
                  <w:color w:themeColor="text1" w:val="000000"/>
                  <w:sz w:val="22"/>
                  <w:szCs w:val="22"/>
                </w:rPr>
                <w:t>сектор 37</w:t>
              </w:r>
            </w:hyperlink>
            <w:r>
              <w:rPr>
                <w:rFonts w:cs="Times New Roman" w:ascii="Times New Roman" w:hAnsi="Times New Roman"/>
                <w:color w:themeColor="text1" w:val="000000"/>
                <w:sz w:val="22"/>
                <w:szCs w:val="22"/>
              </w:rPr>
              <w:t xml:space="preserve"> от 284,60 м до 309,87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4990">
              <w:r>
                <w:rPr>
                  <w:rFonts w:cs="Times New Roman" w:ascii="Times New Roman" w:hAnsi="Times New Roman"/>
                  <w:color w:themeColor="text1" w:val="000000"/>
                  <w:sz w:val="22"/>
                  <w:szCs w:val="22"/>
                </w:rPr>
                <w:t>сектор 38</w:t>
              </w:r>
            </w:hyperlink>
            <w:r>
              <w:rPr>
                <w:rFonts w:cs="Times New Roman" w:ascii="Times New Roman" w:hAnsi="Times New Roman"/>
                <w:color w:themeColor="text1" w:val="000000"/>
                <w:sz w:val="22"/>
                <w:szCs w:val="22"/>
              </w:rPr>
              <w:t xml:space="preserve"> от 273,43 м до 281,46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007">
              <w:r>
                <w:rPr>
                  <w:rFonts w:cs="Times New Roman" w:ascii="Times New Roman" w:hAnsi="Times New Roman"/>
                  <w:color w:themeColor="text1" w:val="000000"/>
                  <w:sz w:val="22"/>
                  <w:szCs w:val="22"/>
                </w:rPr>
                <w:t>сектор 39</w:t>
              </w:r>
            </w:hyperlink>
            <w:r>
              <w:rPr>
                <w:rFonts w:cs="Times New Roman" w:ascii="Times New Roman" w:hAnsi="Times New Roman"/>
                <w:color w:themeColor="text1" w:val="000000"/>
                <w:sz w:val="22"/>
                <w:szCs w:val="22"/>
              </w:rPr>
              <w:t xml:space="preserve"> от 284,60 м до 309,87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024">
              <w:r>
                <w:rPr>
                  <w:rFonts w:cs="Times New Roman" w:ascii="Times New Roman" w:hAnsi="Times New Roman"/>
                  <w:color w:themeColor="text1" w:val="000000"/>
                  <w:sz w:val="22"/>
                  <w:szCs w:val="22"/>
                </w:rPr>
                <w:t>сектор 40</w:t>
              </w:r>
            </w:hyperlink>
            <w:r>
              <w:rPr>
                <w:rFonts w:cs="Times New Roman" w:ascii="Times New Roman" w:hAnsi="Times New Roman"/>
                <w:color w:themeColor="text1" w:val="000000"/>
                <w:sz w:val="22"/>
                <w:szCs w:val="22"/>
              </w:rPr>
              <w:t xml:space="preserve"> от 309,87 м до 325,40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041">
              <w:r>
                <w:rPr>
                  <w:rFonts w:cs="Times New Roman" w:ascii="Times New Roman" w:hAnsi="Times New Roman"/>
                  <w:color w:themeColor="text1" w:val="000000"/>
                  <w:sz w:val="22"/>
                  <w:szCs w:val="22"/>
                </w:rPr>
                <w:t>сектор 41</w:t>
              </w:r>
            </w:hyperlink>
            <w:r>
              <w:rPr>
                <w:rFonts w:cs="Times New Roman" w:ascii="Times New Roman" w:hAnsi="Times New Roman"/>
                <w:color w:themeColor="text1" w:val="000000"/>
                <w:sz w:val="22"/>
                <w:szCs w:val="22"/>
              </w:rPr>
              <w:t xml:space="preserve"> от 281,46 м до 289,46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058">
              <w:r>
                <w:rPr>
                  <w:rFonts w:cs="Times New Roman" w:ascii="Times New Roman" w:hAnsi="Times New Roman"/>
                  <w:color w:themeColor="text1" w:val="000000"/>
                  <w:sz w:val="22"/>
                  <w:szCs w:val="22"/>
                </w:rPr>
                <w:t>сектор 42</w:t>
              </w:r>
            </w:hyperlink>
            <w:r>
              <w:rPr>
                <w:rFonts w:cs="Times New Roman" w:ascii="Times New Roman" w:hAnsi="Times New Roman"/>
                <w:color w:themeColor="text1" w:val="000000"/>
                <w:sz w:val="22"/>
                <w:szCs w:val="22"/>
              </w:rPr>
              <w:t xml:space="preserve"> от 309,87 м до 325,40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075">
              <w:r>
                <w:rPr>
                  <w:rFonts w:cs="Times New Roman" w:ascii="Times New Roman" w:hAnsi="Times New Roman"/>
                  <w:color w:themeColor="text1" w:val="000000"/>
                  <w:sz w:val="22"/>
                  <w:szCs w:val="22"/>
                </w:rPr>
                <w:t>сектор 43</w:t>
              </w:r>
            </w:hyperlink>
            <w:r>
              <w:rPr>
                <w:rFonts w:cs="Times New Roman" w:ascii="Times New Roman" w:hAnsi="Times New Roman"/>
                <w:color w:themeColor="text1" w:val="000000"/>
                <w:sz w:val="22"/>
                <w:szCs w:val="22"/>
              </w:rPr>
              <w:t xml:space="preserve"> от 325,40 м до 337,90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092">
              <w:r>
                <w:rPr>
                  <w:rFonts w:cs="Times New Roman" w:ascii="Times New Roman" w:hAnsi="Times New Roman"/>
                  <w:color w:themeColor="text1" w:val="000000"/>
                  <w:sz w:val="22"/>
                  <w:szCs w:val="22"/>
                </w:rPr>
                <w:t>сектор 44</w:t>
              </w:r>
            </w:hyperlink>
            <w:r>
              <w:rPr>
                <w:rFonts w:cs="Times New Roman" w:ascii="Times New Roman" w:hAnsi="Times New Roman"/>
                <w:color w:themeColor="text1" w:val="000000"/>
                <w:sz w:val="22"/>
                <w:szCs w:val="22"/>
              </w:rPr>
              <w:t xml:space="preserve"> от 289,46 м до 297,46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109">
              <w:r>
                <w:rPr>
                  <w:rFonts w:cs="Times New Roman" w:ascii="Times New Roman" w:hAnsi="Times New Roman"/>
                  <w:color w:themeColor="text1" w:val="000000"/>
                  <w:sz w:val="22"/>
                  <w:szCs w:val="22"/>
                </w:rPr>
                <w:t>сектор 45</w:t>
              </w:r>
            </w:hyperlink>
            <w:r>
              <w:rPr>
                <w:rFonts w:cs="Times New Roman" w:ascii="Times New Roman" w:hAnsi="Times New Roman"/>
                <w:color w:themeColor="text1" w:val="000000"/>
                <w:sz w:val="22"/>
                <w:szCs w:val="22"/>
              </w:rPr>
              <w:t xml:space="preserve"> от 325,40 м до 337,90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126">
              <w:r>
                <w:rPr>
                  <w:rFonts w:cs="Times New Roman" w:ascii="Times New Roman" w:hAnsi="Times New Roman"/>
                  <w:color w:themeColor="text1" w:val="000000"/>
                  <w:sz w:val="22"/>
                  <w:szCs w:val="22"/>
                </w:rPr>
                <w:t>сектор 46</w:t>
              </w:r>
            </w:hyperlink>
            <w:r>
              <w:rPr>
                <w:rFonts w:cs="Times New Roman" w:ascii="Times New Roman" w:hAnsi="Times New Roman"/>
                <w:color w:themeColor="text1" w:val="000000"/>
                <w:sz w:val="22"/>
                <w:szCs w:val="22"/>
              </w:rPr>
              <w:t xml:space="preserve"> от 337,90 м до 350,40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143">
              <w:r>
                <w:rPr>
                  <w:rFonts w:cs="Times New Roman" w:ascii="Times New Roman" w:hAnsi="Times New Roman"/>
                  <w:color w:themeColor="text1" w:val="000000"/>
                  <w:sz w:val="22"/>
                  <w:szCs w:val="22"/>
                </w:rPr>
                <w:t>сектор 47</w:t>
              </w:r>
            </w:hyperlink>
            <w:r>
              <w:rPr>
                <w:rFonts w:cs="Times New Roman" w:ascii="Times New Roman" w:hAnsi="Times New Roman"/>
                <w:color w:themeColor="text1" w:val="000000"/>
                <w:sz w:val="22"/>
                <w:szCs w:val="22"/>
              </w:rPr>
              <w:t xml:space="preserve"> от 297,46 м до 305,46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160">
              <w:r>
                <w:rPr>
                  <w:rFonts w:cs="Times New Roman" w:ascii="Times New Roman" w:hAnsi="Times New Roman"/>
                  <w:color w:themeColor="text1" w:val="000000"/>
                  <w:sz w:val="22"/>
                  <w:szCs w:val="22"/>
                </w:rPr>
                <w:t>сектор 48</w:t>
              </w:r>
            </w:hyperlink>
            <w:r>
              <w:rPr>
                <w:rFonts w:cs="Times New Roman" w:ascii="Times New Roman" w:hAnsi="Times New Roman"/>
                <w:color w:themeColor="text1" w:val="000000"/>
                <w:sz w:val="22"/>
                <w:szCs w:val="22"/>
              </w:rPr>
              <w:t xml:space="preserve"> от 337,90 м до 350,40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177">
              <w:r>
                <w:rPr>
                  <w:rFonts w:cs="Times New Roman" w:ascii="Times New Roman" w:hAnsi="Times New Roman"/>
                  <w:color w:themeColor="text1" w:val="000000"/>
                  <w:sz w:val="22"/>
                  <w:szCs w:val="22"/>
                </w:rPr>
                <w:t>сектор 49.1</w:t>
              </w:r>
            </w:hyperlink>
            <w:r>
              <w:rPr>
                <w:rFonts w:cs="Times New Roman" w:ascii="Times New Roman" w:hAnsi="Times New Roman"/>
                <w:color w:themeColor="text1" w:val="000000"/>
                <w:sz w:val="22"/>
                <w:szCs w:val="22"/>
              </w:rPr>
              <w:t xml:space="preserve"> от 350,40 м до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194">
              <w:r>
                <w:rPr>
                  <w:rFonts w:cs="Times New Roman" w:ascii="Times New Roman" w:hAnsi="Times New Roman"/>
                  <w:color w:themeColor="text1" w:val="000000"/>
                  <w:sz w:val="22"/>
                  <w:szCs w:val="22"/>
                </w:rPr>
                <w:t>сектор 49.2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211">
              <w:r>
                <w:rPr>
                  <w:rFonts w:cs="Times New Roman" w:ascii="Times New Roman" w:hAnsi="Times New Roman"/>
                  <w:color w:themeColor="text1" w:val="000000"/>
                  <w:sz w:val="22"/>
                  <w:szCs w:val="22"/>
                </w:rPr>
                <w:t>сектор 50.1</w:t>
              </w:r>
            </w:hyperlink>
            <w:r>
              <w:rPr>
                <w:rFonts w:cs="Times New Roman" w:ascii="Times New Roman" w:hAnsi="Times New Roman"/>
                <w:color w:themeColor="text1" w:val="000000"/>
                <w:sz w:val="22"/>
                <w:szCs w:val="22"/>
              </w:rPr>
              <w:t xml:space="preserve"> от 305,46 м до 307,06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228">
              <w:r>
                <w:rPr>
                  <w:rFonts w:cs="Times New Roman" w:ascii="Times New Roman" w:hAnsi="Times New Roman"/>
                  <w:color w:themeColor="text1" w:val="000000"/>
                  <w:sz w:val="22"/>
                  <w:szCs w:val="22"/>
                </w:rPr>
                <w:t>сектор 50.2</w:t>
              </w:r>
            </w:hyperlink>
            <w:r>
              <w:rPr>
                <w:rFonts w:cs="Times New Roman" w:ascii="Times New Roman" w:hAnsi="Times New Roman"/>
                <w:color w:themeColor="text1" w:val="000000"/>
                <w:sz w:val="22"/>
                <w:szCs w:val="22"/>
              </w:rPr>
              <w:t xml:space="preserve"> от 307,06 м до 313,46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245">
              <w:r>
                <w:rPr>
                  <w:rFonts w:cs="Times New Roman" w:ascii="Times New Roman" w:hAnsi="Times New Roman"/>
                  <w:color w:themeColor="text1" w:val="000000"/>
                  <w:sz w:val="22"/>
                  <w:szCs w:val="22"/>
                </w:rPr>
                <w:t>сектор 51.1</w:t>
              </w:r>
            </w:hyperlink>
            <w:r>
              <w:rPr>
                <w:rFonts w:cs="Times New Roman" w:ascii="Times New Roman" w:hAnsi="Times New Roman"/>
                <w:color w:themeColor="text1" w:val="000000"/>
                <w:sz w:val="22"/>
                <w:szCs w:val="22"/>
              </w:rPr>
              <w:t xml:space="preserve"> от 350,40 м до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262">
              <w:r>
                <w:rPr>
                  <w:rFonts w:cs="Times New Roman" w:ascii="Times New Roman" w:hAnsi="Times New Roman"/>
                  <w:color w:themeColor="text1" w:val="000000"/>
                  <w:sz w:val="22"/>
                  <w:szCs w:val="22"/>
                </w:rPr>
                <w:t>сектор 51.2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279">
              <w:r>
                <w:rPr>
                  <w:rFonts w:cs="Times New Roman" w:ascii="Times New Roman" w:hAnsi="Times New Roman"/>
                  <w:color w:themeColor="text1" w:val="000000"/>
                  <w:sz w:val="22"/>
                  <w:szCs w:val="22"/>
                </w:rPr>
                <w:t>сектор 52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299">
              <w:r>
                <w:rPr>
                  <w:rFonts w:cs="Times New Roman" w:ascii="Times New Roman" w:hAnsi="Times New Roman"/>
                  <w:color w:themeColor="text1" w:val="000000"/>
                  <w:sz w:val="22"/>
                  <w:szCs w:val="22"/>
                </w:rPr>
                <w:t>сектор 53</w:t>
              </w:r>
            </w:hyperlink>
            <w:r>
              <w:rPr>
                <w:rFonts w:cs="Times New Roman" w:ascii="Times New Roman" w:hAnsi="Times New Roman"/>
                <w:color w:themeColor="text1" w:val="000000"/>
                <w:sz w:val="22"/>
                <w:szCs w:val="22"/>
              </w:rPr>
              <w:t xml:space="preserve"> от 313,46 м до 321,46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322">
              <w:r>
                <w:rPr>
                  <w:rFonts w:cs="Times New Roman" w:ascii="Times New Roman" w:hAnsi="Times New Roman"/>
                  <w:color w:themeColor="text1" w:val="000000"/>
                  <w:sz w:val="22"/>
                  <w:szCs w:val="22"/>
                </w:rPr>
                <w:t>сектор 54</w:t>
              </w:r>
            </w:hyperlink>
            <w:r>
              <w:rPr>
                <w:rFonts w:cs="Times New Roman" w:ascii="Times New Roman" w:hAnsi="Times New Roman"/>
                <w:color w:themeColor="text1" w:val="000000"/>
                <w:sz w:val="22"/>
                <w:szCs w:val="22"/>
              </w:rPr>
              <w:t xml:space="preserve"> 352,90 м;</w:t>
            </w:r>
          </w:p>
        </w:tc>
        <w:tc>
          <w:tcPr>
            <w:tcW w:w="4250" w:type="dxa"/>
            <w:vMerge w:val="restart"/>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342">
              <w:r>
                <w:rPr>
                  <w:rFonts w:cs="Times New Roman" w:ascii="Times New Roman" w:hAnsi="Times New Roman"/>
                  <w:color w:themeColor="text1" w:val="000000"/>
                  <w:sz w:val="22"/>
                  <w:szCs w:val="22"/>
                </w:rPr>
                <w:t>сектор 55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359">
              <w:r>
                <w:rPr>
                  <w:rFonts w:cs="Times New Roman" w:ascii="Times New Roman" w:hAnsi="Times New Roman"/>
                  <w:color w:themeColor="text1" w:val="000000"/>
                  <w:sz w:val="22"/>
                  <w:szCs w:val="22"/>
                </w:rPr>
                <w:t>сектор 56</w:t>
              </w:r>
            </w:hyperlink>
            <w:r>
              <w:rPr>
                <w:rFonts w:cs="Times New Roman" w:ascii="Times New Roman" w:hAnsi="Times New Roman"/>
                <w:color w:themeColor="text1" w:val="000000"/>
                <w:sz w:val="22"/>
                <w:szCs w:val="22"/>
              </w:rPr>
              <w:t xml:space="preserve"> от 321,46 м до 329,46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376">
              <w:r>
                <w:rPr>
                  <w:rFonts w:cs="Times New Roman" w:ascii="Times New Roman" w:hAnsi="Times New Roman"/>
                  <w:color w:themeColor="text1" w:val="000000"/>
                  <w:sz w:val="22"/>
                  <w:szCs w:val="22"/>
                </w:rPr>
                <w:t>сектор 57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393">
              <w:r>
                <w:rPr>
                  <w:rFonts w:cs="Times New Roman" w:ascii="Times New Roman" w:hAnsi="Times New Roman"/>
                  <w:color w:themeColor="text1" w:val="000000"/>
                  <w:sz w:val="22"/>
                  <w:szCs w:val="22"/>
                </w:rPr>
                <w:t>сектор 58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410">
              <w:r>
                <w:rPr>
                  <w:rFonts w:cs="Times New Roman" w:ascii="Times New Roman" w:hAnsi="Times New Roman"/>
                  <w:color w:themeColor="text1" w:val="000000"/>
                  <w:sz w:val="22"/>
                  <w:szCs w:val="22"/>
                </w:rPr>
                <w:t>сектор 59</w:t>
              </w:r>
            </w:hyperlink>
            <w:r>
              <w:rPr>
                <w:rFonts w:cs="Times New Roman" w:ascii="Times New Roman" w:hAnsi="Times New Roman"/>
                <w:color w:themeColor="text1" w:val="000000"/>
                <w:sz w:val="22"/>
                <w:szCs w:val="22"/>
              </w:rPr>
              <w:t xml:space="preserve"> от 329,46 м до 337,46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427">
              <w:r>
                <w:rPr>
                  <w:rFonts w:cs="Times New Roman" w:ascii="Times New Roman" w:hAnsi="Times New Roman"/>
                  <w:color w:themeColor="text1" w:val="000000"/>
                  <w:sz w:val="22"/>
                  <w:szCs w:val="22"/>
                </w:rPr>
                <w:t>сектор 60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444">
              <w:r>
                <w:rPr>
                  <w:rFonts w:cs="Times New Roman" w:ascii="Times New Roman" w:hAnsi="Times New Roman"/>
                  <w:color w:themeColor="text1" w:val="000000"/>
                  <w:sz w:val="22"/>
                  <w:szCs w:val="22"/>
                </w:rPr>
                <w:t>сектор 61</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461">
              <w:r>
                <w:rPr>
                  <w:rFonts w:cs="Times New Roman" w:ascii="Times New Roman" w:hAnsi="Times New Roman"/>
                  <w:color w:themeColor="text1" w:val="000000"/>
                  <w:sz w:val="22"/>
                  <w:szCs w:val="22"/>
                </w:rPr>
                <w:t>сектор 62</w:t>
              </w:r>
            </w:hyperlink>
            <w:r>
              <w:rPr>
                <w:rFonts w:cs="Times New Roman" w:ascii="Times New Roman" w:hAnsi="Times New Roman"/>
                <w:color w:themeColor="text1" w:val="000000"/>
                <w:sz w:val="22"/>
                <w:szCs w:val="22"/>
              </w:rPr>
              <w:t xml:space="preserve"> от 337,46 м до 345,46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478">
              <w:r>
                <w:rPr>
                  <w:rFonts w:cs="Times New Roman" w:ascii="Times New Roman" w:hAnsi="Times New Roman"/>
                  <w:color w:themeColor="text1" w:val="000000"/>
                  <w:sz w:val="22"/>
                  <w:szCs w:val="22"/>
                </w:rPr>
                <w:t>сектор 63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495">
              <w:r>
                <w:rPr>
                  <w:rFonts w:cs="Times New Roman" w:ascii="Times New Roman" w:hAnsi="Times New Roman"/>
                  <w:color w:themeColor="text1" w:val="000000"/>
                  <w:sz w:val="22"/>
                  <w:szCs w:val="22"/>
                </w:rPr>
                <w:t>сектор 64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512">
              <w:r>
                <w:rPr>
                  <w:rFonts w:cs="Times New Roman" w:ascii="Times New Roman" w:hAnsi="Times New Roman"/>
                  <w:color w:themeColor="text1" w:val="000000"/>
                  <w:sz w:val="22"/>
                  <w:szCs w:val="22"/>
                </w:rPr>
                <w:t>сектор 65</w:t>
              </w:r>
            </w:hyperlink>
            <w:r>
              <w:rPr>
                <w:rFonts w:cs="Times New Roman" w:ascii="Times New Roman" w:hAnsi="Times New Roman"/>
                <w:color w:themeColor="text1" w:val="000000"/>
                <w:sz w:val="22"/>
                <w:szCs w:val="22"/>
              </w:rPr>
              <w:t xml:space="preserve"> от 345,46 м до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529">
              <w:r>
                <w:rPr>
                  <w:rFonts w:cs="Times New Roman" w:ascii="Times New Roman" w:hAnsi="Times New Roman"/>
                  <w:color w:themeColor="text1" w:val="000000"/>
                  <w:sz w:val="22"/>
                  <w:szCs w:val="22"/>
                </w:rPr>
                <w:t>сектор 66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546">
              <w:r>
                <w:rPr>
                  <w:rFonts w:cs="Times New Roman" w:ascii="Times New Roman" w:hAnsi="Times New Roman"/>
                  <w:color w:themeColor="text1" w:val="000000"/>
                  <w:sz w:val="22"/>
                  <w:szCs w:val="22"/>
                </w:rPr>
                <w:t>сектор 67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563">
              <w:r>
                <w:rPr>
                  <w:rFonts w:cs="Times New Roman" w:ascii="Times New Roman" w:hAnsi="Times New Roman"/>
                  <w:color w:themeColor="text1" w:val="000000"/>
                  <w:sz w:val="22"/>
                  <w:szCs w:val="22"/>
                </w:rPr>
                <w:t>сектор 68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580">
              <w:r>
                <w:rPr>
                  <w:rFonts w:cs="Times New Roman" w:ascii="Times New Roman" w:hAnsi="Times New Roman"/>
                  <w:color w:themeColor="text1" w:val="000000"/>
                  <w:sz w:val="22"/>
                  <w:szCs w:val="22"/>
                </w:rPr>
                <w:t>сектор 69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597">
              <w:r>
                <w:rPr>
                  <w:rFonts w:cs="Times New Roman" w:ascii="Times New Roman" w:hAnsi="Times New Roman"/>
                  <w:color w:themeColor="text1" w:val="000000"/>
                  <w:sz w:val="22"/>
                  <w:szCs w:val="22"/>
                </w:rPr>
                <w:t>сектор 70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614">
              <w:r>
                <w:rPr>
                  <w:rFonts w:cs="Times New Roman" w:ascii="Times New Roman" w:hAnsi="Times New Roman"/>
                  <w:color w:themeColor="text1" w:val="000000"/>
                  <w:sz w:val="22"/>
                  <w:szCs w:val="22"/>
                </w:rPr>
                <w:t>сектор 71</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631">
              <w:r>
                <w:rPr>
                  <w:rFonts w:cs="Times New Roman" w:ascii="Times New Roman" w:hAnsi="Times New Roman"/>
                  <w:color w:themeColor="text1" w:val="000000"/>
                  <w:sz w:val="22"/>
                  <w:szCs w:val="22"/>
                </w:rPr>
                <w:t>сектор 72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648">
              <w:r>
                <w:rPr>
                  <w:rFonts w:cs="Times New Roman" w:ascii="Times New Roman" w:hAnsi="Times New Roman"/>
                  <w:color w:themeColor="text1" w:val="000000"/>
                  <w:sz w:val="22"/>
                  <w:szCs w:val="22"/>
                </w:rPr>
                <w:t>сектор 73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665">
              <w:r>
                <w:rPr>
                  <w:rFonts w:cs="Times New Roman" w:ascii="Times New Roman" w:hAnsi="Times New Roman"/>
                  <w:color w:themeColor="text1" w:val="000000"/>
                  <w:sz w:val="22"/>
                  <w:szCs w:val="22"/>
                </w:rPr>
                <w:t>сектор 74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682">
              <w:r>
                <w:rPr>
                  <w:rFonts w:cs="Times New Roman" w:ascii="Times New Roman" w:hAnsi="Times New Roman"/>
                  <w:color w:themeColor="text1" w:val="000000"/>
                  <w:sz w:val="22"/>
                  <w:szCs w:val="22"/>
                </w:rPr>
                <w:t>сектор 75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699">
              <w:r>
                <w:rPr>
                  <w:rFonts w:cs="Times New Roman" w:ascii="Times New Roman" w:hAnsi="Times New Roman"/>
                  <w:color w:themeColor="text1" w:val="000000"/>
                  <w:sz w:val="22"/>
                  <w:szCs w:val="22"/>
                </w:rPr>
                <w:t>сектор 76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716">
              <w:r>
                <w:rPr>
                  <w:rFonts w:cs="Times New Roman" w:ascii="Times New Roman" w:hAnsi="Times New Roman"/>
                  <w:color w:themeColor="text1" w:val="000000"/>
                  <w:sz w:val="22"/>
                  <w:szCs w:val="22"/>
                </w:rPr>
                <w:t>сектор 77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733">
              <w:r>
                <w:rPr>
                  <w:rFonts w:cs="Times New Roman" w:ascii="Times New Roman" w:hAnsi="Times New Roman"/>
                  <w:color w:themeColor="text1" w:val="000000"/>
                  <w:sz w:val="22"/>
                  <w:szCs w:val="22"/>
                </w:rPr>
                <w:t>сектор 78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750">
              <w:r>
                <w:rPr>
                  <w:rFonts w:cs="Times New Roman" w:ascii="Times New Roman" w:hAnsi="Times New Roman"/>
                  <w:color w:themeColor="text1" w:val="000000"/>
                  <w:sz w:val="22"/>
                  <w:szCs w:val="22"/>
                </w:rPr>
                <w:t>сектор 79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767">
              <w:r>
                <w:rPr>
                  <w:rFonts w:cs="Times New Roman" w:ascii="Times New Roman" w:hAnsi="Times New Roman"/>
                  <w:color w:themeColor="text1" w:val="000000"/>
                  <w:sz w:val="22"/>
                  <w:szCs w:val="22"/>
                </w:rPr>
                <w:t>сектор 80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784">
              <w:r>
                <w:rPr>
                  <w:rFonts w:cs="Times New Roman" w:ascii="Times New Roman" w:hAnsi="Times New Roman"/>
                  <w:color w:themeColor="text1" w:val="000000"/>
                  <w:sz w:val="22"/>
                  <w:szCs w:val="22"/>
                </w:rPr>
                <w:t>сектор 81</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801">
              <w:r>
                <w:rPr>
                  <w:rFonts w:cs="Times New Roman" w:ascii="Times New Roman" w:hAnsi="Times New Roman"/>
                  <w:color w:themeColor="text1" w:val="000000"/>
                  <w:sz w:val="22"/>
                  <w:szCs w:val="22"/>
                </w:rPr>
                <w:t>сектор 82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818">
              <w:r>
                <w:rPr>
                  <w:rFonts w:cs="Times New Roman" w:ascii="Times New Roman" w:hAnsi="Times New Roman"/>
                  <w:color w:themeColor="text1" w:val="000000"/>
                  <w:sz w:val="22"/>
                  <w:szCs w:val="22"/>
                </w:rPr>
                <w:t>сектор 83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835">
              <w:r>
                <w:rPr>
                  <w:rFonts w:cs="Times New Roman" w:ascii="Times New Roman" w:hAnsi="Times New Roman"/>
                  <w:color w:themeColor="text1" w:val="000000"/>
                  <w:sz w:val="22"/>
                  <w:szCs w:val="22"/>
                </w:rPr>
                <w:t>сектор 84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852">
              <w:r>
                <w:rPr>
                  <w:rFonts w:cs="Times New Roman" w:ascii="Times New Roman" w:hAnsi="Times New Roman"/>
                  <w:color w:themeColor="text1" w:val="000000"/>
                  <w:sz w:val="22"/>
                  <w:szCs w:val="22"/>
                </w:rPr>
                <w:t>сектор 85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869">
              <w:r>
                <w:rPr>
                  <w:rFonts w:cs="Times New Roman" w:ascii="Times New Roman" w:hAnsi="Times New Roman"/>
                  <w:color w:themeColor="text1" w:val="000000"/>
                  <w:sz w:val="22"/>
                  <w:szCs w:val="22"/>
                </w:rPr>
                <w:t>сектор 86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886">
              <w:r>
                <w:rPr>
                  <w:rFonts w:cs="Times New Roman" w:ascii="Times New Roman" w:hAnsi="Times New Roman"/>
                  <w:color w:themeColor="text1" w:val="000000"/>
                  <w:sz w:val="22"/>
                  <w:szCs w:val="22"/>
                </w:rPr>
                <w:t>сектор 87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903">
              <w:r>
                <w:rPr>
                  <w:rFonts w:cs="Times New Roman" w:ascii="Times New Roman" w:hAnsi="Times New Roman"/>
                  <w:color w:themeColor="text1" w:val="000000"/>
                  <w:sz w:val="22"/>
                  <w:szCs w:val="22"/>
                </w:rPr>
                <w:t>сектор 88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920">
              <w:r>
                <w:rPr>
                  <w:rFonts w:cs="Times New Roman" w:ascii="Times New Roman" w:hAnsi="Times New Roman"/>
                  <w:color w:themeColor="text1" w:val="000000"/>
                  <w:sz w:val="22"/>
                  <w:szCs w:val="22"/>
                </w:rPr>
                <w:t>сектор 89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937">
              <w:r>
                <w:rPr>
                  <w:rFonts w:cs="Times New Roman" w:ascii="Times New Roman" w:hAnsi="Times New Roman"/>
                  <w:color w:themeColor="text1" w:val="000000"/>
                  <w:sz w:val="22"/>
                  <w:szCs w:val="22"/>
                </w:rPr>
                <w:t>сектор 90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954">
              <w:r>
                <w:rPr>
                  <w:rFonts w:cs="Times New Roman" w:ascii="Times New Roman" w:hAnsi="Times New Roman"/>
                  <w:color w:themeColor="text1" w:val="000000"/>
                  <w:sz w:val="22"/>
                  <w:szCs w:val="22"/>
                </w:rPr>
                <w:t>сектор 91</w:t>
              </w:r>
            </w:hyperlink>
            <w:r>
              <w:rPr>
                <w:rFonts w:cs="Times New Roman" w:ascii="Times New Roman" w:hAnsi="Times New Roman"/>
                <w:color w:themeColor="text1" w:val="000000"/>
                <w:sz w:val="22"/>
                <w:szCs w:val="22"/>
              </w:rPr>
              <w:t xml:space="preserve"> 352,90 м;</w:t>
            </w:r>
          </w:p>
        </w:tc>
        <w:tc>
          <w:tcPr>
            <w:tcW w:w="4250" w:type="dxa"/>
            <w:vMerge w:val="restart"/>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971">
              <w:r>
                <w:rPr>
                  <w:rFonts w:cs="Times New Roman" w:ascii="Times New Roman" w:hAnsi="Times New Roman"/>
                  <w:color w:themeColor="text1" w:val="000000"/>
                  <w:sz w:val="22"/>
                  <w:szCs w:val="22"/>
                </w:rPr>
                <w:t>сектор 92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5988">
              <w:r>
                <w:rPr>
                  <w:rFonts w:cs="Times New Roman" w:ascii="Times New Roman" w:hAnsi="Times New Roman"/>
                  <w:color w:themeColor="text1" w:val="000000"/>
                  <w:sz w:val="22"/>
                  <w:szCs w:val="22"/>
                </w:rPr>
                <w:t>сектор 93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005">
              <w:r>
                <w:rPr>
                  <w:rFonts w:cs="Times New Roman" w:ascii="Times New Roman" w:hAnsi="Times New Roman"/>
                  <w:color w:themeColor="text1" w:val="000000"/>
                  <w:sz w:val="22"/>
                  <w:szCs w:val="22"/>
                </w:rPr>
                <w:t>сектор 94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022">
              <w:r>
                <w:rPr>
                  <w:rFonts w:cs="Times New Roman" w:ascii="Times New Roman" w:hAnsi="Times New Roman"/>
                  <w:color w:themeColor="text1" w:val="000000"/>
                  <w:sz w:val="22"/>
                  <w:szCs w:val="22"/>
                </w:rPr>
                <w:t>сектор 95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039">
              <w:r>
                <w:rPr>
                  <w:rFonts w:cs="Times New Roman" w:ascii="Times New Roman" w:hAnsi="Times New Roman"/>
                  <w:color w:themeColor="text1" w:val="000000"/>
                  <w:sz w:val="22"/>
                  <w:szCs w:val="22"/>
                </w:rPr>
                <w:t>сектор 96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056">
              <w:r>
                <w:rPr>
                  <w:rFonts w:cs="Times New Roman" w:ascii="Times New Roman" w:hAnsi="Times New Roman"/>
                  <w:color w:themeColor="text1" w:val="000000"/>
                  <w:sz w:val="22"/>
                  <w:szCs w:val="22"/>
                </w:rPr>
                <w:t>сектор 97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073">
              <w:r>
                <w:rPr>
                  <w:rFonts w:cs="Times New Roman" w:ascii="Times New Roman" w:hAnsi="Times New Roman"/>
                  <w:color w:themeColor="text1" w:val="000000"/>
                  <w:sz w:val="22"/>
                  <w:szCs w:val="22"/>
                </w:rPr>
                <w:t>сектор 98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090">
              <w:r>
                <w:rPr>
                  <w:rFonts w:cs="Times New Roman" w:ascii="Times New Roman" w:hAnsi="Times New Roman"/>
                  <w:color w:themeColor="text1" w:val="000000"/>
                  <w:sz w:val="22"/>
                  <w:szCs w:val="22"/>
                </w:rPr>
                <w:t>сектор 99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107">
              <w:r>
                <w:rPr>
                  <w:rFonts w:cs="Times New Roman" w:ascii="Times New Roman" w:hAnsi="Times New Roman"/>
                  <w:color w:themeColor="text1" w:val="000000"/>
                  <w:sz w:val="22"/>
                  <w:szCs w:val="22"/>
                </w:rPr>
                <w:t>сектор 100</w:t>
              </w:r>
            </w:hyperlink>
            <w:r>
              <w:rPr>
                <w:rFonts w:cs="Times New Roman" w:ascii="Times New Roman" w:hAnsi="Times New Roman"/>
                <w:color w:themeColor="text1" w:val="000000"/>
                <w:sz w:val="22"/>
                <w:szCs w:val="22"/>
              </w:rPr>
              <w:t xml:space="preserve"> от 352,90 м до 442,90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Зона 8. Наклонные поверхности ограничения препятствий с курса 31:</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125">
              <w:r>
                <w:rPr>
                  <w:rFonts w:cs="Times New Roman" w:ascii="Times New Roman" w:hAnsi="Times New Roman"/>
                  <w:color w:themeColor="text1" w:val="000000"/>
                  <w:sz w:val="22"/>
                  <w:szCs w:val="22"/>
                </w:rPr>
                <w:t>сектор 1.1</w:t>
              </w:r>
            </w:hyperlink>
            <w:r>
              <w:rPr>
                <w:rFonts w:cs="Times New Roman" w:ascii="Times New Roman" w:hAnsi="Times New Roman"/>
                <w:color w:themeColor="text1" w:val="000000"/>
                <w:sz w:val="22"/>
                <w:szCs w:val="22"/>
              </w:rPr>
              <w:t xml:space="preserve"> от 187,08 м до 185,89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148">
              <w:r>
                <w:rPr>
                  <w:rFonts w:cs="Times New Roman" w:ascii="Times New Roman" w:hAnsi="Times New Roman"/>
                  <w:color w:themeColor="text1" w:val="000000"/>
                  <w:sz w:val="22"/>
                  <w:szCs w:val="22"/>
                </w:rPr>
                <w:t>сектор 1.2</w:t>
              </w:r>
            </w:hyperlink>
            <w:r>
              <w:rPr>
                <w:rFonts w:cs="Times New Roman" w:ascii="Times New Roman" w:hAnsi="Times New Roman"/>
                <w:color w:themeColor="text1" w:val="000000"/>
                <w:sz w:val="22"/>
                <w:szCs w:val="22"/>
              </w:rPr>
              <w:t xml:space="preserve"> от 185,89 м до 197,40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165">
              <w:r>
                <w:rPr>
                  <w:rFonts w:cs="Times New Roman" w:ascii="Times New Roman" w:hAnsi="Times New Roman"/>
                  <w:color w:themeColor="text1" w:val="000000"/>
                  <w:sz w:val="22"/>
                  <w:szCs w:val="22"/>
                </w:rPr>
                <w:t>сектор 2</w:t>
              </w:r>
            </w:hyperlink>
            <w:r>
              <w:rPr>
                <w:rFonts w:cs="Times New Roman" w:ascii="Times New Roman" w:hAnsi="Times New Roman"/>
                <w:color w:themeColor="text1" w:val="000000"/>
                <w:sz w:val="22"/>
                <w:szCs w:val="22"/>
              </w:rPr>
              <w:t xml:space="preserve"> от 187,40 м до 197,40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206">
              <w:r>
                <w:rPr>
                  <w:rFonts w:cs="Times New Roman" w:ascii="Times New Roman" w:hAnsi="Times New Roman"/>
                  <w:color w:themeColor="text1" w:val="000000"/>
                  <w:sz w:val="22"/>
                  <w:szCs w:val="22"/>
                </w:rPr>
                <w:t>сектор 3</w:t>
              </w:r>
            </w:hyperlink>
            <w:r>
              <w:rPr>
                <w:rFonts w:cs="Times New Roman" w:ascii="Times New Roman" w:hAnsi="Times New Roman"/>
                <w:color w:themeColor="text1" w:val="000000"/>
                <w:sz w:val="22"/>
                <w:szCs w:val="22"/>
              </w:rPr>
              <w:t xml:space="preserve"> от 187,40 м до 193,96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223">
              <w:r>
                <w:rPr>
                  <w:rFonts w:cs="Times New Roman" w:ascii="Times New Roman" w:hAnsi="Times New Roman"/>
                  <w:color w:themeColor="text1" w:val="000000"/>
                  <w:sz w:val="22"/>
                  <w:szCs w:val="22"/>
                </w:rPr>
                <w:t>сектор 4.1</w:t>
              </w:r>
            </w:hyperlink>
            <w:r>
              <w:rPr>
                <w:rFonts w:cs="Times New Roman" w:ascii="Times New Roman" w:hAnsi="Times New Roman"/>
                <w:color w:themeColor="text1" w:val="000000"/>
                <w:sz w:val="22"/>
                <w:szCs w:val="22"/>
              </w:rPr>
              <w:t xml:space="preserve"> от 187,08 м до 185,89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246">
              <w:r>
                <w:rPr>
                  <w:rFonts w:cs="Times New Roman" w:ascii="Times New Roman" w:hAnsi="Times New Roman"/>
                  <w:color w:themeColor="text1" w:val="000000"/>
                  <w:sz w:val="22"/>
                  <w:szCs w:val="22"/>
                </w:rPr>
                <w:t>сектор 4.2</w:t>
              </w:r>
            </w:hyperlink>
            <w:r>
              <w:rPr>
                <w:rFonts w:cs="Times New Roman" w:ascii="Times New Roman" w:hAnsi="Times New Roman"/>
                <w:color w:themeColor="text1" w:val="000000"/>
                <w:sz w:val="22"/>
                <w:szCs w:val="22"/>
              </w:rPr>
              <w:t xml:space="preserve"> от 185,89 м до 197,40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269">
              <w:r>
                <w:rPr>
                  <w:rFonts w:cs="Times New Roman" w:ascii="Times New Roman" w:hAnsi="Times New Roman"/>
                  <w:color w:themeColor="text1" w:val="000000"/>
                  <w:sz w:val="22"/>
                  <w:szCs w:val="22"/>
                </w:rPr>
                <w:t>сектор 5</w:t>
              </w:r>
            </w:hyperlink>
            <w:r>
              <w:rPr>
                <w:rFonts w:cs="Times New Roman" w:ascii="Times New Roman" w:hAnsi="Times New Roman"/>
                <w:color w:themeColor="text1" w:val="000000"/>
                <w:sz w:val="22"/>
                <w:szCs w:val="22"/>
              </w:rPr>
              <w:t xml:space="preserve"> от 197,40 м до 207,40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286">
              <w:r>
                <w:rPr>
                  <w:rFonts w:cs="Times New Roman" w:ascii="Times New Roman" w:hAnsi="Times New Roman"/>
                  <w:color w:themeColor="text1" w:val="000000"/>
                  <w:sz w:val="22"/>
                  <w:szCs w:val="22"/>
                </w:rPr>
                <w:t>сектор 6</w:t>
              </w:r>
            </w:hyperlink>
            <w:r>
              <w:rPr>
                <w:rFonts w:cs="Times New Roman" w:ascii="Times New Roman" w:hAnsi="Times New Roman"/>
                <w:color w:themeColor="text1" w:val="000000"/>
                <w:sz w:val="22"/>
                <w:szCs w:val="22"/>
              </w:rPr>
              <w:t xml:space="preserve"> от 197,40 м до 207,40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303">
              <w:r>
                <w:rPr>
                  <w:rFonts w:cs="Times New Roman" w:ascii="Times New Roman" w:hAnsi="Times New Roman"/>
                  <w:color w:themeColor="text1" w:val="000000"/>
                  <w:sz w:val="22"/>
                  <w:szCs w:val="22"/>
                </w:rPr>
                <w:t>сектор 7</w:t>
              </w:r>
            </w:hyperlink>
            <w:r>
              <w:rPr>
                <w:rFonts w:cs="Times New Roman" w:ascii="Times New Roman" w:hAnsi="Times New Roman"/>
                <w:color w:themeColor="text1" w:val="000000"/>
                <w:sz w:val="22"/>
                <w:szCs w:val="22"/>
              </w:rPr>
              <w:t xml:space="preserve"> от 193,63 м до 201,96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320">
              <w:r>
                <w:rPr>
                  <w:rFonts w:cs="Times New Roman" w:ascii="Times New Roman" w:hAnsi="Times New Roman"/>
                  <w:color w:themeColor="text1" w:val="000000"/>
                  <w:sz w:val="22"/>
                  <w:szCs w:val="22"/>
                </w:rPr>
                <w:t>сектор 8</w:t>
              </w:r>
            </w:hyperlink>
            <w:r>
              <w:rPr>
                <w:rFonts w:cs="Times New Roman" w:ascii="Times New Roman" w:hAnsi="Times New Roman"/>
                <w:color w:themeColor="text1" w:val="000000"/>
                <w:sz w:val="22"/>
                <w:szCs w:val="22"/>
              </w:rPr>
              <w:t xml:space="preserve"> от 197,40 м до 207,40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337">
              <w:r>
                <w:rPr>
                  <w:rFonts w:cs="Times New Roman" w:ascii="Times New Roman" w:hAnsi="Times New Roman"/>
                  <w:color w:themeColor="text1" w:val="000000"/>
                  <w:sz w:val="22"/>
                  <w:szCs w:val="22"/>
                </w:rPr>
                <w:t>сектор 9</w:t>
              </w:r>
            </w:hyperlink>
            <w:r>
              <w:rPr>
                <w:rFonts w:cs="Times New Roman" w:ascii="Times New Roman" w:hAnsi="Times New Roman"/>
                <w:color w:themeColor="text1" w:val="000000"/>
                <w:sz w:val="22"/>
                <w:szCs w:val="22"/>
              </w:rPr>
              <w:t xml:space="preserve"> от 197,40 м до 207,40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rHeight w:val="227" w:hRule="atLeast"/>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354">
              <w:r>
                <w:rPr>
                  <w:rFonts w:cs="Times New Roman" w:ascii="Times New Roman" w:hAnsi="Times New Roman"/>
                  <w:color w:themeColor="text1" w:val="000000"/>
                  <w:sz w:val="22"/>
                  <w:szCs w:val="22"/>
                </w:rPr>
                <w:t>сектор 10</w:t>
              </w:r>
            </w:hyperlink>
            <w:r>
              <w:rPr>
                <w:rFonts w:cs="Times New Roman" w:ascii="Times New Roman" w:hAnsi="Times New Roman"/>
                <w:color w:themeColor="text1" w:val="000000"/>
                <w:sz w:val="22"/>
                <w:szCs w:val="22"/>
              </w:rPr>
              <w:t xml:space="preserve"> от 207,40 м до 217,40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371">
              <w:r>
                <w:rPr>
                  <w:rFonts w:cs="Times New Roman" w:ascii="Times New Roman" w:hAnsi="Times New Roman"/>
                  <w:color w:themeColor="text1" w:val="000000"/>
                  <w:sz w:val="22"/>
                  <w:szCs w:val="22"/>
                </w:rPr>
                <w:t>сектор 11</w:t>
              </w:r>
            </w:hyperlink>
            <w:r>
              <w:rPr>
                <w:rFonts w:cs="Times New Roman" w:ascii="Times New Roman" w:hAnsi="Times New Roman"/>
                <w:color w:themeColor="text1" w:val="000000"/>
                <w:sz w:val="22"/>
                <w:szCs w:val="22"/>
              </w:rPr>
              <w:t xml:space="preserve"> от 207,40 м до 217,40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388">
              <w:r>
                <w:rPr>
                  <w:rFonts w:cs="Times New Roman" w:ascii="Times New Roman" w:hAnsi="Times New Roman"/>
                  <w:color w:themeColor="text1" w:val="000000"/>
                  <w:sz w:val="22"/>
                  <w:szCs w:val="22"/>
                </w:rPr>
                <w:t>сектор 12</w:t>
              </w:r>
            </w:hyperlink>
            <w:r>
              <w:rPr>
                <w:rFonts w:cs="Times New Roman" w:ascii="Times New Roman" w:hAnsi="Times New Roman"/>
                <w:color w:themeColor="text1" w:val="000000"/>
                <w:sz w:val="22"/>
                <w:szCs w:val="22"/>
              </w:rPr>
              <w:t xml:space="preserve"> от 201,96 м до 209,96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405">
              <w:r>
                <w:rPr>
                  <w:rFonts w:cs="Times New Roman" w:ascii="Times New Roman" w:hAnsi="Times New Roman"/>
                  <w:color w:themeColor="text1" w:val="000000"/>
                  <w:sz w:val="22"/>
                  <w:szCs w:val="22"/>
                </w:rPr>
                <w:t>сектор 13</w:t>
              </w:r>
            </w:hyperlink>
            <w:r>
              <w:rPr>
                <w:rFonts w:cs="Times New Roman" w:ascii="Times New Roman" w:hAnsi="Times New Roman"/>
                <w:color w:themeColor="text1" w:val="000000"/>
                <w:sz w:val="22"/>
                <w:szCs w:val="22"/>
              </w:rPr>
              <w:t xml:space="preserve"> от 207,40 м до 217,40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422">
              <w:r>
                <w:rPr>
                  <w:rFonts w:cs="Times New Roman" w:ascii="Times New Roman" w:hAnsi="Times New Roman"/>
                  <w:color w:themeColor="text1" w:val="000000"/>
                  <w:sz w:val="22"/>
                  <w:szCs w:val="22"/>
                </w:rPr>
                <w:t>сектор 14</w:t>
              </w:r>
            </w:hyperlink>
            <w:r>
              <w:rPr>
                <w:rFonts w:cs="Times New Roman" w:ascii="Times New Roman" w:hAnsi="Times New Roman"/>
                <w:color w:themeColor="text1" w:val="000000"/>
                <w:sz w:val="22"/>
                <w:szCs w:val="22"/>
              </w:rPr>
              <w:t xml:space="preserve"> от 207,40 м до 217,40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439">
              <w:r>
                <w:rPr>
                  <w:rFonts w:cs="Times New Roman" w:ascii="Times New Roman" w:hAnsi="Times New Roman"/>
                  <w:color w:themeColor="text1" w:val="000000"/>
                  <w:sz w:val="22"/>
                  <w:szCs w:val="22"/>
                </w:rPr>
                <w:t>сектор 15</w:t>
              </w:r>
            </w:hyperlink>
            <w:r>
              <w:rPr>
                <w:rFonts w:cs="Times New Roman" w:ascii="Times New Roman" w:hAnsi="Times New Roman"/>
                <w:color w:themeColor="text1" w:val="000000"/>
                <w:sz w:val="22"/>
                <w:szCs w:val="22"/>
              </w:rPr>
              <w:t xml:space="preserve"> от 217,40 м до 227,40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456">
              <w:r>
                <w:rPr>
                  <w:rFonts w:cs="Times New Roman" w:ascii="Times New Roman" w:hAnsi="Times New Roman"/>
                  <w:color w:themeColor="text1" w:val="000000"/>
                  <w:sz w:val="22"/>
                  <w:szCs w:val="22"/>
                </w:rPr>
                <w:t>сектор 16</w:t>
              </w:r>
            </w:hyperlink>
            <w:r>
              <w:rPr>
                <w:rFonts w:cs="Times New Roman" w:ascii="Times New Roman" w:hAnsi="Times New Roman"/>
                <w:color w:themeColor="text1" w:val="000000"/>
                <w:sz w:val="22"/>
                <w:szCs w:val="22"/>
              </w:rPr>
              <w:t xml:space="preserve"> от 217,40 м до 227,40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473">
              <w:r>
                <w:rPr>
                  <w:rFonts w:cs="Times New Roman" w:ascii="Times New Roman" w:hAnsi="Times New Roman"/>
                  <w:color w:themeColor="text1" w:val="000000"/>
                  <w:sz w:val="22"/>
                  <w:szCs w:val="22"/>
                </w:rPr>
                <w:t>сектор 17</w:t>
              </w:r>
            </w:hyperlink>
            <w:r>
              <w:rPr>
                <w:rFonts w:cs="Times New Roman" w:ascii="Times New Roman" w:hAnsi="Times New Roman"/>
                <w:color w:themeColor="text1" w:val="000000"/>
                <w:sz w:val="22"/>
                <w:szCs w:val="22"/>
              </w:rPr>
              <w:t xml:space="preserve"> от 209,96 м до 217,96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490">
              <w:r>
                <w:rPr>
                  <w:rFonts w:cs="Times New Roman" w:ascii="Times New Roman" w:hAnsi="Times New Roman"/>
                  <w:color w:themeColor="text1" w:val="000000"/>
                  <w:sz w:val="22"/>
                  <w:szCs w:val="22"/>
                </w:rPr>
                <w:t>сектор 18</w:t>
              </w:r>
            </w:hyperlink>
            <w:r>
              <w:rPr>
                <w:rFonts w:cs="Times New Roman" w:ascii="Times New Roman" w:hAnsi="Times New Roman"/>
                <w:color w:themeColor="text1" w:val="000000"/>
                <w:sz w:val="22"/>
                <w:szCs w:val="22"/>
              </w:rPr>
              <w:t xml:space="preserve"> от 217,40 м до 227,40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507">
              <w:r>
                <w:rPr>
                  <w:rFonts w:cs="Times New Roman" w:ascii="Times New Roman" w:hAnsi="Times New Roman"/>
                  <w:color w:themeColor="text1" w:val="000000"/>
                  <w:sz w:val="22"/>
                  <w:szCs w:val="22"/>
                </w:rPr>
                <w:t>сектор 19</w:t>
              </w:r>
            </w:hyperlink>
            <w:r>
              <w:rPr>
                <w:rFonts w:cs="Times New Roman" w:ascii="Times New Roman" w:hAnsi="Times New Roman"/>
                <w:color w:themeColor="text1" w:val="000000"/>
                <w:sz w:val="22"/>
                <w:szCs w:val="22"/>
              </w:rPr>
              <w:t xml:space="preserve"> от 217,40 м до 227,40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524">
              <w:r>
                <w:rPr>
                  <w:rFonts w:cs="Times New Roman" w:ascii="Times New Roman" w:hAnsi="Times New Roman"/>
                  <w:color w:themeColor="text1" w:val="000000"/>
                  <w:sz w:val="22"/>
                  <w:szCs w:val="22"/>
                </w:rPr>
                <w:t>сектор 20</w:t>
              </w:r>
            </w:hyperlink>
            <w:r>
              <w:rPr>
                <w:rFonts w:cs="Times New Roman" w:ascii="Times New Roman" w:hAnsi="Times New Roman"/>
                <w:color w:themeColor="text1" w:val="000000"/>
                <w:sz w:val="22"/>
                <w:szCs w:val="22"/>
              </w:rPr>
              <w:t xml:space="preserve"> от 227,40 м до 237,40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541">
              <w:r>
                <w:rPr>
                  <w:rFonts w:cs="Times New Roman" w:ascii="Times New Roman" w:hAnsi="Times New Roman"/>
                  <w:color w:themeColor="text1" w:val="000000"/>
                  <w:sz w:val="22"/>
                  <w:szCs w:val="22"/>
                </w:rPr>
                <w:t>сектор 21</w:t>
              </w:r>
            </w:hyperlink>
            <w:r>
              <w:rPr>
                <w:rFonts w:cs="Times New Roman" w:ascii="Times New Roman" w:hAnsi="Times New Roman"/>
                <w:color w:themeColor="text1" w:val="000000"/>
                <w:sz w:val="22"/>
                <w:szCs w:val="22"/>
              </w:rPr>
              <w:t xml:space="preserve"> от 227,40 м до 237,40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558">
              <w:r>
                <w:rPr>
                  <w:rFonts w:cs="Times New Roman" w:ascii="Times New Roman" w:hAnsi="Times New Roman"/>
                  <w:color w:themeColor="text1" w:val="000000"/>
                  <w:sz w:val="22"/>
                  <w:szCs w:val="22"/>
                </w:rPr>
                <w:t>сектор 22</w:t>
              </w:r>
            </w:hyperlink>
            <w:r>
              <w:rPr>
                <w:rFonts w:cs="Times New Roman" w:ascii="Times New Roman" w:hAnsi="Times New Roman"/>
                <w:color w:themeColor="text1" w:val="000000"/>
                <w:sz w:val="22"/>
                <w:szCs w:val="22"/>
              </w:rPr>
              <w:t xml:space="preserve"> от 217,96 м до 225,96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575">
              <w:r>
                <w:rPr>
                  <w:rFonts w:cs="Times New Roman" w:ascii="Times New Roman" w:hAnsi="Times New Roman"/>
                  <w:color w:themeColor="text1" w:val="000000"/>
                  <w:sz w:val="22"/>
                  <w:szCs w:val="22"/>
                </w:rPr>
                <w:t>сектор 23</w:t>
              </w:r>
            </w:hyperlink>
            <w:r>
              <w:rPr>
                <w:rFonts w:cs="Times New Roman" w:ascii="Times New Roman" w:hAnsi="Times New Roman"/>
                <w:color w:themeColor="text1" w:val="000000"/>
                <w:sz w:val="22"/>
                <w:szCs w:val="22"/>
              </w:rPr>
              <w:t xml:space="preserve"> от 227,40 м до 237,40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592">
              <w:r>
                <w:rPr>
                  <w:rFonts w:cs="Times New Roman" w:ascii="Times New Roman" w:hAnsi="Times New Roman"/>
                  <w:color w:themeColor="text1" w:val="000000"/>
                  <w:sz w:val="22"/>
                  <w:szCs w:val="22"/>
                </w:rPr>
                <w:t>сектор 24</w:t>
              </w:r>
            </w:hyperlink>
            <w:r>
              <w:rPr>
                <w:rFonts w:cs="Times New Roman" w:ascii="Times New Roman" w:hAnsi="Times New Roman"/>
                <w:color w:themeColor="text1" w:val="000000"/>
                <w:sz w:val="22"/>
                <w:szCs w:val="22"/>
              </w:rPr>
              <w:t xml:space="preserve"> от 227,40 м до 237,40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626">
              <w:r>
                <w:rPr>
                  <w:rFonts w:cs="Times New Roman" w:ascii="Times New Roman" w:hAnsi="Times New Roman"/>
                  <w:color w:themeColor="text1" w:val="000000"/>
                  <w:sz w:val="22"/>
                  <w:szCs w:val="22"/>
                </w:rPr>
                <w:t>сектор 25.1</w:t>
              </w:r>
            </w:hyperlink>
            <w:r>
              <w:rPr>
                <w:rFonts w:cs="Times New Roman" w:ascii="Times New Roman" w:hAnsi="Times New Roman"/>
                <w:color w:themeColor="text1" w:val="000000"/>
                <w:sz w:val="22"/>
                <w:szCs w:val="22"/>
              </w:rPr>
              <w:t xml:space="preserve"> от 237,40 м до 247,40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609">
              <w:r>
                <w:rPr>
                  <w:rFonts w:cs="Times New Roman" w:ascii="Times New Roman" w:hAnsi="Times New Roman"/>
                  <w:color w:themeColor="text1" w:val="000000"/>
                  <w:sz w:val="22"/>
                  <w:szCs w:val="22"/>
                </w:rPr>
                <w:t>сектор 25</w:t>
              </w:r>
            </w:hyperlink>
            <w:r>
              <w:rPr>
                <w:rFonts w:cs="Times New Roman" w:ascii="Times New Roman" w:hAnsi="Times New Roman"/>
                <w:color w:themeColor="text1" w:val="000000"/>
                <w:sz w:val="22"/>
                <w:szCs w:val="22"/>
              </w:rPr>
              <w:t xml:space="preserve"> от 237,40 м до 247,40 м;</w:t>
            </w:r>
          </w:p>
        </w:tc>
        <w:tc>
          <w:tcPr>
            <w:tcW w:w="4250" w:type="dxa"/>
            <w:vMerge w:val="restart"/>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643">
              <w:r>
                <w:rPr>
                  <w:rFonts w:cs="Times New Roman" w:ascii="Times New Roman" w:hAnsi="Times New Roman"/>
                  <w:color w:themeColor="text1" w:val="000000"/>
                  <w:sz w:val="22"/>
                  <w:szCs w:val="22"/>
                </w:rPr>
                <w:t>сектор 26</w:t>
              </w:r>
            </w:hyperlink>
            <w:r>
              <w:rPr>
                <w:rFonts w:cs="Times New Roman" w:ascii="Times New Roman" w:hAnsi="Times New Roman"/>
                <w:color w:themeColor="text1" w:val="000000"/>
                <w:sz w:val="22"/>
                <w:szCs w:val="22"/>
              </w:rPr>
              <w:t xml:space="preserve"> от 225,96 м до 233,96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660">
              <w:r>
                <w:rPr>
                  <w:rFonts w:cs="Times New Roman" w:ascii="Times New Roman" w:hAnsi="Times New Roman"/>
                  <w:color w:themeColor="text1" w:val="000000"/>
                  <w:sz w:val="22"/>
                  <w:szCs w:val="22"/>
                </w:rPr>
                <w:t>сектор 27</w:t>
              </w:r>
            </w:hyperlink>
            <w:r>
              <w:rPr>
                <w:rFonts w:cs="Times New Roman" w:ascii="Times New Roman" w:hAnsi="Times New Roman"/>
                <w:color w:themeColor="text1" w:val="000000"/>
                <w:sz w:val="22"/>
                <w:szCs w:val="22"/>
              </w:rPr>
              <w:t xml:space="preserve"> от 237,40 м до 247,40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677">
              <w:r>
                <w:rPr>
                  <w:rFonts w:cs="Times New Roman" w:ascii="Times New Roman" w:hAnsi="Times New Roman"/>
                  <w:color w:themeColor="text1" w:val="000000"/>
                  <w:sz w:val="22"/>
                  <w:szCs w:val="22"/>
                </w:rPr>
                <w:t>сектор 27.1</w:t>
              </w:r>
            </w:hyperlink>
            <w:r>
              <w:rPr>
                <w:rFonts w:cs="Times New Roman" w:ascii="Times New Roman" w:hAnsi="Times New Roman"/>
                <w:color w:themeColor="text1" w:val="000000"/>
                <w:sz w:val="22"/>
                <w:szCs w:val="22"/>
              </w:rPr>
              <w:t xml:space="preserve"> от 237,40 м до 247,40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711">
              <w:r>
                <w:rPr>
                  <w:rFonts w:cs="Times New Roman" w:ascii="Times New Roman" w:hAnsi="Times New Roman"/>
                  <w:color w:themeColor="text1" w:val="000000"/>
                  <w:sz w:val="22"/>
                  <w:szCs w:val="22"/>
                </w:rPr>
                <w:t>сектор 28.1</w:t>
              </w:r>
            </w:hyperlink>
            <w:r>
              <w:rPr>
                <w:rFonts w:cs="Times New Roman" w:ascii="Times New Roman" w:hAnsi="Times New Roman"/>
                <w:color w:themeColor="text1" w:val="000000"/>
                <w:sz w:val="22"/>
                <w:szCs w:val="22"/>
              </w:rPr>
              <w:t xml:space="preserve"> от 247,40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694">
              <w:r>
                <w:rPr>
                  <w:rFonts w:cs="Times New Roman" w:ascii="Times New Roman" w:hAnsi="Times New Roman"/>
                  <w:color w:themeColor="text1" w:val="000000"/>
                  <w:sz w:val="22"/>
                  <w:szCs w:val="22"/>
                </w:rPr>
                <w:t>сектор 28</w:t>
              </w:r>
            </w:hyperlink>
            <w:r>
              <w:rPr>
                <w:rFonts w:cs="Times New Roman" w:ascii="Times New Roman" w:hAnsi="Times New Roman"/>
                <w:color w:themeColor="text1" w:val="000000"/>
                <w:sz w:val="22"/>
                <w:szCs w:val="22"/>
              </w:rPr>
              <w:t xml:space="preserve"> от 247,40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725">
              <w:r>
                <w:rPr>
                  <w:rFonts w:cs="Times New Roman" w:ascii="Times New Roman" w:hAnsi="Times New Roman"/>
                  <w:color w:themeColor="text1" w:val="000000"/>
                  <w:sz w:val="22"/>
                  <w:szCs w:val="22"/>
                </w:rPr>
                <w:t>сектор 29</w:t>
              </w:r>
            </w:hyperlink>
            <w:r>
              <w:rPr>
                <w:rFonts w:cs="Times New Roman" w:ascii="Times New Roman" w:hAnsi="Times New Roman"/>
                <w:color w:themeColor="text1" w:val="000000"/>
                <w:sz w:val="22"/>
                <w:szCs w:val="22"/>
              </w:rPr>
              <w:t xml:space="preserve"> от 233,96 м до 241,96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742">
              <w:r>
                <w:rPr>
                  <w:rFonts w:cs="Times New Roman" w:ascii="Times New Roman" w:hAnsi="Times New Roman"/>
                  <w:color w:themeColor="text1" w:val="000000"/>
                  <w:sz w:val="22"/>
                  <w:szCs w:val="22"/>
                </w:rPr>
                <w:t>сектор 30</w:t>
              </w:r>
            </w:hyperlink>
            <w:r>
              <w:rPr>
                <w:rFonts w:cs="Times New Roman" w:ascii="Times New Roman" w:hAnsi="Times New Roman"/>
                <w:color w:themeColor="text1" w:val="000000"/>
                <w:sz w:val="22"/>
                <w:szCs w:val="22"/>
              </w:rPr>
              <w:t xml:space="preserve"> от 247,40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759">
              <w:r>
                <w:rPr>
                  <w:rFonts w:cs="Times New Roman" w:ascii="Times New Roman" w:hAnsi="Times New Roman"/>
                  <w:color w:themeColor="text1" w:val="000000"/>
                  <w:sz w:val="22"/>
                  <w:szCs w:val="22"/>
                </w:rPr>
                <w:t>сектор 30.1</w:t>
              </w:r>
            </w:hyperlink>
            <w:r>
              <w:rPr>
                <w:rFonts w:cs="Times New Roman" w:ascii="Times New Roman" w:hAnsi="Times New Roman"/>
                <w:color w:themeColor="text1" w:val="000000"/>
                <w:sz w:val="22"/>
                <w:szCs w:val="22"/>
              </w:rPr>
              <w:t xml:space="preserve"> от 247,40 м до 252,90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773">
              <w:r>
                <w:rPr>
                  <w:rFonts w:cs="Times New Roman" w:ascii="Times New Roman" w:hAnsi="Times New Roman"/>
                  <w:color w:themeColor="text1" w:val="000000"/>
                  <w:sz w:val="22"/>
                  <w:szCs w:val="22"/>
                </w:rPr>
                <w:t>сектор 31</w:t>
              </w:r>
            </w:hyperlink>
            <w:r>
              <w:rPr>
                <w:rFonts w:cs="Times New Roman" w:ascii="Times New Roman" w:hAnsi="Times New Roman"/>
                <w:color w:themeColor="text1" w:val="000000"/>
                <w:sz w:val="22"/>
                <w:szCs w:val="22"/>
              </w:rPr>
              <w:t xml:space="preserve"> от 252,90 м до 259,34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790">
              <w:r>
                <w:rPr>
                  <w:rFonts w:cs="Times New Roman" w:ascii="Times New Roman" w:hAnsi="Times New Roman"/>
                  <w:color w:themeColor="text1" w:val="000000"/>
                  <w:sz w:val="22"/>
                  <w:szCs w:val="22"/>
                </w:rPr>
                <w:t>сектор 32</w:t>
              </w:r>
            </w:hyperlink>
            <w:r>
              <w:rPr>
                <w:rFonts w:cs="Times New Roman" w:ascii="Times New Roman" w:hAnsi="Times New Roman"/>
                <w:color w:themeColor="text1" w:val="000000"/>
                <w:sz w:val="22"/>
                <w:szCs w:val="22"/>
              </w:rPr>
              <w:t xml:space="preserve"> от 241,96 м до 249,96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807">
              <w:r>
                <w:rPr>
                  <w:rFonts w:cs="Times New Roman" w:ascii="Times New Roman" w:hAnsi="Times New Roman"/>
                  <w:color w:themeColor="text1" w:val="000000"/>
                  <w:sz w:val="22"/>
                  <w:szCs w:val="22"/>
                </w:rPr>
                <w:t>сектор 33</w:t>
              </w:r>
            </w:hyperlink>
            <w:r>
              <w:rPr>
                <w:rFonts w:cs="Times New Roman" w:ascii="Times New Roman" w:hAnsi="Times New Roman"/>
                <w:color w:themeColor="text1" w:val="000000"/>
                <w:sz w:val="22"/>
                <w:szCs w:val="22"/>
              </w:rPr>
              <w:t xml:space="preserve"> от 252,90 м до 259,34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824">
              <w:r>
                <w:rPr>
                  <w:rFonts w:cs="Times New Roman" w:ascii="Times New Roman" w:hAnsi="Times New Roman"/>
                  <w:color w:themeColor="text1" w:val="000000"/>
                  <w:sz w:val="22"/>
                  <w:szCs w:val="22"/>
                </w:rPr>
                <w:t>сектор 34</w:t>
              </w:r>
            </w:hyperlink>
            <w:r>
              <w:rPr>
                <w:rFonts w:cs="Times New Roman" w:ascii="Times New Roman" w:hAnsi="Times New Roman"/>
                <w:color w:themeColor="text1" w:val="000000"/>
                <w:sz w:val="22"/>
                <w:szCs w:val="22"/>
              </w:rPr>
              <w:t xml:space="preserve"> от 259,34 м до 284,60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842">
              <w:r>
                <w:rPr>
                  <w:rFonts w:cs="Times New Roman" w:ascii="Times New Roman" w:hAnsi="Times New Roman"/>
                  <w:color w:themeColor="text1" w:val="000000"/>
                  <w:sz w:val="22"/>
                  <w:szCs w:val="22"/>
                </w:rPr>
                <w:t>сектор 35</w:t>
              </w:r>
            </w:hyperlink>
            <w:r>
              <w:rPr>
                <w:rFonts w:cs="Times New Roman" w:ascii="Times New Roman" w:hAnsi="Times New Roman"/>
                <w:color w:themeColor="text1" w:val="000000"/>
                <w:sz w:val="22"/>
                <w:szCs w:val="22"/>
              </w:rPr>
              <w:t xml:space="preserve"> от 249,96 м до 257,96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859">
              <w:r>
                <w:rPr>
                  <w:rFonts w:cs="Times New Roman" w:ascii="Times New Roman" w:hAnsi="Times New Roman"/>
                  <w:color w:themeColor="text1" w:val="000000"/>
                  <w:sz w:val="22"/>
                  <w:szCs w:val="22"/>
                </w:rPr>
                <w:t>сектор 36</w:t>
              </w:r>
            </w:hyperlink>
            <w:r>
              <w:rPr>
                <w:rFonts w:cs="Times New Roman" w:ascii="Times New Roman" w:hAnsi="Times New Roman"/>
                <w:color w:themeColor="text1" w:val="000000"/>
                <w:sz w:val="22"/>
                <w:szCs w:val="22"/>
              </w:rPr>
              <w:t xml:space="preserve"> от 259,34 м до 284,60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876">
              <w:r>
                <w:rPr>
                  <w:rFonts w:cs="Times New Roman" w:ascii="Times New Roman" w:hAnsi="Times New Roman"/>
                  <w:color w:themeColor="text1" w:val="000000"/>
                  <w:sz w:val="22"/>
                  <w:szCs w:val="22"/>
                </w:rPr>
                <w:t>сектор 37</w:t>
              </w:r>
            </w:hyperlink>
            <w:r>
              <w:rPr>
                <w:rFonts w:cs="Times New Roman" w:ascii="Times New Roman" w:hAnsi="Times New Roman"/>
                <w:color w:themeColor="text1" w:val="000000"/>
                <w:sz w:val="22"/>
                <w:szCs w:val="22"/>
              </w:rPr>
              <w:t xml:space="preserve"> от 284,60 м до 297,40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893">
              <w:r>
                <w:rPr>
                  <w:rFonts w:cs="Times New Roman" w:ascii="Times New Roman" w:hAnsi="Times New Roman"/>
                  <w:color w:themeColor="text1" w:val="000000"/>
                  <w:sz w:val="22"/>
                  <w:szCs w:val="22"/>
                </w:rPr>
                <w:t>сектор 38</w:t>
              </w:r>
            </w:hyperlink>
            <w:r>
              <w:rPr>
                <w:rFonts w:cs="Times New Roman" w:ascii="Times New Roman" w:hAnsi="Times New Roman"/>
                <w:color w:themeColor="text1" w:val="000000"/>
                <w:sz w:val="22"/>
                <w:szCs w:val="22"/>
              </w:rPr>
              <w:t xml:space="preserve"> от 257,96 м до 265,96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910">
              <w:r>
                <w:rPr>
                  <w:rFonts w:cs="Times New Roman" w:ascii="Times New Roman" w:hAnsi="Times New Roman"/>
                  <w:color w:themeColor="text1" w:val="000000"/>
                  <w:sz w:val="22"/>
                  <w:szCs w:val="22"/>
                </w:rPr>
                <w:t>сектор 39</w:t>
              </w:r>
            </w:hyperlink>
            <w:r>
              <w:rPr>
                <w:rFonts w:cs="Times New Roman" w:ascii="Times New Roman" w:hAnsi="Times New Roman"/>
                <w:color w:themeColor="text1" w:val="000000"/>
                <w:sz w:val="22"/>
                <w:szCs w:val="22"/>
              </w:rPr>
              <w:t xml:space="preserve"> от 284,60 м до 297,40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927">
              <w:r>
                <w:rPr>
                  <w:rFonts w:cs="Times New Roman" w:ascii="Times New Roman" w:hAnsi="Times New Roman"/>
                  <w:color w:themeColor="text1" w:val="000000"/>
                  <w:sz w:val="22"/>
                  <w:szCs w:val="22"/>
                </w:rPr>
                <w:t>сектор 40</w:t>
              </w:r>
            </w:hyperlink>
            <w:r>
              <w:rPr>
                <w:rFonts w:cs="Times New Roman" w:ascii="Times New Roman" w:hAnsi="Times New Roman"/>
                <w:color w:themeColor="text1" w:val="000000"/>
                <w:sz w:val="22"/>
                <w:szCs w:val="22"/>
              </w:rPr>
              <w:t xml:space="preserve"> от 297,40 м до 309,90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944">
              <w:r>
                <w:rPr>
                  <w:rFonts w:cs="Times New Roman" w:ascii="Times New Roman" w:hAnsi="Times New Roman"/>
                  <w:color w:themeColor="text1" w:val="000000"/>
                  <w:sz w:val="22"/>
                  <w:szCs w:val="22"/>
                </w:rPr>
                <w:t>сектор 41</w:t>
              </w:r>
            </w:hyperlink>
            <w:r>
              <w:rPr>
                <w:rFonts w:cs="Times New Roman" w:ascii="Times New Roman" w:hAnsi="Times New Roman"/>
                <w:color w:themeColor="text1" w:val="000000"/>
                <w:sz w:val="22"/>
                <w:szCs w:val="22"/>
              </w:rPr>
              <w:t xml:space="preserve"> от 265,96 м до 273,96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961">
              <w:r>
                <w:rPr>
                  <w:rFonts w:cs="Times New Roman" w:ascii="Times New Roman" w:hAnsi="Times New Roman"/>
                  <w:color w:themeColor="text1" w:val="000000"/>
                  <w:sz w:val="22"/>
                  <w:szCs w:val="22"/>
                </w:rPr>
                <w:t>сектор 42</w:t>
              </w:r>
            </w:hyperlink>
            <w:r>
              <w:rPr>
                <w:rFonts w:cs="Times New Roman" w:ascii="Times New Roman" w:hAnsi="Times New Roman"/>
                <w:color w:themeColor="text1" w:val="000000"/>
                <w:sz w:val="22"/>
                <w:szCs w:val="22"/>
              </w:rPr>
              <w:t xml:space="preserve"> от 297,40 м до 309,90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978">
              <w:r>
                <w:rPr>
                  <w:rFonts w:cs="Times New Roman" w:ascii="Times New Roman" w:hAnsi="Times New Roman"/>
                  <w:color w:themeColor="text1" w:val="000000"/>
                  <w:sz w:val="22"/>
                  <w:szCs w:val="22"/>
                </w:rPr>
                <w:t>сектор 43</w:t>
              </w:r>
            </w:hyperlink>
            <w:r>
              <w:rPr>
                <w:rFonts w:cs="Times New Roman" w:ascii="Times New Roman" w:hAnsi="Times New Roman"/>
                <w:color w:themeColor="text1" w:val="000000"/>
                <w:sz w:val="22"/>
                <w:szCs w:val="22"/>
              </w:rPr>
              <w:t xml:space="preserve"> от 309,90 м до 322,40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6995">
              <w:r>
                <w:rPr>
                  <w:rFonts w:cs="Times New Roman" w:ascii="Times New Roman" w:hAnsi="Times New Roman"/>
                  <w:color w:themeColor="text1" w:val="000000"/>
                  <w:sz w:val="22"/>
                  <w:szCs w:val="22"/>
                </w:rPr>
                <w:t>сектор 44</w:t>
              </w:r>
            </w:hyperlink>
            <w:r>
              <w:rPr>
                <w:rFonts w:cs="Times New Roman" w:ascii="Times New Roman" w:hAnsi="Times New Roman"/>
                <w:color w:themeColor="text1" w:val="000000"/>
                <w:sz w:val="22"/>
                <w:szCs w:val="22"/>
              </w:rPr>
              <w:t xml:space="preserve"> от 273,96 м до 281,96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012">
              <w:r>
                <w:rPr>
                  <w:rFonts w:cs="Times New Roman" w:ascii="Times New Roman" w:hAnsi="Times New Roman"/>
                  <w:color w:themeColor="text1" w:val="000000"/>
                  <w:sz w:val="22"/>
                  <w:szCs w:val="22"/>
                </w:rPr>
                <w:t>сектор 45</w:t>
              </w:r>
            </w:hyperlink>
            <w:r>
              <w:rPr>
                <w:rFonts w:cs="Times New Roman" w:ascii="Times New Roman" w:hAnsi="Times New Roman"/>
                <w:color w:themeColor="text1" w:val="000000"/>
                <w:sz w:val="22"/>
                <w:szCs w:val="22"/>
              </w:rPr>
              <w:t xml:space="preserve"> от 309,90 м до 322,40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029">
              <w:r>
                <w:rPr>
                  <w:rFonts w:cs="Times New Roman" w:ascii="Times New Roman" w:hAnsi="Times New Roman"/>
                  <w:color w:themeColor="text1" w:val="000000"/>
                  <w:sz w:val="22"/>
                  <w:szCs w:val="22"/>
                </w:rPr>
                <w:t>сектор 46</w:t>
              </w:r>
            </w:hyperlink>
            <w:r>
              <w:rPr>
                <w:rFonts w:cs="Times New Roman" w:ascii="Times New Roman" w:hAnsi="Times New Roman"/>
                <w:color w:themeColor="text1" w:val="000000"/>
                <w:sz w:val="22"/>
                <w:szCs w:val="22"/>
              </w:rPr>
              <w:t xml:space="preserve"> от 322,40 м до 334,90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046">
              <w:r>
                <w:rPr>
                  <w:rFonts w:cs="Times New Roman" w:ascii="Times New Roman" w:hAnsi="Times New Roman"/>
                  <w:color w:themeColor="text1" w:val="000000"/>
                  <w:sz w:val="22"/>
                  <w:szCs w:val="22"/>
                </w:rPr>
                <w:t>сектор 47</w:t>
              </w:r>
            </w:hyperlink>
            <w:r>
              <w:rPr>
                <w:rFonts w:cs="Times New Roman" w:ascii="Times New Roman" w:hAnsi="Times New Roman"/>
                <w:color w:themeColor="text1" w:val="000000"/>
                <w:sz w:val="22"/>
                <w:szCs w:val="22"/>
              </w:rPr>
              <w:t xml:space="preserve"> от 281,96 м до 289,96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063">
              <w:r>
                <w:rPr>
                  <w:rFonts w:cs="Times New Roman" w:ascii="Times New Roman" w:hAnsi="Times New Roman"/>
                  <w:color w:themeColor="text1" w:val="000000"/>
                  <w:sz w:val="22"/>
                  <w:szCs w:val="22"/>
                </w:rPr>
                <w:t>сектор 48</w:t>
              </w:r>
            </w:hyperlink>
            <w:r>
              <w:rPr>
                <w:rFonts w:cs="Times New Roman" w:ascii="Times New Roman" w:hAnsi="Times New Roman"/>
                <w:color w:themeColor="text1" w:val="000000"/>
                <w:sz w:val="22"/>
                <w:szCs w:val="22"/>
              </w:rPr>
              <w:t xml:space="preserve"> от 322,40 м до 334,90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080">
              <w:r>
                <w:rPr>
                  <w:rFonts w:cs="Times New Roman" w:ascii="Times New Roman" w:hAnsi="Times New Roman"/>
                  <w:color w:themeColor="text1" w:val="000000"/>
                  <w:sz w:val="22"/>
                  <w:szCs w:val="22"/>
                </w:rPr>
                <w:t>сектор 49</w:t>
              </w:r>
            </w:hyperlink>
            <w:r>
              <w:rPr>
                <w:rFonts w:cs="Times New Roman" w:ascii="Times New Roman" w:hAnsi="Times New Roman"/>
                <w:color w:themeColor="text1" w:val="000000"/>
                <w:sz w:val="22"/>
                <w:szCs w:val="22"/>
              </w:rPr>
              <w:t xml:space="preserve"> от 334,90 м до 347,40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097">
              <w:r>
                <w:rPr>
                  <w:rFonts w:cs="Times New Roman" w:ascii="Times New Roman" w:hAnsi="Times New Roman"/>
                  <w:color w:themeColor="text1" w:val="000000"/>
                  <w:sz w:val="22"/>
                  <w:szCs w:val="22"/>
                </w:rPr>
                <w:t>сектор 50</w:t>
              </w:r>
            </w:hyperlink>
            <w:r>
              <w:rPr>
                <w:rFonts w:cs="Times New Roman" w:ascii="Times New Roman" w:hAnsi="Times New Roman"/>
                <w:color w:themeColor="text1" w:val="000000"/>
                <w:sz w:val="22"/>
                <w:szCs w:val="22"/>
              </w:rPr>
              <w:t xml:space="preserve"> от 289,96 м до 297,96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114">
              <w:r>
                <w:rPr>
                  <w:rFonts w:cs="Times New Roman" w:ascii="Times New Roman" w:hAnsi="Times New Roman"/>
                  <w:color w:themeColor="text1" w:val="000000"/>
                  <w:sz w:val="22"/>
                  <w:szCs w:val="22"/>
                </w:rPr>
                <w:t>сектор 51</w:t>
              </w:r>
            </w:hyperlink>
            <w:r>
              <w:rPr>
                <w:rFonts w:cs="Times New Roman" w:ascii="Times New Roman" w:hAnsi="Times New Roman"/>
                <w:color w:themeColor="text1" w:val="000000"/>
                <w:sz w:val="22"/>
                <w:szCs w:val="22"/>
              </w:rPr>
              <w:t xml:space="preserve"> от 334,90 м до 347,40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131">
              <w:r>
                <w:rPr>
                  <w:rFonts w:cs="Times New Roman" w:ascii="Times New Roman" w:hAnsi="Times New Roman"/>
                  <w:color w:themeColor="text1" w:val="000000"/>
                  <w:sz w:val="22"/>
                  <w:szCs w:val="22"/>
                </w:rPr>
                <w:t>сектор 52.1</w:t>
              </w:r>
            </w:hyperlink>
            <w:r>
              <w:rPr>
                <w:rFonts w:cs="Times New Roman" w:ascii="Times New Roman" w:hAnsi="Times New Roman"/>
                <w:color w:themeColor="text1" w:val="000000"/>
                <w:sz w:val="22"/>
                <w:szCs w:val="22"/>
              </w:rPr>
              <w:t xml:space="preserve"> от 347,40 м до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168">
              <w:r>
                <w:rPr>
                  <w:rFonts w:cs="Times New Roman" w:ascii="Times New Roman" w:hAnsi="Times New Roman"/>
                  <w:color w:themeColor="text1" w:val="000000"/>
                  <w:sz w:val="22"/>
                  <w:szCs w:val="22"/>
                </w:rPr>
                <w:t>сектор 53.1</w:t>
              </w:r>
            </w:hyperlink>
            <w:r>
              <w:rPr>
                <w:rFonts w:cs="Times New Roman" w:ascii="Times New Roman" w:hAnsi="Times New Roman"/>
                <w:color w:themeColor="text1" w:val="000000"/>
                <w:sz w:val="22"/>
                <w:szCs w:val="22"/>
              </w:rPr>
              <w:t xml:space="preserve"> от 297,96 м до 301,48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208">
              <w:r>
                <w:rPr>
                  <w:rFonts w:cs="Times New Roman" w:ascii="Times New Roman" w:hAnsi="Times New Roman"/>
                  <w:color w:themeColor="text1" w:val="000000"/>
                  <w:sz w:val="22"/>
                  <w:szCs w:val="22"/>
                </w:rPr>
                <w:t>сектор 54.1</w:t>
              </w:r>
            </w:hyperlink>
            <w:r>
              <w:rPr>
                <w:rFonts w:cs="Times New Roman" w:ascii="Times New Roman" w:hAnsi="Times New Roman"/>
                <w:color w:themeColor="text1" w:val="000000"/>
                <w:sz w:val="22"/>
                <w:szCs w:val="22"/>
              </w:rPr>
              <w:t xml:space="preserve"> от 347,40 м до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148">
              <w:r>
                <w:rPr>
                  <w:rFonts w:cs="Times New Roman" w:ascii="Times New Roman" w:hAnsi="Times New Roman"/>
                  <w:color w:themeColor="text1" w:val="000000"/>
                  <w:sz w:val="22"/>
                  <w:szCs w:val="22"/>
                </w:rPr>
                <w:t>сектор 52.2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185">
              <w:r>
                <w:rPr>
                  <w:rFonts w:cs="Times New Roman" w:ascii="Times New Roman" w:hAnsi="Times New Roman"/>
                  <w:color w:themeColor="text1" w:val="000000"/>
                  <w:sz w:val="22"/>
                  <w:szCs w:val="22"/>
                </w:rPr>
                <w:t>сектор 53.2</w:t>
              </w:r>
            </w:hyperlink>
            <w:r>
              <w:rPr>
                <w:rFonts w:cs="Times New Roman" w:ascii="Times New Roman" w:hAnsi="Times New Roman"/>
                <w:color w:themeColor="text1" w:val="000000"/>
                <w:sz w:val="22"/>
                <w:szCs w:val="22"/>
              </w:rPr>
              <w:t xml:space="preserve"> от 301,48 м до 305,96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225">
              <w:r>
                <w:rPr>
                  <w:rFonts w:cs="Times New Roman" w:ascii="Times New Roman" w:hAnsi="Times New Roman"/>
                  <w:color w:themeColor="text1" w:val="000000"/>
                  <w:sz w:val="22"/>
                  <w:szCs w:val="22"/>
                </w:rPr>
                <w:t>сектор 54.2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245">
              <w:r>
                <w:rPr>
                  <w:rFonts w:cs="Times New Roman" w:ascii="Times New Roman" w:hAnsi="Times New Roman"/>
                  <w:color w:themeColor="text1" w:val="000000"/>
                  <w:sz w:val="22"/>
                  <w:szCs w:val="22"/>
                </w:rPr>
                <w:t>сектор 55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262">
              <w:r>
                <w:rPr>
                  <w:rFonts w:cs="Times New Roman" w:ascii="Times New Roman" w:hAnsi="Times New Roman"/>
                  <w:color w:themeColor="text1" w:val="000000"/>
                  <w:sz w:val="22"/>
                  <w:szCs w:val="22"/>
                </w:rPr>
                <w:t>сектор 56</w:t>
              </w:r>
            </w:hyperlink>
            <w:r>
              <w:rPr>
                <w:rFonts w:cs="Times New Roman" w:ascii="Times New Roman" w:hAnsi="Times New Roman"/>
                <w:color w:themeColor="text1" w:val="000000"/>
                <w:sz w:val="22"/>
                <w:szCs w:val="22"/>
              </w:rPr>
              <w:t xml:space="preserve"> от 305,96 м до 313,96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279">
              <w:r>
                <w:rPr>
                  <w:rFonts w:cs="Times New Roman" w:ascii="Times New Roman" w:hAnsi="Times New Roman"/>
                  <w:color w:themeColor="text1" w:val="000000"/>
                  <w:sz w:val="22"/>
                  <w:szCs w:val="22"/>
                </w:rPr>
                <w:t>сектор 57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296">
              <w:r>
                <w:rPr>
                  <w:rFonts w:cs="Times New Roman" w:ascii="Times New Roman" w:hAnsi="Times New Roman"/>
                  <w:color w:themeColor="text1" w:val="000000"/>
                  <w:sz w:val="22"/>
                  <w:szCs w:val="22"/>
                </w:rPr>
                <w:t>сектор 58</w:t>
              </w:r>
            </w:hyperlink>
            <w:r>
              <w:rPr>
                <w:rFonts w:cs="Times New Roman" w:ascii="Times New Roman" w:hAnsi="Times New Roman"/>
                <w:color w:themeColor="text1" w:val="000000"/>
                <w:sz w:val="22"/>
                <w:szCs w:val="22"/>
              </w:rPr>
              <w:t xml:space="preserve"> 352,90 м;</w:t>
            </w:r>
          </w:p>
        </w:tc>
        <w:tc>
          <w:tcPr>
            <w:tcW w:w="4250" w:type="dxa"/>
            <w:vMerge w:val="restart"/>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313">
              <w:r>
                <w:rPr>
                  <w:rFonts w:cs="Times New Roman" w:ascii="Times New Roman" w:hAnsi="Times New Roman"/>
                  <w:color w:themeColor="text1" w:val="000000"/>
                  <w:sz w:val="22"/>
                  <w:szCs w:val="22"/>
                </w:rPr>
                <w:t>сектор 59</w:t>
              </w:r>
            </w:hyperlink>
            <w:r>
              <w:rPr>
                <w:rFonts w:cs="Times New Roman" w:ascii="Times New Roman" w:hAnsi="Times New Roman"/>
                <w:color w:themeColor="text1" w:val="000000"/>
                <w:sz w:val="22"/>
                <w:szCs w:val="22"/>
              </w:rPr>
              <w:t xml:space="preserve"> от 313,96 м до 321,96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330">
              <w:r>
                <w:rPr>
                  <w:rFonts w:cs="Times New Roman" w:ascii="Times New Roman" w:hAnsi="Times New Roman"/>
                  <w:color w:themeColor="text1" w:val="000000"/>
                  <w:sz w:val="22"/>
                  <w:szCs w:val="22"/>
                </w:rPr>
                <w:t>сектор 60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347">
              <w:r>
                <w:rPr>
                  <w:rFonts w:cs="Times New Roman" w:ascii="Times New Roman" w:hAnsi="Times New Roman"/>
                  <w:color w:themeColor="text1" w:val="000000"/>
                  <w:sz w:val="22"/>
                  <w:szCs w:val="22"/>
                </w:rPr>
                <w:t>сектор 61</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364">
              <w:r>
                <w:rPr>
                  <w:rFonts w:cs="Times New Roman" w:ascii="Times New Roman" w:hAnsi="Times New Roman"/>
                  <w:color w:themeColor="text1" w:val="000000"/>
                  <w:sz w:val="22"/>
                  <w:szCs w:val="22"/>
                </w:rPr>
                <w:t>сектор 62</w:t>
              </w:r>
            </w:hyperlink>
            <w:r>
              <w:rPr>
                <w:rFonts w:cs="Times New Roman" w:ascii="Times New Roman" w:hAnsi="Times New Roman"/>
                <w:color w:themeColor="text1" w:val="000000"/>
                <w:sz w:val="22"/>
                <w:szCs w:val="22"/>
              </w:rPr>
              <w:t xml:space="preserve"> от 321,96 м до 329,96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381">
              <w:r>
                <w:rPr>
                  <w:rFonts w:cs="Times New Roman" w:ascii="Times New Roman" w:hAnsi="Times New Roman"/>
                  <w:color w:themeColor="text1" w:val="000000"/>
                  <w:sz w:val="22"/>
                  <w:szCs w:val="22"/>
                </w:rPr>
                <w:t>сектор 63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398">
              <w:r>
                <w:rPr>
                  <w:rFonts w:cs="Times New Roman" w:ascii="Times New Roman" w:hAnsi="Times New Roman"/>
                  <w:color w:themeColor="text1" w:val="000000"/>
                  <w:sz w:val="22"/>
                  <w:szCs w:val="22"/>
                </w:rPr>
                <w:t>сектор 64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415">
              <w:r>
                <w:rPr>
                  <w:rFonts w:cs="Times New Roman" w:ascii="Times New Roman" w:hAnsi="Times New Roman"/>
                  <w:color w:themeColor="text1" w:val="000000"/>
                  <w:sz w:val="22"/>
                  <w:szCs w:val="22"/>
                </w:rPr>
                <w:t>сектор 65</w:t>
              </w:r>
            </w:hyperlink>
            <w:r>
              <w:rPr>
                <w:rFonts w:cs="Times New Roman" w:ascii="Times New Roman" w:hAnsi="Times New Roman"/>
                <w:color w:themeColor="text1" w:val="000000"/>
                <w:sz w:val="22"/>
                <w:szCs w:val="22"/>
              </w:rPr>
              <w:t xml:space="preserve"> от 329,96 м до 337,96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432">
              <w:r>
                <w:rPr>
                  <w:rFonts w:cs="Times New Roman" w:ascii="Times New Roman" w:hAnsi="Times New Roman"/>
                  <w:color w:themeColor="text1" w:val="000000"/>
                  <w:sz w:val="22"/>
                  <w:szCs w:val="22"/>
                </w:rPr>
                <w:t>сектор 66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449">
              <w:r>
                <w:rPr>
                  <w:rFonts w:cs="Times New Roman" w:ascii="Times New Roman" w:hAnsi="Times New Roman"/>
                  <w:color w:themeColor="text1" w:val="000000"/>
                  <w:sz w:val="22"/>
                  <w:szCs w:val="22"/>
                </w:rPr>
                <w:t>сектор 67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466">
              <w:r>
                <w:rPr>
                  <w:rFonts w:cs="Times New Roman" w:ascii="Times New Roman" w:hAnsi="Times New Roman"/>
                  <w:color w:themeColor="text1" w:val="000000"/>
                  <w:sz w:val="22"/>
                  <w:szCs w:val="22"/>
                </w:rPr>
                <w:t>сектор 68</w:t>
              </w:r>
            </w:hyperlink>
            <w:r>
              <w:rPr>
                <w:rFonts w:cs="Times New Roman" w:ascii="Times New Roman" w:hAnsi="Times New Roman"/>
                <w:color w:themeColor="text1" w:val="000000"/>
                <w:sz w:val="22"/>
                <w:szCs w:val="22"/>
              </w:rPr>
              <w:t xml:space="preserve"> от 337,96 м до 345,96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483">
              <w:r>
                <w:rPr>
                  <w:rFonts w:cs="Times New Roman" w:ascii="Times New Roman" w:hAnsi="Times New Roman"/>
                  <w:color w:themeColor="text1" w:val="000000"/>
                  <w:sz w:val="22"/>
                  <w:szCs w:val="22"/>
                </w:rPr>
                <w:t>сектор 69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500">
              <w:r>
                <w:rPr>
                  <w:rFonts w:cs="Times New Roman" w:ascii="Times New Roman" w:hAnsi="Times New Roman"/>
                  <w:color w:themeColor="text1" w:val="000000"/>
                  <w:sz w:val="22"/>
                  <w:szCs w:val="22"/>
                </w:rPr>
                <w:t>сектор 70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517">
              <w:r>
                <w:rPr>
                  <w:rFonts w:cs="Times New Roman" w:ascii="Times New Roman" w:hAnsi="Times New Roman"/>
                  <w:color w:themeColor="text1" w:val="000000"/>
                  <w:sz w:val="22"/>
                  <w:szCs w:val="22"/>
                </w:rPr>
                <w:t>сектор 71</w:t>
              </w:r>
            </w:hyperlink>
            <w:r>
              <w:rPr>
                <w:rFonts w:cs="Times New Roman" w:ascii="Times New Roman" w:hAnsi="Times New Roman"/>
                <w:color w:themeColor="text1" w:val="000000"/>
                <w:sz w:val="22"/>
                <w:szCs w:val="22"/>
              </w:rPr>
              <w:t xml:space="preserve"> от 345,96 м до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534">
              <w:r>
                <w:rPr>
                  <w:rFonts w:cs="Times New Roman" w:ascii="Times New Roman" w:hAnsi="Times New Roman"/>
                  <w:color w:themeColor="text1" w:val="000000"/>
                  <w:sz w:val="22"/>
                  <w:szCs w:val="22"/>
                </w:rPr>
                <w:t>сектор 72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551">
              <w:r>
                <w:rPr>
                  <w:rFonts w:cs="Times New Roman" w:ascii="Times New Roman" w:hAnsi="Times New Roman"/>
                  <w:color w:themeColor="text1" w:val="000000"/>
                  <w:sz w:val="22"/>
                  <w:szCs w:val="22"/>
                </w:rPr>
                <w:t>сектор 73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568">
              <w:r>
                <w:rPr>
                  <w:rFonts w:cs="Times New Roman" w:ascii="Times New Roman" w:hAnsi="Times New Roman"/>
                  <w:color w:themeColor="text1" w:val="000000"/>
                  <w:sz w:val="22"/>
                  <w:szCs w:val="22"/>
                </w:rPr>
                <w:t>сектор 74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585">
              <w:r>
                <w:rPr>
                  <w:rFonts w:cs="Times New Roman" w:ascii="Times New Roman" w:hAnsi="Times New Roman"/>
                  <w:color w:themeColor="text1" w:val="000000"/>
                  <w:sz w:val="22"/>
                  <w:szCs w:val="22"/>
                </w:rPr>
                <w:t>сектор 75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602">
              <w:r>
                <w:rPr>
                  <w:rFonts w:cs="Times New Roman" w:ascii="Times New Roman" w:hAnsi="Times New Roman"/>
                  <w:color w:themeColor="text1" w:val="000000"/>
                  <w:sz w:val="22"/>
                  <w:szCs w:val="22"/>
                </w:rPr>
                <w:t>сектор 76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619">
              <w:r>
                <w:rPr>
                  <w:rFonts w:cs="Times New Roman" w:ascii="Times New Roman" w:hAnsi="Times New Roman"/>
                  <w:color w:themeColor="text1" w:val="000000"/>
                  <w:sz w:val="22"/>
                  <w:szCs w:val="22"/>
                </w:rPr>
                <w:t>сектор 77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636">
              <w:r>
                <w:rPr>
                  <w:rFonts w:cs="Times New Roman" w:ascii="Times New Roman" w:hAnsi="Times New Roman"/>
                  <w:color w:themeColor="text1" w:val="000000"/>
                  <w:sz w:val="22"/>
                  <w:szCs w:val="22"/>
                </w:rPr>
                <w:t>сектор 78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653">
              <w:r>
                <w:rPr>
                  <w:rFonts w:cs="Times New Roman" w:ascii="Times New Roman" w:hAnsi="Times New Roman"/>
                  <w:color w:themeColor="text1" w:val="000000"/>
                  <w:sz w:val="22"/>
                  <w:szCs w:val="22"/>
                </w:rPr>
                <w:t>сектор 79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670">
              <w:r>
                <w:rPr>
                  <w:rFonts w:cs="Times New Roman" w:ascii="Times New Roman" w:hAnsi="Times New Roman"/>
                  <w:color w:themeColor="text1" w:val="000000"/>
                  <w:sz w:val="22"/>
                  <w:szCs w:val="22"/>
                </w:rPr>
                <w:t>сектор 80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687">
              <w:r>
                <w:rPr>
                  <w:rFonts w:cs="Times New Roman" w:ascii="Times New Roman" w:hAnsi="Times New Roman"/>
                  <w:color w:themeColor="text1" w:val="000000"/>
                  <w:sz w:val="22"/>
                  <w:szCs w:val="22"/>
                </w:rPr>
                <w:t>сектор 81</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704">
              <w:r>
                <w:rPr>
                  <w:rFonts w:cs="Times New Roman" w:ascii="Times New Roman" w:hAnsi="Times New Roman"/>
                  <w:color w:themeColor="text1" w:val="000000"/>
                  <w:sz w:val="22"/>
                  <w:szCs w:val="22"/>
                </w:rPr>
                <w:t>сектор 82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721">
              <w:r>
                <w:rPr>
                  <w:rFonts w:cs="Times New Roman" w:ascii="Times New Roman" w:hAnsi="Times New Roman"/>
                  <w:color w:themeColor="text1" w:val="000000"/>
                  <w:sz w:val="22"/>
                  <w:szCs w:val="22"/>
                </w:rPr>
                <w:t>сектор 83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738">
              <w:r>
                <w:rPr>
                  <w:rFonts w:cs="Times New Roman" w:ascii="Times New Roman" w:hAnsi="Times New Roman"/>
                  <w:color w:themeColor="text1" w:val="000000"/>
                  <w:sz w:val="22"/>
                  <w:szCs w:val="22"/>
                </w:rPr>
                <w:t>сектор 84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755">
              <w:r>
                <w:rPr>
                  <w:rFonts w:cs="Times New Roman" w:ascii="Times New Roman" w:hAnsi="Times New Roman"/>
                  <w:color w:themeColor="text1" w:val="000000"/>
                  <w:sz w:val="22"/>
                  <w:szCs w:val="22"/>
                </w:rPr>
                <w:t>сектор 85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772">
              <w:r>
                <w:rPr>
                  <w:rFonts w:cs="Times New Roman" w:ascii="Times New Roman" w:hAnsi="Times New Roman"/>
                  <w:color w:themeColor="text1" w:val="000000"/>
                  <w:sz w:val="22"/>
                  <w:szCs w:val="22"/>
                </w:rPr>
                <w:t>сектор 86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789">
              <w:r>
                <w:rPr>
                  <w:rFonts w:cs="Times New Roman" w:ascii="Times New Roman" w:hAnsi="Times New Roman"/>
                  <w:color w:themeColor="text1" w:val="000000"/>
                  <w:sz w:val="22"/>
                  <w:szCs w:val="22"/>
                </w:rPr>
                <w:t>сектор 87</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806">
              <w:r>
                <w:rPr>
                  <w:rFonts w:cs="Times New Roman" w:ascii="Times New Roman" w:hAnsi="Times New Roman"/>
                  <w:color w:themeColor="text1" w:val="000000"/>
                  <w:sz w:val="22"/>
                  <w:szCs w:val="22"/>
                </w:rPr>
                <w:t>сектор 88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823">
              <w:r>
                <w:rPr>
                  <w:rFonts w:cs="Times New Roman" w:ascii="Times New Roman" w:hAnsi="Times New Roman"/>
                  <w:color w:themeColor="text1" w:val="000000"/>
                  <w:sz w:val="22"/>
                  <w:szCs w:val="22"/>
                </w:rPr>
                <w:t>сектор 89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840">
              <w:r>
                <w:rPr>
                  <w:rFonts w:cs="Times New Roman" w:ascii="Times New Roman" w:hAnsi="Times New Roman"/>
                  <w:color w:themeColor="text1" w:val="000000"/>
                  <w:sz w:val="22"/>
                  <w:szCs w:val="22"/>
                </w:rPr>
                <w:t>сектор 90</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857">
              <w:r>
                <w:rPr>
                  <w:rFonts w:cs="Times New Roman" w:ascii="Times New Roman" w:hAnsi="Times New Roman"/>
                  <w:color w:themeColor="text1" w:val="000000"/>
                  <w:sz w:val="22"/>
                  <w:szCs w:val="22"/>
                </w:rPr>
                <w:t>сектор 91</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874">
              <w:r>
                <w:rPr>
                  <w:rFonts w:cs="Times New Roman" w:ascii="Times New Roman" w:hAnsi="Times New Roman"/>
                  <w:color w:themeColor="text1" w:val="000000"/>
                  <w:sz w:val="22"/>
                  <w:szCs w:val="22"/>
                </w:rPr>
                <w:t>сектор 92</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891">
              <w:r>
                <w:rPr>
                  <w:rFonts w:cs="Times New Roman" w:ascii="Times New Roman" w:hAnsi="Times New Roman"/>
                  <w:color w:themeColor="text1" w:val="000000"/>
                  <w:sz w:val="22"/>
                  <w:szCs w:val="22"/>
                </w:rPr>
                <w:t>сектор 93</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908">
              <w:r>
                <w:rPr>
                  <w:rFonts w:cs="Times New Roman" w:ascii="Times New Roman" w:hAnsi="Times New Roman"/>
                  <w:color w:themeColor="text1" w:val="000000"/>
                  <w:sz w:val="22"/>
                  <w:szCs w:val="22"/>
                </w:rPr>
                <w:t>сектор 94</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925">
              <w:r>
                <w:rPr>
                  <w:rFonts w:cs="Times New Roman" w:ascii="Times New Roman" w:hAnsi="Times New Roman"/>
                  <w:color w:themeColor="text1" w:val="000000"/>
                  <w:sz w:val="22"/>
                  <w:szCs w:val="22"/>
                </w:rPr>
                <w:t>сектор 95</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942">
              <w:r>
                <w:rPr>
                  <w:rFonts w:cs="Times New Roman" w:ascii="Times New Roman" w:hAnsi="Times New Roman"/>
                  <w:color w:themeColor="text1" w:val="000000"/>
                  <w:sz w:val="22"/>
                  <w:szCs w:val="22"/>
                </w:rPr>
                <w:t>сектор 96</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959">
              <w:r>
                <w:rPr>
                  <w:rFonts w:cs="Times New Roman" w:ascii="Times New Roman" w:hAnsi="Times New Roman"/>
                  <w:color w:themeColor="text1" w:val="000000"/>
                  <w:sz w:val="22"/>
                  <w:szCs w:val="22"/>
                </w:rPr>
                <w:t>сектор 97</w:t>
              </w:r>
            </w:hyperlink>
            <w:r>
              <w:rPr>
                <w:rFonts w:cs="Times New Roman" w:ascii="Times New Roman" w:hAnsi="Times New Roman"/>
                <w:color w:themeColor="text1" w:val="000000"/>
                <w:sz w:val="22"/>
                <w:szCs w:val="22"/>
              </w:rPr>
              <w:t xml:space="preserve"> 352,90 м;</w:t>
            </w:r>
          </w:p>
        </w:tc>
        <w:tc>
          <w:tcPr>
            <w:tcW w:w="4250" w:type="dxa"/>
            <w:vMerge w:val="restart"/>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976">
              <w:r>
                <w:rPr>
                  <w:rFonts w:cs="Times New Roman" w:ascii="Times New Roman" w:hAnsi="Times New Roman"/>
                  <w:color w:themeColor="text1" w:val="000000"/>
                  <w:sz w:val="22"/>
                  <w:szCs w:val="22"/>
                </w:rPr>
                <w:t>сектор 98</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7993">
              <w:r>
                <w:rPr>
                  <w:rFonts w:cs="Times New Roman" w:ascii="Times New Roman" w:hAnsi="Times New Roman"/>
                  <w:color w:themeColor="text1" w:val="000000"/>
                  <w:sz w:val="22"/>
                  <w:szCs w:val="22"/>
                </w:rPr>
                <w:t>сектор 99</w:t>
              </w:r>
            </w:hyperlink>
            <w:r>
              <w:rPr>
                <w:rFonts w:cs="Times New Roman" w:ascii="Times New Roman" w:hAnsi="Times New Roman"/>
                <w:color w:themeColor="text1" w:val="000000"/>
                <w:sz w:val="22"/>
                <w:szCs w:val="22"/>
              </w:rPr>
              <w:t xml:space="preserve"> 352,90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bottom w:val="single" w:sz="4" w:space="0" w:color="000000"/>
              <w:right w:val="single" w:sz="4" w:space="0" w:color="000000"/>
            </w:tcBorders>
            <w:shd w:fill="auto" w:val="clear"/>
          </w:tcPr>
          <w:p>
            <w:pPr>
              <w:pStyle w:val="ConsPlusNormal"/>
              <w:ind w:hanging="0" w:left="75"/>
              <w:jc w:val="both"/>
              <w:rPr/>
            </w:pPr>
            <w:hyperlink w:anchor="P28010">
              <w:r>
                <w:rPr>
                  <w:rFonts w:cs="Times New Roman" w:ascii="Times New Roman" w:hAnsi="Times New Roman"/>
                  <w:color w:themeColor="text1" w:val="000000"/>
                  <w:sz w:val="22"/>
                  <w:szCs w:val="22"/>
                </w:rPr>
                <w:t>сектор 100</w:t>
              </w:r>
            </w:hyperlink>
            <w:r>
              <w:rPr>
                <w:rFonts w:cs="Times New Roman" w:ascii="Times New Roman" w:hAnsi="Times New Roman"/>
                <w:color w:themeColor="text1" w:val="000000"/>
                <w:sz w:val="22"/>
                <w:szCs w:val="22"/>
              </w:rPr>
              <w:t xml:space="preserve"> от 352,90 м до 427,40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bl>
    <w:p>
      <w:pPr>
        <w:pStyle w:val="ConsPlusNormal"/>
        <w:spacing w:before="220" w:after="0"/>
        <w:ind w:firstLine="540"/>
        <w:jc w:val="both"/>
        <w:rPr/>
      </w:pPr>
      <w:r>
        <w:rPr>
          <w:rFonts w:cs="Times New Roman" w:ascii="Times New Roman" w:hAnsi="Times New Roman"/>
          <w:color w:themeColor="text1" w:val="000000"/>
          <w:sz w:val="24"/>
          <w:szCs w:val="24"/>
        </w:rPr>
        <w:t xml:space="preserve">Четвертая подзона приаэродромной территории аэродрома гражданской авиации Калуга (Грабцево), в которой в соответствии с </w:t>
      </w:r>
      <w:hyperlink r:id="rId74">
        <w:r>
          <w:rPr>
            <w:rFonts w:cs="Times New Roman" w:ascii="Times New Roman" w:hAnsi="Times New Roman"/>
            <w:color w:themeColor="text1" w:val="000000"/>
            <w:sz w:val="24"/>
            <w:szCs w:val="24"/>
          </w:rPr>
          <w:t>постановлением</w:t>
        </w:r>
      </w:hyperlink>
      <w:r>
        <w:rPr>
          <w:rFonts w:cs="Times New Roman" w:ascii="Times New Roman" w:hAnsi="Times New Roman"/>
          <w:color w:themeColor="text1" w:val="000000"/>
          <w:sz w:val="24"/>
          <w:szCs w:val="24"/>
        </w:rPr>
        <w:t xml:space="preserve"> Правительства от 24 ноября 2016 года</w:t>
        <w:br/>
        <w:t>№ 1240 абсолютная высота ограничения объектов устанавливается в Балтийской системе высот 1977 года:</w:t>
      </w:r>
    </w:p>
    <w:p>
      <w:pPr>
        <w:pStyle w:val="Style78"/>
        <w:tabs>
          <w:tab w:val="clear" w:pos="397"/>
          <w:tab w:val="left" w:pos="9498" w:leader="none"/>
        </w:tabs>
        <w:ind w:firstLine="709" w:right="567"/>
        <w:rPr>
          <w:color w:themeColor="text1" w:val="000000"/>
        </w:rPr>
      </w:pPr>
      <w:r>
        <w:rPr>
          <w:color w:themeColor="text1" w:val="000000"/>
        </w:rPr>
        <w:t>Таблица 9.4.</w:t>
      </w:r>
    </w:p>
    <w:tbl>
      <w:tblPr>
        <w:tblW w:w="9071" w:type="dxa"/>
        <w:jc w:val="center"/>
        <w:tblInd w:w="0" w:type="dxa"/>
        <w:tblLayout w:type="fixed"/>
        <w:tblCellMar>
          <w:top w:w="102" w:type="dxa"/>
          <w:left w:w="62" w:type="dxa"/>
          <w:bottom w:w="102" w:type="dxa"/>
          <w:right w:w="62" w:type="dxa"/>
        </w:tblCellMar>
        <w:tblLook w:firstRow="1" w:noVBand="1" w:lastRow="0" w:firstColumn="1" w:lastColumn="0" w:noHBand="0" w:val="04a0"/>
      </w:tblPr>
      <w:tblGrid>
        <w:gridCol w:w="4820"/>
        <w:gridCol w:w="4250"/>
      </w:tblGrid>
      <w:tr>
        <w:trPr>
          <w:tblHeader w:val="true"/>
        </w:trPr>
        <w:tc>
          <w:tcPr>
            <w:tcW w:w="48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left="75"/>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Перечень ограничений использования объектов недвижимости и осуществления деятельности</w:t>
            </w:r>
          </w:p>
        </w:tc>
        <w:tc>
          <w:tcPr>
            <w:tcW w:w="4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left="76"/>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Обоснование ограничений</w:t>
            </w:r>
          </w:p>
        </w:tc>
      </w:tr>
      <w:tr>
        <w:trPr/>
        <w:tc>
          <w:tcPr>
            <w:tcW w:w="4820" w:type="dxa"/>
            <w:tcBorders>
              <w:top w:val="single" w:sz="4" w:space="0" w:color="000000"/>
              <w:left w:val="single" w:sz="4" w:space="0" w:color="000000"/>
              <w:right w:val="single" w:sz="4" w:space="0" w:color="000000"/>
            </w:tcBorders>
            <w:shd w:fill="auto" w:val="clear"/>
          </w:tcPr>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1.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2. В границах четвертой подзоны запрещается без согласования с оператором аэродрома размещение объектов, превышающих следующие абсолютные высотные ограничения:</w:t>
            </w:r>
          </w:p>
        </w:tc>
        <w:tc>
          <w:tcPr>
            <w:tcW w:w="4250" w:type="dxa"/>
            <w:vMerge w:val="restart"/>
            <w:tcBorders>
              <w:top w:val="single" w:sz="4" w:space="0" w:color="000000"/>
              <w:left w:val="single" w:sz="4" w:space="0" w:color="000000"/>
              <w:right w:val="single" w:sz="4" w:space="0" w:color="000000"/>
            </w:tcBorders>
            <w:shd w:fill="auto" w:val="clear"/>
          </w:tcPr>
          <w:p>
            <w:pPr>
              <w:pStyle w:val="ConsPlusNormal"/>
              <w:ind w:hanging="0" w:left="76" w:right="83"/>
              <w:jc w:val="both"/>
              <w:rPr/>
            </w:pPr>
            <w:r>
              <w:rPr>
                <w:rFonts w:cs="Times New Roman" w:ascii="Times New Roman" w:hAnsi="Times New Roman"/>
                <w:color w:themeColor="text1" w:val="000000"/>
                <w:sz w:val="22"/>
                <w:szCs w:val="22"/>
              </w:rPr>
              <w:t xml:space="preserve">1. </w:t>
            </w:r>
            <w:hyperlink r:id="rId75">
              <w:r>
                <w:rPr>
                  <w:rFonts w:cs="Times New Roman" w:ascii="Times New Roman" w:hAnsi="Times New Roman"/>
                  <w:color w:themeColor="text1" w:val="000000"/>
                  <w:sz w:val="22"/>
                  <w:szCs w:val="22"/>
                </w:rPr>
                <w:t>Подпункт 4 пункта 3 статьи 47</w:t>
              </w:r>
            </w:hyperlink>
            <w:r>
              <w:rPr>
                <w:rFonts w:cs="Times New Roman" w:ascii="Times New Roman" w:hAnsi="Times New Roman"/>
                <w:color w:themeColor="text1" w:val="000000"/>
                <w:sz w:val="22"/>
                <w:szCs w:val="22"/>
              </w:rPr>
              <w:t xml:space="preserve"> Воздушного кодекса Российской Федерации.</w:t>
            </w:r>
          </w:p>
          <w:p>
            <w:pPr>
              <w:pStyle w:val="ConsPlusNormal"/>
              <w:ind w:hanging="0" w:left="76" w:right="83"/>
              <w:jc w:val="both"/>
              <w:rPr/>
            </w:pPr>
            <w:r>
              <w:rPr>
                <w:rFonts w:cs="Times New Roman" w:ascii="Times New Roman" w:hAnsi="Times New Roman"/>
                <w:color w:themeColor="text1" w:val="000000"/>
                <w:sz w:val="22"/>
                <w:szCs w:val="22"/>
              </w:rPr>
              <w:t xml:space="preserve">2. </w:t>
            </w:r>
            <w:hyperlink r:id="rId76">
              <w:r>
                <w:rPr>
                  <w:rFonts w:cs="Times New Roman" w:ascii="Times New Roman" w:hAnsi="Times New Roman"/>
                  <w:color w:themeColor="text1" w:val="000000"/>
                  <w:sz w:val="22"/>
                  <w:szCs w:val="22"/>
                </w:rPr>
                <w:t>Подпункт 4 пункта 3 статьи 1</w:t>
              </w:r>
            </w:hyperlink>
            <w:r>
              <w:rPr>
                <w:rFonts w:cs="Times New Roman" w:ascii="Times New Roman" w:hAnsi="Times New Roman"/>
                <w:color w:themeColor="text1" w:val="000000"/>
                <w:sz w:val="22"/>
                <w:szCs w:val="22"/>
              </w:rPr>
              <w:t xml:space="preserve"> Федерального закона от  01.07.2017</w:t>
              <w:br/>
              <w:t>№ 135-ФЗ.</w:t>
            </w:r>
          </w:p>
          <w:p>
            <w:pPr>
              <w:pStyle w:val="ConsPlusNormal"/>
              <w:ind w:hanging="0" w:left="76" w:right="83"/>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9795">
              <w:r>
                <w:rPr>
                  <w:rFonts w:cs="Times New Roman" w:ascii="Times New Roman" w:hAnsi="Times New Roman"/>
                  <w:color w:themeColor="text1" w:val="000000"/>
                  <w:sz w:val="22"/>
                  <w:szCs w:val="22"/>
                </w:rPr>
                <w:t>сектор 1</w:t>
              </w:r>
            </w:hyperlink>
            <w:r>
              <w:rPr>
                <w:rFonts w:cs="Times New Roman" w:ascii="Times New Roman" w:hAnsi="Times New Roman"/>
                <w:color w:themeColor="text1" w:val="000000"/>
                <w:sz w:val="22"/>
                <w:szCs w:val="22"/>
              </w:rPr>
              <w:t xml:space="preserve"> от уровня земли;</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9914">
              <w:r>
                <w:rPr>
                  <w:rFonts w:cs="Times New Roman" w:ascii="Times New Roman" w:hAnsi="Times New Roman"/>
                  <w:color w:themeColor="text1" w:val="000000"/>
                  <w:sz w:val="22"/>
                  <w:szCs w:val="22"/>
                </w:rPr>
                <w:t>сектор 2</w:t>
              </w:r>
            </w:hyperlink>
            <w:r>
              <w:rPr>
                <w:rFonts w:cs="Times New Roman" w:ascii="Times New Roman" w:hAnsi="Times New Roman"/>
                <w:color w:themeColor="text1" w:val="000000"/>
                <w:sz w:val="22"/>
                <w:szCs w:val="22"/>
              </w:rPr>
              <w:t xml:space="preserve"> от 193,4 м до 202,4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29955">
              <w:r>
                <w:rPr>
                  <w:rFonts w:cs="Times New Roman" w:ascii="Times New Roman" w:hAnsi="Times New Roman"/>
                  <w:color w:themeColor="text1" w:val="000000"/>
                  <w:sz w:val="22"/>
                  <w:szCs w:val="22"/>
                </w:rPr>
                <w:t>сектор 3</w:t>
              </w:r>
            </w:hyperlink>
            <w:r>
              <w:rPr>
                <w:rFonts w:cs="Times New Roman" w:ascii="Times New Roman" w:hAnsi="Times New Roman"/>
                <w:color w:themeColor="text1" w:val="000000"/>
                <w:sz w:val="22"/>
                <w:szCs w:val="22"/>
              </w:rPr>
              <w:t xml:space="preserve"> от 202,4 м до 208,2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053">
              <w:r>
                <w:rPr>
                  <w:rFonts w:cs="Times New Roman" w:ascii="Times New Roman" w:hAnsi="Times New Roman"/>
                  <w:color w:themeColor="text1" w:val="000000"/>
                  <w:sz w:val="22"/>
                  <w:szCs w:val="22"/>
                </w:rPr>
                <w:t>сектор 4</w:t>
              </w:r>
            </w:hyperlink>
            <w:r>
              <w:rPr>
                <w:rFonts w:cs="Times New Roman" w:ascii="Times New Roman" w:hAnsi="Times New Roman"/>
                <w:color w:themeColor="text1" w:val="000000"/>
                <w:sz w:val="22"/>
                <w:szCs w:val="22"/>
              </w:rPr>
              <w:t xml:space="preserve"> от 196,0 м до 200,4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082">
              <w:r>
                <w:rPr>
                  <w:rFonts w:cs="Times New Roman" w:ascii="Times New Roman" w:hAnsi="Times New Roman"/>
                  <w:color w:themeColor="text1" w:val="000000"/>
                  <w:sz w:val="22"/>
                  <w:szCs w:val="22"/>
                </w:rPr>
                <w:t>сектор 5</w:t>
              </w:r>
            </w:hyperlink>
            <w:r>
              <w:rPr>
                <w:rFonts w:cs="Times New Roman" w:ascii="Times New Roman" w:hAnsi="Times New Roman"/>
                <w:color w:themeColor="text1" w:val="000000"/>
                <w:sz w:val="22"/>
                <w:szCs w:val="22"/>
              </w:rPr>
              <w:t xml:space="preserve"> от 200,4 м до 205,3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126">
              <w:r>
                <w:rPr>
                  <w:rFonts w:cs="Times New Roman" w:ascii="Times New Roman" w:hAnsi="Times New Roman"/>
                  <w:color w:themeColor="text1" w:val="000000"/>
                  <w:sz w:val="22"/>
                  <w:szCs w:val="22"/>
                </w:rPr>
                <w:t>сектор 6</w:t>
              </w:r>
            </w:hyperlink>
            <w:r>
              <w:rPr>
                <w:rFonts w:cs="Times New Roman" w:ascii="Times New Roman" w:hAnsi="Times New Roman"/>
                <w:color w:themeColor="text1" w:val="000000"/>
                <w:sz w:val="22"/>
                <w:szCs w:val="22"/>
              </w:rPr>
              <w:t xml:space="preserve"> от 207,3 м до 213,4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209">
              <w:r>
                <w:rPr>
                  <w:rFonts w:cs="Times New Roman" w:ascii="Times New Roman" w:hAnsi="Times New Roman"/>
                  <w:color w:themeColor="text1" w:val="000000"/>
                  <w:sz w:val="22"/>
                  <w:szCs w:val="22"/>
                </w:rPr>
                <w:t>сектор 7</w:t>
              </w:r>
            </w:hyperlink>
            <w:r>
              <w:rPr>
                <w:rFonts w:cs="Times New Roman" w:ascii="Times New Roman" w:hAnsi="Times New Roman"/>
                <w:color w:themeColor="text1" w:val="000000"/>
                <w:sz w:val="22"/>
                <w:szCs w:val="22"/>
              </w:rPr>
              <w:t xml:space="preserve"> от 213,4 м до 216,0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286">
              <w:r>
                <w:rPr>
                  <w:rFonts w:cs="Times New Roman" w:ascii="Times New Roman" w:hAnsi="Times New Roman"/>
                  <w:color w:themeColor="text1" w:val="000000"/>
                  <w:sz w:val="22"/>
                  <w:szCs w:val="22"/>
                </w:rPr>
                <w:t>сектор 8</w:t>
              </w:r>
            </w:hyperlink>
            <w:r>
              <w:rPr>
                <w:rFonts w:cs="Times New Roman" w:ascii="Times New Roman" w:hAnsi="Times New Roman"/>
                <w:color w:themeColor="text1" w:val="000000"/>
                <w:sz w:val="22"/>
                <w:szCs w:val="22"/>
              </w:rPr>
              <w:t xml:space="preserve"> от 193,4 м до 202,4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324">
              <w:r>
                <w:rPr>
                  <w:rFonts w:cs="Times New Roman" w:ascii="Times New Roman" w:hAnsi="Times New Roman"/>
                  <w:color w:themeColor="text1" w:val="000000"/>
                  <w:sz w:val="22"/>
                  <w:szCs w:val="22"/>
                </w:rPr>
                <w:t>сектор 9</w:t>
              </w:r>
            </w:hyperlink>
            <w:r>
              <w:rPr>
                <w:rFonts w:cs="Times New Roman" w:ascii="Times New Roman" w:hAnsi="Times New Roman"/>
                <w:color w:themeColor="text1" w:val="000000"/>
                <w:sz w:val="22"/>
                <w:szCs w:val="22"/>
              </w:rPr>
              <w:t xml:space="preserve"> от 202,4 м до 216,0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422">
              <w:r>
                <w:rPr>
                  <w:rFonts w:cs="Times New Roman" w:ascii="Times New Roman" w:hAnsi="Times New Roman"/>
                  <w:color w:themeColor="text1" w:val="000000"/>
                  <w:sz w:val="22"/>
                  <w:szCs w:val="22"/>
                </w:rPr>
                <w:t>сектор 10</w:t>
              </w:r>
            </w:hyperlink>
            <w:r>
              <w:rPr>
                <w:rFonts w:cs="Times New Roman" w:ascii="Times New Roman" w:hAnsi="Times New Roman"/>
                <w:color w:themeColor="text1" w:val="000000"/>
                <w:sz w:val="22"/>
                <w:szCs w:val="22"/>
              </w:rPr>
              <w:t xml:space="preserve"> от 196,0 м до 200,4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448">
              <w:r>
                <w:rPr>
                  <w:rFonts w:cs="Times New Roman" w:ascii="Times New Roman" w:hAnsi="Times New Roman"/>
                  <w:color w:themeColor="text1" w:val="000000"/>
                  <w:sz w:val="22"/>
                  <w:szCs w:val="22"/>
                </w:rPr>
                <w:t>сектор 11</w:t>
              </w:r>
            </w:hyperlink>
            <w:r>
              <w:rPr>
                <w:rFonts w:cs="Times New Roman" w:ascii="Times New Roman" w:hAnsi="Times New Roman"/>
                <w:color w:themeColor="text1" w:val="000000"/>
                <w:sz w:val="22"/>
                <w:szCs w:val="22"/>
              </w:rPr>
              <w:t xml:space="preserve"> от 200,4 м до 205,3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501">
              <w:r>
                <w:rPr>
                  <w:rFonts w:cs="Times New Roman" w:ascii="Times New Roman" w:hAnsi="Times New Roman"/>
                  <w:color w:themeColor="text1" w:val="000000"/>
                  <w:sz w:val="22"/>
                  <w:szCs w:val="22"/>
                </w:rPr>
                <w:t>сектор 12</w:t>
              </w:r>
            </w:hyperlink>
            <w:r>
              <w:rPr>
                <w:rFonts w:cs="Times New Roman" w:ascii="Times New Roman" w:hAnsi="Times New Roman"/>
                <w:color w:themeColor="text1" w:val="000000"/>
                <w:sz w:val="22"/>
                <w:szCs w:val="22"/>
              </w:rPr>
              <w:t xml:space="preserve"> от 205,3 до 206,9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563">
              <w:r>
                <w:rPr>
                  <w:rFonts w:cs="Times New Roman" w:ascii="Times New Roman" w:hAnsi="Times New Roman"/>
                  <w:color w:themeColor="text1" w:val="000000"/>
                  <w:sz w:val="22"/>
                  <w:szCs w:val="22"/>
                </w:rPr>
                <w:t>сектор 13</w:t>
              </w:r>
            </w:hyperlink>
            <w:r>
              <w:rPr>
                <w:rFonts w:cs="Times New Roman" w:ascii="Times New Roman" w:hAnsi="Times New Roman"/>
                <w:color w:themeColor="text1" w:val="000000"/>
                <w:sz w:val="22"/>
                <w:szCs w:val="22"/>
              </w:rPr>
              <w:t xml:space="preserve"> от 207,3 м до 213,4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634">
              <w:r>
                <w:rPr>
                  <w:rFonts w:cs="Times New Roman" w:ascii="Times New Roman" w:hAnsi="Times New Roman"/>
                  <w:color w:themeColor="text1" w:val="000000"/>
                  <w:sz w:val="22"/>
                  <w:szCs w:val="22"/>
                </w:rPr>
                <w:t>сектор 14</w:t>
              </w:r>
            </w:hyperlink>
            <w:r>
              <w:rPr>
                <w:rFonts w:cs="Times New Roman" w:ascii="Times New Roman" w:hAnsi="Times New Roman"/>
                <w:color w:themeColor="text1" w:val="000000"/>
                <w:sz w:val="22"/>
                <w:szCs w:val="22"/>
              </w:rPr>
              <w:t xml:space="preserve"> от 213,4 м до 216,0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699">
              <w:r>
                <w:rPr>
                  <w:rFonts w:cs="Times New Roman" w:ascii="Times New Roman" w:hAnsi="Times New Roman"/>
                  <w:color w:themeColor="text1" w:val="000000"/>
                  <w:sz w:val="22"/>
                  <w:szCs w:val="22"/>
                </w:rPr>
                <w:t>сектор 15</w:t>
              </w:r>
            </w:hyperlink>
            <w:r>
              <w:rPr>
                <w:rFonts w:cs="Times New Roman" w:ascii="Times New Roman" w:hAnsi="Times New Roman"/>
                <w:color w:themeColor="text1" w:val="000000"/>
                <w:sz w:val="22"/>
                <w:szCs w:val="22"/>
              </w:rPr>
              <w:t xml:space="preserve"> 205,3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818">
              <w:r>
                <w:rPr>
                  <w:rFonts w:cs="Times New Roman" w:ascii="Times New Roman" w:hAnsi="Times New Roman"/>
                  <w:color w:themeColor="text1" w:val="000000"/>
                  <w:sz w:val="22"/>
                  <w:szCs w:val="22"/>
                </w:rPr>
                <w:t>сектор 16</w:t>
              </w:r>
            </w:hyperlink>
            <w:r>
              <w:rPr>
                <w:rFonts w:cs="Times New Roman" w:ascii="Times New Roman" w:hAnsi="Times New Roman"/>
                <w:color w:themeColor="text1" w:val="000000"/>
                <w:sz w:val="22"/>
                <w:szCs w:val="22"/>
              </w:rPr>
              <w:t xml:space="preserve"> от 205,3 м до 206,0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0928">
              <w:r>
                <w:rPr>
                  <w:rFonts w:cs="Times New Roman" w:ascii="Times New Roman" w:hAnsi="Times New Roman"/>
                  <w:color w:themeColor="text1" w:val="000000"/>
                  <w:sz w:val="22"/>
                  <w:szCs w:val="22"/>
                </w:rPr>
                <w:t>сектор 17</w:t>
              </w:r>
            </w:hyperlink>
            <w:r>
              <w:rPr>
                <w:rFonts w:cs="Times New Roman" w:ascii="Times New Roman" w:hAnsi="Times New Roman"/>
                <w:color w:themeColor="text1" w:val="000000"/>
                <w:sz w:val="22"/>
                <w:szCs w:val="22"/>
              </w:rPr>
              <w:t xml:space="preserve"> от 205,3 м до 207,3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1143">
              <w:r>
                <w:rPr>
                  <w:rFonts w:cs="Times New Roman" w:ascii="Times New Roman" w:hAnsi="Times New Roman"/>
                  <w:color w:themeColor="text1" w:val="000000"/>
                  <w:sz w:val="22"/>
                  <w:szCs w:val="22"/>
                </w:rPr>
                <w:t>сектор 18</w:t>
              </w:r>
            </w:hyperlink>
            <w:r>
              <w:rPr>
                <w:rFonts w:cs="Times New Roman" w:ascii="Times New Roman" w:hAnsi="Times New Roman"/>
                <w:color w:themeColor="text1" w:val="000000"/>
                <w:sz w:val="22"/>
                <w:szCs w:val="22"/>
              </w:rPr>
              <w:t xml:space="preserve"> от 207,3 до 208, 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1223">
              <w:r>
                <w:rPr>
                  <w:rFonts w:cs="Times New Roman" w:ascii="Times New Roman" w:hAnsi="Times New Roman"/>
                  <w:color w:themeColor="text1" w:val="000000"/>
                  <w:sz w:val="22"/>
                  <w:szCs w:val="22"/>
                </w:rPr>
                <w:t>сектор 19</w:t>
              </w:r>
            </w:hyperlink>
            <w:r>
              <w:rPr>
                <w:rFonts w:cs="Times New Roman" w:ascii="Times New Roman" w:hAnsi="Times New Roman"/>
                <w:color w:themeColor="text1" w:val="000000"/>
                <w:sz w:val="22"/>
                <w:szCs w:val="22"/>
              </w:rPr>
              <w:t xml:space="preserve"> от 208,0 м до 208,2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1390">
              <w:r>
                <w:rPr>
                  <w:rFonts w:cs="Times New Roman" w:ascii="Times New Roman" w:hAnsi="Times New Roman"/>
                  <w:color w:themeColor="text1" w:val="000000"/>
                  <w:sz w:val="22"/>
                  <w:szCs w:val="22"/>
                </w:rPr>
                <w:t>сектор 20</w:t>
              </w:r>
            </w:hyperlink>
            <w:r>
              <w:rPr>
                <w:rFonts w:cs="Times New Roman" w:ascii="Times New Roman" w:hAnsi="Times New Roman"/>
                <w:color w:themeColor="text1" w:val="000000"/>
                <w:sz w:val="22"/>
                <w:szCs w:val="22"/>
              </w:rPr>
              <w:t xml:space="preserve"> от 207,3 м до 216,0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1647">
              <w:r>
                <w:rPr>
                  <w:rFonts w:cs="Times New Roman" w:ascii="Times New Roman" w:hAnsi="Times New Roman"/>
                  <w:color w:themeColor="text1" w:val="000000"/>
                  <w:sz w:val="22"/>
                  <w:szCs w:val="22"/>
                </w:rPr>
                <w:t>сектор 21</w:t>
              </w:r>
            </w:hyperlink>
            <w:r>
              <w:rPr>
                <w:rFonts w:cs="Times New Roman" w:ascii="Times New Roman" w:hAnsi="Times New Roman"/>
                <w:color w:themeColor="text1" w:val="000000"/>
                <w:sz w:val="22"/>
                <w:szCs w:val="22"/>
              </w:rPr>
              <w:t xml:space="preserve"> от 216,0 м до 217,9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1808">
              <w:r>
                <w:rPr>
                  <w:rFonts w:cs="Times New Roman" w:ascii="Times New Roman" w:hAnsi="Times New Roman"/>
                  <w:color w:themeColor="text1" w:val="000000"/>
                  <w:sz w:val="22"/>
                  <w:szCs w:val="22"/>
                </w:rPr>
                <w:t>сектор 22</w:t>
              </w:r>
            </w:hyperlink>
            <w:r>
              <w:rPr>
                <w:rFonts w:cs="Times New Roman" w:ascii="Times New Roman" w:hAnsi="Times New Roman"/>
                <w:color w:themeColor="text1" w:val="000000"/>
                <w:sz w:val="22"/>
                <w:szCs w:val="22"/>
              </w:rPr>
              <w:t xml:space="preserve"> 205,3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1867">
              <w:r>
                <w:rPr>
                  <w:rFonts w:cs="Times New Roman" w:ascii="Times New Roman" w:hAnsi="Times New Roman"/>
                  <w:color w:themeColor="text1" w:val="000000"/>
                  <w:sz w:val="22"/>
                  <w:szCs w:val="22"/>
                </w:rPr>
                <w:t>сектор 23</w:t>
              </w:r>
            </w:hyperlink>
            <w:r>
              <w:rPr>
                <w:rFonts w:cs="Times New Roman" w:ascii="Times New Roman" w:hAnsi="Times New Roman"/>
                <w:color w:themeColor="text1" w:val="000000"/>
                <w:sz w:val="22"/>
                <w:szCs w:val="22"/>
              </w:rPr>
              <w:t xml:space="preserve"> от 205,3 м до 207,3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1974">
              <w:r>
                <w:rPr>
                  <w:rFonts w:cs="Times New Roman" w:ascii="Times New Roman" w:hAnsi="Times New Roman"/>
                  <w:color w:themeColor="text1" w:val="000000"/>
                  <w:sz w:val="22"/>
                  <w:szCs w:val="22"/>
                </w:rPr>
                <w:t>сектор 24</w:t>
              </w:r>
            </w:hyperlink>
            <w:r>
              <w:rPr>
                <w:rFonts w:cs="Times New Roman" w:ascii="Times New Roman" w:hAnsi="Times New Roman"/>
                <w:color w:themeColor="text1" w:val="000000"/>
                <w:sz w:val="22"/>
                <w:szCs w:val="22"/>
              </w:rPr>
              <w:t xml:space="preserve"> от 207,3 м до 208,0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2048">
              <w:r>
                <w:rPr>
                  <w:rFonts w:cs="Times New Roman" w:ascii="Times New Roman" w:hAnsi="Times New Roman"/>
                  <w:color w:themeColor="text1" w:val="000000"/>
                  <w:sz w:val="22"/>
                  <w:szCs w:val="22"/>
                </w:rPr>
                <w:t>сектор 25</w:t>
              </w:r>
            </w:hyperlink>
            <w:r>
              <w:rPr>
                <w:rFonts w:cs="Times New Roman" w:ascii="Times New Roman" w:hAnsi="Times New Roman"/>
                <w:color w:themeColor="text1" w:val="000000"/>
                <w:sz w:val="22"/>
                <w:szCs w:val="22"/>
              </w:rPr>
              <w:t xml:space="preserve"> от 208,0 м до 208,2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2149">
              <w:r>
                <w:rPr>
                  <w:rFonts w:cs="Times New Roman" w:ascii="Times New Roman" w:hAnsi="Times New Roman"/>
                  <w:color w:themeColor="text1" w:val="000000"/>
                  <w:sz w:val="22"/>
                  <w:szCs w:val="22"/>
                </w:rPr>
                <w:t>сектор 26</w:t>
              </w:r>
            </w:hyperlink>
            <w:r>
              <w:rPr>
                <w:rFonts w:cs="Times New Roman" w:ascii="Times New Roman" w:hAnsi="Times New Roman"/>
                <w:color w:themeColor="text1" w:val="000000"/>
                <w:sz w:val="22"/>
                <w:szCs w:val="22"/>
              </w:rPr>
              <w:t xml:space="preserve"> от 207,3 м до 216,0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2322">
              <w:r>
                <w:rPr>
                  <w:rFonts w:cs="Times New Roman" w:ascii="Times New Roman" w:hAnsi="Times New Roman"/>
                  <w:color w:themeColor="text1" w:val="000000"/>
                  <w:sz w:val="22"/>
                  <w:szCs w:val="22"/>
                </w:rPr>
                <w:t>сектор 27</w:t>
              </w:r>
            </w:hyperlink>
            <w:r>
              <w:rPr>
                <w:rFonts w:cs="Times New Roman" w:ascii="Times New Roman" w:hAnsi="Times New Roman"/>
                <w:color w:themeColor="text1" w:val="000000"/>
                <w:sz w:val="22"/>
                <w:szCs w:val="22"/>
              </w:rPr>
              <w:t xml:space="preserve"> от 216,0 м до 217,9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2438">
              <w:r>
                <w:rPr>
                  <w:rFonts w:cs="Times New Roman" w:ascii="Times New Roman" w:hAnsi="Times New Roman"/>
                  <w:color w:themeColor="text1" w:val="000000"/>
                  <w:sz w:val="22"/>
                  <w:szCs w:val="22"/>
                </w:rPr>
                <w:t>сектор 28</w:t>
              </w:r>
            </w:hyperlink>
            <w:r>
              <w:rPr>
                <w:rFonts w:cs="Times New Roman" w:ascii="Times New Roman" w:hAnsi="Times New Roman"/>
                <w:color w:themeColor="text1" w:val="000000"/>
                <w:sz w:val="22"/>
                <w:szCs w:val="22"/>
              </w:rPr>
              <w:t xml:space="preserve"> от 216,0 м до 224,6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2818">
              <w:r>
                <w:rPr>
                  <w:rFonts w:cs="Times New Roman" w:ascii="Times New Roman" w:hAnsi="Times New Roman"/>
                  <w:color w:themeColor="text1" w:val="000000"/>
                  <w:sz w:val="22"/>
                  <w:szCs w:val="22"/>
                </w:rPr>
                <w:t>сектор 29</w:t>
              </w:r>
            </w:hyperlink>
            <w:r>
              <w:rPr>
                <w:rFonts w:cs="Times New Roman" w:ascii="Times New Roman" w:hAnsi="Times New Roman"/>
                <w:color w:themeColor="text1" w:val="000000"/>
                <w:sz w:val="22"/>
                <w:szCs w:val="22"/>
              </w:rPr>
              <w:t xml:space="preserve"> от 216,0 м до 224,6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3183">
              <w:r>
                <w:rPr>
                  <w:rFonts w:cs="Times New Roman" w:ascii="Times New Roman" w:hAnsi="Times New Roman"/>
                  <w:color w:themeColor="text1" w:val="000000"/>
                  <w:sz w:val="22"/>
                  <w:szCs w:val="22"/>
                </w:rPr>
                <w:t>сектор 30</w:t>
              </w:r>
            </w:hyperlink>
            <w:r>
              <w:rPr>
                <w:rFonts w:cs="Times New Roman" w:ascii="Times New Roman" w:hAnsi="Times New Roman"/>
                <w:color w:themeColor="text1" w:val="000000"/>
                <w:sz w:val="22"/>
                <w:szCs w:val="22"/>
              </w:rPr>
              <w:t xml:space="preserve"> от 224,6 м до 226,6 м;</w:t>
            </w:r>
          </w:p>
        </w:tc>
        <w:tc>
          <w:tcPr>
            <w:tcW w:w="4250" w:type="dxa"/>
            <w:vMerge w:val="continue"/>
            <w:tcBorders>
              <w:top w:val="single" w:sz="4" w:space="0" w:color="000000"/>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3524">
              <w:r>
                <w:rPr>
                  <w:rFonts w:cs="Times New Roman" w:ascii="Times New Roman" w:hAnsi="Times New Roman"/>
                  <w:color w:themeColor="text1" w:val="000000"/>
                  <w:sz w:val="22"/>
                  <w:szCs w:val="22"/>
                </w:rPr>
                <w:t>сектор 31</w:t>
              </w:r>
            </w:hyperlink>
            <w:r>
              <w:rPr>
                <w:rFonts w:cs="Times New Roman" w:ascii="Times New Roman" w:hAnsi="Times New Roman"/>
                <w:color w:themeColor="text1" w:val="000000"/>
                <w:sz w:val="22"/>
                <w:szCs w:val="22"/>
              </w:rPr>
              <w:t xml:space="preserve"> от 224,6 м до 229,0 м;</w:t>
            </w:r>
          </w:p>
        </w:tc>
        <w:tc>
          <w:tcPr>
            <w:tcW w:w="4250" w:type="dxa"/>
            <w:vMerge w:val="restart"/>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4108">
              <w:r>
                <w:rPr>
                  <w:rFonts w:cs="Times New Roman" w:ascii="Times New Roman" w:hAnsi="Times New Roman"/>
                  <w:color w:themeColor="text1" w:val="000000"/>
                  <w:sz w:val="22"/>
                  <w:szCs w:val="22"/>
                </w:rPr>
                <w:t>сектор 32</w:t>
              </w:r>
            </w:hyperlink>
            <w:r>
              <w:rPr>
                <w:rFonts w:cs="Times New Roman" w:ascii="Times New Roman" w:hAnsi="Times New Roman"/>
                <w:color w:themeColor="text1" w:val="000000"/>
                <w:sz w:val="22"/>
                <w:szCs w:val="22"/>
              </w:rPr>
              <w:t xml:space="preserve"> от 229,0 м до 233,4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4941">
              <w:r>
                <w:rPr>
                  <w:rFonts w:cs="Times New Roman" w:ascii="Times New Roman" w:hAnsi="Times New Roman"/>
                  <w:color w:themeColor="text1" w:val="000000"/>
                  <w:sz w:val="22"/>
                  <w:szCs w:val="22"/>
                </w:rPr>
                <w:t>сектор 33</w:t>
              </w:r>
            </w:hyperlink>
            <w:r>
              <w:rPr>
                <w:rFonts w:cs="Times New Roman" w:ascii="Times New Roman" w:hAnsi="Times New Roman"/>
                <w:color w:themeColor="text1" w:val="000000"/>
                <w:sz w:val="22"/>
                <w:szCs w:val="22"/>
              </w:rPr>
              <w:t xml:space="preserve"> от 233,4 м до 237,7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5579">
              <w:r>
                <w:rPr>
                  <w:rFonts w:cs="Times New Roman" w:ascii="Times New Roman" w:hAnsi="Times New Roman"/>
                  <w:color w:themeColor="text1" w:val="000000"/>
                  <w:sz w:val="22"/>
                  <w:szCs w:val="22"/>
                </w:rPr>
                <w:t>сектор 34</w:t>
              </w:r>
            </w:hyperlink>
            <w:r>
              <w:rPr>
                <w:rFonts w:cs="Times New Roman" w:ascii="Times New Roman" w:hAnsi="Times New Roman"/>
                <w:color w:themeColor="text1" w:val="000000"/>
                <w:sz w:val="22"/>
                <w:szCs w:val="22"/>
              </w:rPr>
              <w:t xml:space="preserve"> от 237,7 м до 242,1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6211">
              <w:r>
                <w:rPr>
                  <w:rFonts w:cs="Times New Roman" w:ascii="Times New Roman" w:hAnsi="Times New Roman"/>
                  <w:color w:themeColor="text1" w:val="000000"/>
                  <w:sz w:val="22"/>
                  <w:szCs w:val="22"/>
                </w:rPr>
                <w:t>сектор 35</w:t>
              </w:r>
            </w:hyperlink>
            <w:r>
              <w:rPr>
                <w:rFonts w:cs="Times New Roman" w:ascii="Times New Roman" w:hAnsi="Times New Roman"/>
                <w:color w:themeColor="text1" w:val="000000"/>
                <w:sz w:val="22"/>
                <w:szCs w:val="22"/>
              </w:rPr>
              <w:t xml:space="preserve"> от 242,1 м до 246,5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6819">
              <w:r>
                <w:rPr>
                  <w:rFonts w:cs="Times New Roman" w:ascii="Times New Roman" w:hAnsi="Times New Roman"/>
                  <w:color w:themeColor="text1" w:val="000000"/>
                  <w:sz w:val="22"/>
                  <w:szCs w:val="22"/>
                </w:rPr>
                <w:t>сектор 36</w:t>
              </w:r>
            </w:hyperlink>
            <w:r>
              <w:rPr>
                <w:rFonts w:cs="Times New Roman" w:ascii="Times New Roman" w:hAnsi="Times New Roman"/>
                <w:color w:themeColor="text1" w:val="000000"/>
                <w:sz w:val="22"/>
                <w:szCs w:val="22"/>
              </w:rPr>
              <w:t xml:space="preserve"> от 246,5 м до 250,8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7337">
              <w:r>
                <w:rPr>
                  <w:rFonts w:cs="Times New Roman" w:ascii="Times New Roman" w:hAnsi="Times New Roman"/>
                  <w:color w:themeColor="text1" w:val="000000"/>
                  <w:sz w:val="22"/>
                  <w:szCs w:val="22"/>
                </w:rPr>
                <w:t>сектор 37</w:t>
              </w:r>
            </w:hyperlink>
            <w:r>
              <w:rPr>
                <w:rFonts w:cs="Times New Roman" w:ascii="Times New Roman" w:hAnsi="Times New Roman"/>
                <w:color w:themeColor="text1" w:val="000000"/>
                <w:sz w:val="22"/>
                <w:szCs w:val="22"/>
              </w:rPr>
              <w:t xml:space="preserve"> от 250,8 м до 255,2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7852">
              <w:r>
                <w:rPr>
                  <w:rFonts w:cs="Times New Roman" w:ascii="Times New Roman" w:hAnsi="Times New Roman"/>
                  <w:color w:themeColor="text1" w:val="000000"/>
                  <w:sz w:val="22"/>
                  <w:szCs w:val="22"/>
                </w:rPr>
                <w:t>сектор 38</w:t>
              </w:r>
            </w:hyperlink>
            <w:r>
              <w:rPr>
                <w:rFonts w:cs="Times New Roman" w:ascii="Times New Roman" w:hAnsi="Times New Roman"/>
                <w:color w:themeColor="text1" w:val="000000"/>
                <w:sz w:val="22"/>
                <w:szCs w:val="22"/>
              </w:rPr>
              <w:t xml:space="preserve"> от 255,2 м до 259,6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8418">
              <w:r>
                <w:rPr>
                  <w:rFonts w:cs="Times New Roman" w:ascii="Times New Roman" w:hAnsi="Times New Roman"/>
                  <w:color w:themeColor="text1" w:val="000000"/>
                  <w:sz w:val="22"/>
                  <w:szCs w:val="22"/>
                </w:rPr>
                <w:t>сектор 39</w:t>
              </w:r>
            </w:hyperlink>
            <w:r>
              <w:rPr>
                <w:rFonts w:cs="Times New Roman" w:ascii="Times New Roman" w:hAnsi="Times New Roman"/>
                <w:color w:themeColor="text1" w:val="000000"/>
                <w:sz w:val="22"/>
                <w:szCs w:val="22"/>
              </w:rPr>
              <w:t xml:space="preserve"> от 259,6 м до 263,9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8996">
              <w:r>
                <w:rPr>
                  <w:rFonts w:cs="Times New Roman" w:ascii="Times New Roman" w:hAnsi="Times New Roman"/>
                  <w:color w:themeColor="text1" w:val="000000"/>
                  <w:sz w:val="22"/>
                  <w:szCs w:val="22"/>
                </w:rPr>
                <w:t>сектор 40</w:t>
              </w:r>
            </w:hyperlink>
            <w:r>
              <w:rPr>
                <w:rFonts w:cs="Times New Roman" w:ascii="Times New Roman" w:hAnsi="Times New Roman"/>
                <w:color w:themeColor="text1" w:val="000000"/>
                <w:sz w:val="22"/>
                <w:szCs w:val="22"/>
              </w:rPr>
              <w:t xml:space="preserve"> от 263,9 м до 268,3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39583">
              <w:r>
                <w:rPr>
                  <w:rFonts w:cs="Times New Roman" w:ascii="Times New Roman" w:hAnsi="Times New Roman"/>
                  <w:color w:themeColor="text1" w:val="000000"/>
                  <w:sz w:val="22"/>
                  <w:szCs w:val="22"/>
                </w:rPr>
                <w:t>сектор 41</w:t>
              </w:r>
            </w:hyperlink>
            <w:r>
              <w:rPr>
                <w:rFonts w:cs="Times New Roman" w:ascii="Times New Roman" w:hAnsi="Times New Roman"/>
                <w:color w:themeColor="text1" w:val="000000"/>
                <w:sz w:val="22"/>
                <w:szCs w:val="22"/>
              </w:rPr>
              <w:t xml:space="preserve"> от 268,3 м до 272,7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0215">
              <w:r>
                <w:rPr>
                  <w:rFonts w:cs="Times New Roman" w:ascii="Times New Roman" w:hAnsi="Times New Roman"/>
                  <w:color w:themeColor="text1" w:val="000000"/>
                  <w:sz w:val="22"/>
                  <w:szCs w:val="22"/>
                </w:rPr>
                <w:t>сектор 42</w:t>
              </w:r>
            </w:hyperlink>
            <w:r>
              <w:rPr>
                <w:rFonts w:cs="Times New Roman" w:ascii="Times New Roman" w:hAnsi="Times New Roman"/>
                <w:color w:themeColor="text1" w:val="000000"/>
                <w:sz w:val="22"/>
                <w:szCs w:val="22"/>
              </w:rPr>
              <w:t xml:space="preserve"> от 272,7 м до 277,0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0853">
              <w:r>
                <w:rPr>
                  <w:rFonts w:cs="Times New Roman" w:ascii="Times New Roman" w:hAnsi="Times New Roman"/>
                  <w:color w:themeColor="text1" w:val="000000"/>
                  <w:sz w:val="22"/>
                  <w:szCs w:val="22"/>
                </w:rPr>
                <w:t>сектор 43</w:t>
              </w:r>
            </w:hyperlink>
            <w:r>
              <w:rPr>
                <w:rFonts w:cs="Times New Roman" w:ascii="Times New Roman" w:hAnsi="Times New Roman"/>
                <w:color w:themeColor="text1" w:val="000000"/>
                <w:sz w:val="22"/>
                <w:szCs w:val="22"/>
              </w:rPr>
              <w:t xml:space="preserve"> от 277,0 м до 281,4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1497">
              <w:r>
                <w:rPr>
                  <w:rFonts w:cs="Times New Roman" w:ascii="Times New Roman" w:hAnsi="Times New Roman"/>
                  <w:color w:themeColor="text1" w:val="000000"/>
                  <w:sz w:val="22"/>
                  <w:szCs w:val="22"/>
                </w:rPr>
                <w:t>сектор 44</w:t>
              </w:r>
            </w:hyperlink>
            <w:r>
              <w:rPr>
                <w:rFonts w:cs="Times New Roman" w:ascii="Times New Roman" w:hAnsi="Times New Roman"/>
                <w:color w:themeColor="text1" w:val="000000"/>
                <w:sz w:val="22"/>
                <w:szCs w:val="22"/>
              </w:rPr>
              <w:t xml:space="preserve"> от 281,4 м до 285,8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2183">
              <w:r>
                <w:rPr>
                  <w:rFonts w:cs="Times New Roman" w:ascii="Times New Roman" w:hAnsi="Times New Roman"/>
                  <w:color w:themeColor="text1" w:val="000000"/>
                  <w:sz w:val="22"/>
                  <w:szCs w:val="22"/>
                </w:rPr>
                <w:t>сектор 45</w:t>
              </w:r>
            </w:hyperlink>
            <w:r>
              <w:rPr>
                <w:rFonts w:cs="Times New Roman" w:ascii="Times New Roman" w:hAnsi="Times New Roman"/>
                <w:color w:themeColor="text1" w:val="000000"/>
                <w:sz w:val="22"/>
                <w:szCs w:val="22"/>
              </w:rPr>
              <w:t xml:space="preserve"> от 285,8 м до 290,1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2872">
              <w:r>
                <w:rPr>
                  <w:rFonts w:cs="Times New Roman" w:ascii="Times New Roman" w:hAnsi="Times New Roman"/>
                  <w:color w:themeColor="text1" w:val="000000"/>
                  <w:sz w:val="22"/>
                  <w:szCs w:val="22"/>
                </w:rPr>
                <w:t>сектор 46</w:t>
              </w:r>
            </w:hyperlink>
            <w:r>
              <w:rPr>
                <w:rFonts w:cs="Times New Roman" w:ascii="Times New Roman" w:hAnsi="Times New Roman"/>
                <w:color w:themeColor="text1" w:val="000000"/>
                <w:sz w:val="22"/>
                <w:szCs w:val="22"/>
              </w:rPr>
              <w:t xml:space="preserve"> от 290,1 м до 294,5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3237">
              <w:r>
                <w:rPr>
                  <w:rFonts w:cs="Times New Roman" w:ascii="Times New Roman" w:hAnsi="Times New Roman"/>
                  <w:color w:themeColor="text1" w:val="000000"/>
                  <w:sz w:val="22"/>
                  <w:szCs w:val="22"/>
                </w:rPr>
                <w:t>сектор 47</w:t>
              </w:r>
            </w:hyperlink>
            <w:r>
              <w:rPr>
                <w:rFonts w:cs="Times New Roman" w:ascii="Times New Roman" w:hAnsi="Times New Roman"/>
                <w:color w:themeColor="text1" w:val="000000"/>
                <w:sz w:val="22"/>
                <w:szCs w:val="22"/>
              </w:rPr>
              <w:t xml:space="preserve"> от 294,5 м до 298,9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3620">
              <w:r>
                <w:rPr>
                  <w:rFonts w:cs="Times New Roman" w:ascii="Times New Roman" w:hAnsi="Times New Roman"/>
                  <w:color w:themeColor="text1" w:val="000000"/>
                  <w:sz w:val="22"/>
                  <w:szCs w:val="22"/>
                </w:rPr>
                <w:t>сектор 48</w:t>
              </w:r>
            </w:hyperlink>
            <w:r>
              <w:rPr>
                <w:rFonts w:cs="Times New Roman" w:ascii="Times New Roman" w:hAnsi="Times New Roman"/>
                <w:color w:themeColor="text1" w:val="000000"/>
                <w:sz w:val="22"/>
                <w:szCs w:val="22"/>
              </w:rPr>
              <w:t xml:space="preserve"> от 298,9 м до 303,2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4021">
              <w:r>
                <w:rPr>
                  <w:rFonts w:cs="Times New Roman" w:ascii="Times New Roman" w:hAnsi="Times New Roman"/>
                  <w:color w:themeColor="text1" w:val="000000"/>
                  <w:sz w:val="22"/>
                  <w:szCs w:val="22"/>
                </w:rPr>
                <w:t>сектор 49</w:t>
              </w:r>
            </w:hyperlink>
            <w:r>
              <w:rPr>
                <w:rFonts w:cs="Times New Roman" w:ascii="Times New Roman" w:hAnsi="Times New Roman"/>
                <w:color w:themeColor="text1" w:val="000000"/>
                <w:sz w:val="22"/>
                <w:szCs w:val="22"/>
              </w:rPr>
              <w:t xml:space="preserve"> от 303,2 м до 307,6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4404">
              <w:r>
                <w:rPr>
                  <w:rFonts w:cs="Times New Roman" w:ascii="Times New Roman" w:hAnsi="Times New Roman"/>
                  <w:color w:themeColor="text1" w:val="000000"/>
                  <w:sz w:val="22"/>
                  <w:szCs w:val="22"/>
                </w:rPr>
                <w:t>сектор 50</w:t>
              </w:r>
            </w:hyperlink>
            <w:r>
              <w:rPr>
                <w:rFonts w:cs="Times New Roman" w:ascii="Times New Roman" w:hAnsi="Times New Roman"/>
                <w:color w:themeColor="text1" w:val="000000"/>
                <w:sz w:val="22"/>
                <w:szCs w:val="22"/>
              </w:rPr>
              <w:t xml:space="preserve"> от 307,6 м до 311,9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4805">
              <w:r>
                <w:rPr>
                  <w:rFonts w:cs="Times New Roman" w:ascii="Times New Roman" w:hAnsi="Times New Roman"/>
                  <w:color w:themeColor="text1" w:val="000000"/>
                  <w:sz w:val="22"/>
                  <w:szCs w:val="22"/>
                </w:rPr>
                <w:t>сектор 51</w:t>
              </w:r>
            </w:hyperlink>
            <w:r>
              <w:rPr>
                <w:rFonts w:cs="Times New Roman" w:ascii="Times New Roman" w:hAnsi="Times New Roman"/>
                <w:color w:themeColor="text1" w:val="000000"/>
                <w:sz w:val="22"/>
                <w:szCs w:val="22"/>
              </w:rPr>
              <w:t xml:space="preserve"> от 311,9 м до 316,3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5224">
              <w:r>
                <w:rPr>
                  <w:rFonts w:cs="Times New Roman" w:ascii="Times New Roman" w:hAnsi="Times New Roman"/>
                  <w:color w:themeColor="text1" w:val="000000"/>
                  <w:sz w:val="22"/>
                  <w:szCs w:val="22"/>
                </w:rPr>
                <w:t>сектор 52</w:t>
              </w:r>
            </w:hyperlink>
            <w:r>
              <w:rPr>
                <w:rFonts w:cs="Times New Roman" w:ascii="Times New Roman" w:hAnsi="Times New Roman"/>
                <w:color w:themeColor="text1" w:val="000000"/>
                <w:sz w:val="22"/>
                <w:szCs w:val="22"/>
              </w:rPr>
              <w:t xml:space="preserve"> от 316,3 м до 320,7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5661">
              <w:r>
                <w:rPr>
                  <w:rFonts w:cs="Times New Roman" w:ascii="Times New Roman" w:hAnsi="Times New Roman"/>
                  <w:color w:themeColor="text1" w:val="000000"/>
                  <w:sz w:val="22"/>
                  <w:szCs w:val="22"/>
                </w:rPr>
                <w:t>сектор 53</w:t>
              </w:r>
            </w:hyperlink>
            <w:r>
              <w:rPr>
                <w:rFonts w:cs="Times New Roman" w:ascii="Times New Roman" w:hAnsi="Times New Roman"/>
                <w:color w:themeColor="text1" w:val="000000"/>
                <w:sz w:val="22"/>
                <w:szCs w:val="22"/>
              </w:rPr>
              <w:t xml:space="preserve"> от 320,7 м до 325,0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6116">
              <w:r>
                <w:rPr>
                  <w:rFonts w:cs="Times New Roman" w:ascii="Times New Roman" w:hAnsi="Times New Roman"/>
                  <w:color w:themeColor="text1" w:val="000000"/>
                  <w:sz w:val="22"/>
                  <w:szCs w:val="22"/>
                </w:rPr>
                <w:t>сектор 54</w:t>
              </w:r>
            </w:hyperlink>
            <w:r>
              <w:rPr>
                <w:rFonts w:cs="Times New Roman" w:ascii="Times New Roman" w:hAnsi="Times New Roman"/>
                <w:color w:themeColor="text1" w:val="000000"/>
                <w:sz w:val="22"/>
                <w:szCs w:val="22"/>
              </w:rPr>
              <w:t xml:space="preserve"> от 325,0 м до 329,4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6589">
              <w:r>
                <w:rPr>
                  <w:rFonts w:cs="Times New Roman" w:ascii="Times New Roman" w:hAnsi="Times New Roman"/>
                  <w:color w:themeColor="text1" w:val="000000"/>
                  <w:sz w:val="22"/>
                  <w:szCs w:val="22"/>
                </w:rPr>
                <w:t>сектор 55</w:t>
              </w:r>
            </w:hyperlink>
            <w:r>
              <w:rPr>
                <w:rFonts w:cs="Times New Roman" w:ascii="Times New Roman" w:hAnsi="Times New Roman"/>
                <w:color w:themeColor="text1" w:val="000000"/>
                <w:sz w:val="22"/>
                <w:szCs w:val="22"/>
              </w:rPr>
              <w:t xml:space="preserve"> от 329,4 м до 333,8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7038">
              <w:r>
                <w:rPr>
                  <w:rFonts w:cs="Times New Roman" w:ascii="Times New Roman" w:hAnsi="Times New Roman"/>
                  <w:color w:themeColor="text1" w:val="000000"/>
                  <w:sz w:val="22"/>
                  <w:szCs w:val="22"/>
                </w:rPr>
                <w:t>сектор 56</w:t>
              </w:r>
            </w:hyperlink>
            <w:r>
              <w:rPr>
                <w:rFonts w:cs="Times New Roman" w:ascii="Times New Roman" w:hAnsi="Times New Roman"/>
                <w:color w:themeColor="text1" w:val="000000"/>
                <w:sz w:val="22"/>
                <w:szCs w:val="22"/>
              </w:rPr>
              <w:t xml:space="preserve"> от 333,8 м до 338,1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7499">
              <w:r>
                <w:rPr>
                  <w:rFonts w:cs="Times New Roman" w:ascii="Times New Roman" w:hAnsi="Times New Roman"/>
                  <w:color w:themeColor="text1" w:val="000000"/>
                  <w:sz w:val="22"/>
                  <w:szCs w:val="22"/>
                </w:rPr>
                <w:t>сектор 57</w:t>
              </w:r>
            </w:hyperlink>
            <w:r>
              <w:rPr>
                <w:rFonts w:cs="Times New Roman" w:ascii="Times New Roman" w:hAnsi="Times New Roman"/>
                <w:color w:themeColor="text1" w:val="000000"/>
                <w:sz w:val="22"/>
                <w:szCs w:val="22"/>
              </w:rPr>
              <w:t xml:space="preserve"> от 338,1 м до 342,5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7987">
              <w:r>
                <w:rPr>
                  <w:rFonts w:cs="Times New Roman" w:ascii="Times New Roman" w:hAnsi="Times New Roman"/>
                  <w:color w:themeColor="text1" w:val="000000"/>
                  <w:sz w:val="22"/>
                  <w:szCs w:val="22"/>
                </w:rPr>
                <w:t>сектор 58</w:t>
              </w:r>
            </w:hyperlink>
            <w:r>
              <w:rPr>
                <w:rFonts w:cs="Times New Roman" w:ascii="Times New Roman" w:hAnsi="Times New Roman"/>
                <w:color w:themeColor="text1" w:val="000000"/>
                <w:sz w:val="22"/>
                <w:szCs w:val="22"/>
              </w:rPr>
              <w:t xml:space="preserve"> 201,6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8088">
              <w:r>
                <w:rPr>
                  <w:rFonts w:cs="Times New Roman" w:ascii="Times New Roman" w:hAnsi="Times New Roman"/>
                  <w:color w:themeColor="text1" w:val="000000"/>
                  <w:sz w:val="22"/>
                  <w:szCs w:val="22"/>
                </w:rPr>
                <w:t>сектор 59</w:t>
              </w:r>
            </w:hyperlink>
            <w:r>
              <w:rPr>
                <w:rFonts w:cs="Times New Roman" w:ascii="Times New Roman" w:hAnsi="Times New Roman"/>
                <w:color w:themeColor="text1" w:val="000000"/>
                <w:sz w:val="22"/>
                <w:szCs w:val="22"/>
              </w:rPr>
              <w:t xml:space="preserve"> от 188,6 м до 195,1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8138">
              <w:r>
                <w:rPr>
                  <w:rFonts w:cs="Times New Roman" w:ascii="Times New Roman" w:hAnsi="Times New Roman"/>
                  <w:color w:themeColor="text1" w:val="000000"/>
                  <w:sz w:val="22"/>
                  <w:szCs w:val="22"/>
                </w:rPr>
                <w:t>сектор 60</w:t>
              </w:r>
            </w:hyperlink>
            <w:r>
              <w:rPr>
                <w:rFonts w:cs="Times New Roman" w:ascii="Times New Roman" w:hAnsi="Times New Roman"/>
                <w:color w:themeColor="text1" w:val="000000"/>
                <w:sz w:val="22"/>
                <w:szCs w:val="22"/>
              </w:rPr>
              <w:t xml:space="preserve"> от 195,1 м до 203,6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8242">
              <w:r>
                <w:rPr>
                  <w:rFonts w:cs="Times New Roman" w:ascii="Times New Roman" w:hAnsi="Times New Roman"/>
                  <w:color w:themeColor="text1" w:val="000000"/>
                  <w:sz w:val="22"/>
                  <w:szCs w:val="22"/>
                </w:rPr>
                <w:t>сектор 61</w:t>
              </w:r>
            </w:hyperlink>
            <w:r>
              <w:rPr>
                <w:rFonts w:cs="Times New Roman" w:ascii="Times New Roman" w:hAnsi="Times New Roman"/>
                <w:color w:themeColor="text1" w:val="000000"/>
                <w:sz w:val="22"/>
                <w:szCs w:val="22"/>
              </w:rPr>
              <w:t xml:space="preserve"> от 203,6 м до 204,6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8373">
              <w:r>
                <w:rPr>
                  <w:rFonts w:cs="Times New Roman" w:ascii="Times New Roman" w:hAnsi="Times New Roman"/>
                  <w:color w:themeColor="text1" w:val="000000"/>
                  <w:sz w:val="22"/>
                  <w:szCs w:val="22"/>
                </w:rPr>
                <w:t>сектор 62</w:t>
              </w:r>
            </w:hyperlink>
            <w:r>
              <w:rPr>
                <w:rFonts w:cs="Times New Roman" w:ascii="Times New Roman" w:hAnsi="Times New Roman"/>
                <w:color w:themeColor="text1" w:val="000000"/>
                <w:sz w:val="22"/>
                <w:szCs w:val="22"/>
              </w:rPr>
              <w:t xml:space="preserve"> от 223,3 м до 225,2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8537">
              <w:r>
                <w:rPr>
                  <w:rFonts w:cs="Times New Roman" w:ascii="Times New Roman" w:hAnsi="Times New Roman"/>
                  <w:color w:themeColor="text1" w:val="000000"/>
                  <w:sz w:val="22"/>
                  <w:szCs w:val="22"/>
                </w:rPr>
                <w:t>сектор 63</w:t>
              </w:r>
            </w:hyperlink>
            <w:r>
              <w:rPr>
                <w:rFonts w:cs="Times New Roman" w:ascii="Times New Roman" w:hAnsi="Times New Roman"/>
                <w:color w:themeColor="text1" w:val="000000"/>
                <w:sz w:val="22"/>
                <w:szCs w:val="22"/>
              </w:rPr>
              <w:t xml:space="preserve"> от 192,3 м до 195,1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8614">
              <w:r>
                <w:rPr>
                  <w:rFonts w:cs="Times New Roman" w:ascii="Times New Roman" w:hAnsi="Times New Roman"/>
                  <w:color w:themeColor="text1" w:val="000000"/>
                  <w:sz w:val="22"/>
                  <w:szCs w:val="22"/>
                </w:rPr>
                <w:t>сектор 64</w:t>
              </w:r>
            </w:hyperlink>
            <w:r>
              <w:rPr>
                <w:rFonts w:cs="Times New Roman" w:ascii="Times New Roman" w:hAnsi="Times New Roman"/>
                <w:color w:themeColor="text1" w:val="000000"/>
                <w:sz w:val="22"/>
                <w:szCs w:val="22"/>
              </w:rPr>
              <w:t xml:space="preserve"> от 195,1 м до 203,6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8787">
              <w:r>
                <w:rPr>
                  <w:rFonts w:cs="Times New Roman" w:ascii="Times New Roman" w:hAnsi="Times New Roman"/>
                  <w:color w:themeColor="text1" w:val="000000"/>
                  <w:sz w:val="22"/>
                  <w:szCs w:val="22"/>
                </w:rPr>
                <w:t>сектор 65</w:t>
              </w:r>
            </w:hyperlink>
            <w:r>
              <w:rPr>
                <w:rFonts w:cs="Times New Roman" w:ascii="Times New Roman" w:hAnsi="Times New Roman"/>
                <w:color w:themeColor="text1" w:val="000000"/>
                <w:sz w:val="22"/>
                <w:szCs w:val="22"/>
              </w:rPr>
              <w:t xml:space="preserve"> от 203,6 м до 204,6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011">
              <w:r>
                <w:rPr>
                  <w:rFonts w:cs="Times New Roman" w:ascii="Times New Roman" w:hAnsi="Times New Roman"/>
                  <w:color w:themeColor="text1" w:val="000000"/>
                  <w:sz w:val="22"/>
                  <w:szCs w:val="22"/>
                </w:rPr>
                <w:t>сектор 66</w:t>
              </w:r>
            </w:hyperlink>
            <w:r>
              <w:rPr>
                <w:rFonts w:cs="Times New Roman" w:ascii="Times New Roman" w:hAnsi="Times New Roman"/>
                <w:color w:themeColor="text1" w:val="000000"/>
                <w:sz w:val="22"/>
                <w:szCs w:val="22"/>
              </w:rPr>
              <w:t xml:space="preserve"> от 223,3 м до 225,2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172">
              <w:r>
                <w:rPr>
                  <w:rFonts w:cs="Times New Roman" w:ascii="Times New Roman" w:hAnsi="Times New Roman"/>
                  <w:color w:themeColor="text1" w:val="000000"/>
                  <w:sz w:val="22"/>
                  <w:szCs w:val="22"/>
                </w:rPr>
                <w:t>сектор 67</w:t>
              </w:r>
            </w:hyperlink>
            <w:r>
              <w:rPr>
                <w:rFonts w:cs="Times New Roman" w:ascii="Times New Roman" w:hAnsi="Times New Roman"/>
                <w:color w:themeColor="text1" w:val="000000"/>
                <w:sz w:val="22"/>
                <w:szCs w:val="22"/>
              </w:rPr>
              <w:t xml:space="preserve"> от 192,1 м до 193,9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210">
              <w:r>
                <w:rPr>
                  <w:rFonts w:cs="Times New Roman" w:ascii="Times New Roman" w:hAnsi="Times New Roman"/>
                  <w:color w:themeColor="text1" w:val="000000"/>
                  <w:sz w:val="22"/>
                  <w:szCs w:val="22"/>
                </w:rPr>
                <w:t>сектор 68</w:t>
              </w:r>
            </w:hyperlink>
            <w:r>
              <w:rPr>
                <w:rFonts w:cs="Times New Roman" w:ascii="Times New Roman" w:hAnsi="Times New Roman"/>
                <w:color w:themeColor="text1" w:val="000000"/>
                <w:sz w:val="22"/>
                <w:szCs w:val="22"/>
              </w:rPr>
              <w:t xml:space="preserve"> от 193,9 м до 200,4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314">
              <w:r>
                <w:rPr>
                  <w:rFonts w:cs="Times New Roman" w:ascii="Times New Roman" w:hAnsi="Times New Roman"/>
                  <w:color w:themeColor="text1" w:val="000000"/>
                  <w:sz w:val="22"/>
                  <w:szCs w:val="22"/>
                </w:rPr>
                <w:t>сектор 69</w:t>
              </w:r>
            </w:hyperlink>
            <w:r>
              <w:rPr>
                <w:rFonts w:cs="Times New Roman" w:ascii="Times New Roman" w:hAnsi="Times New Roman"/>
                <w:color w:themeColor="text1" w:val="000000"/>
                <w:sz w:val="22"/>
                <w:szCs w:val="22"/>
              </w:rPr>
              <w:t xml:space="preserve"> 181,4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526">
              <w:r>
                <w:rPr>
                  <w:rFonts w:cs="Times New Roman" w:ascii="Times New Roman" w:hAnsi="Times New Roman"/>
                  <w:color w:themeColor="text1" w:val="000000"/>
                  <w:sz w:val="22"/>
                  <w:szCs w:val="22"/>
                </w:rPr>
                <w:t>сектор 70</w:t>
              </w:r>
            </w:hyperlink>
            <w:r>
              <w:rPr>
                <w:rFonts w:cs="Times New Roman" w:ascii="Times New Roman" w:hAnsi="Times New Roman"/>
                <w:color w:themeColor="text1" w:val="000000"/>
                <w:sz w:val="22"/>
                <w:szCs w:val="22"/>
              </w:rPr>
              <w:t xml:space="preserve"> от 196,6 м до 206,9 м;</w:t>
            </w:r>
          </w:p>
        </w:tc>
        <w:tc>
          <w:tcPr>
            <w:tcW w:w="4250" w:type="dxa"/>
            <w:vMerge w:val="continue"/>
            <w:tcBorders>
              <w:left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726">
              <w:r>
                <w:rPr>
                  <w:rFonts w:cs="Times New Roman" w:ascii="Times New Roman" w:hAnsi="Times New Roman"/>
                  <w:color w:themeColor="text1" w:val="000000"/>
                  <w:sz w:val="22"/>
                  <w:szCs w:val="22"/>
                </w:rPr>
                <w:t>сектор 71</w:t>
              </w:r>
            </w:hyperlink>
            <w:r>
              <w:rPr>
                <w:rFonts w:cs="Times New Roman" w:ascii="Times New Roman" w:hAnsi="Times New Roman"/>
                <w:color w:themeColor="text1" w:val="000000"/>
                <w:sz w:val="22"/>
                <w:szCs w:val="22"/>
              </w:rPr>
              <w:t xml:space="preserve"> от 206,9 м до 213,4 м;</w:t>
            </w:r>
          </w:p>
        </w:tc>
        <w:tc>
          <w:tcPr>
            <w:tcW w:w="4250" w:type="dxa"/>
            <w:vMerge w:val="restart"/>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851">
              <w:r>
                <w:rPr>
                  <w:rFonts w:cs="Times New Roman" w:ascii="Times New Roman" w:hAnsi="Times New Roman"/>
                  <w:color w:themeColor="text1" w:val="000000"/>
                  <w:sz w:val="22"/>
                  <w:szCs w:val="22"/>
                </w:rPr>
                <w:t>сектор 72</w:t>
              </w:r>
            </w:hyperlink>
            <w:r>
              <w:rPr>
                <w:rFonts w:cs="Times New Roman" w:ascii="Times New Roman" w:hAnsi="Times New Roman"/>
                <w:color w:themeColor="text1" w:val="000000"/>
                <w:sz w:val="22"/>
                <w:szCs w:val="22"/>
              </w:rPr>
              <w:t xml:space="preserve"> от 213,4 м до 219,9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925">
              <w:r>
                <w:rPr>
                  <w:rFonts w:cs="Times New Roman" w:ascii="Times New Roman" w:hAnsi="Times New Roman"/>
                  <w:color w:themeColor="text1" w:val="000000"/>
                  <w:sz w:val="22"/>
                  <w:szCs w:val="22"/>
                </w:rPr>
                <w:t>сектор 73</w:t>
              </w:r>
            </w:hyperlink>
            <w:r>
              <w:rPr>
                <w:rFonts w:cs="Times New Roman" w:ascii="Times New Roman" w:hAnsi="Times New Roman"/>
                <w:color w:themeColor="text1" w:val="000000"/>
                <w:sz w:val="22"/>
                <w:szCs w:val="22"/>
              </w:rPr>
              <w:t xml:space="preserve"> от 219,9 м до 226,4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49990">
              <w:r>
                <w:rPr>
                  <w:rFonts w:cs="Times New Roman" w:ascii="Times New Roman" w:hAnsi="Times New Roman"/>
                  <w:color w:themeColor="text1" w:val="000000"/>
                  <w:sz w:val="22"/>
                  <w:szCs w:val="22"/>
                </w:rPr>
                <w:t>сектор 74</w:t>
              </w:r>
            </w:hyperlink>
            <w:r>
              <w:rPr>
                <w:rFonts w:cs="Times New Roman" w:ascii="Times New Roman" w:hAnsi="Times New Roman"/>
                <w:color w:themeColor="text1" w:val="000000"/>
                <w:sz w:val="22"/>
                <w:szCs w:val="22"/>
              </w:rPr>
              <w:t xml:space="preserve"> от 226,4 м до 232,9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055">
              <w:r>
                <w:rPr>
                  <w:rFonts w:cs="Times New Roman" w:ascii="Times New Roman" w:hAnsi="Times New Roman"/>
                  <w:color w:themeColor="text1" w:val="000000"/>
                  <w:sz w:val="22"/>
                  <w:szCs w:val="22"/>
                </w:rPr>
                <w:t>сектор 75</w:t>
              </w:r>
            </w:hyperlink>
            <w:r>
              <w:rPr>
                <w:rFonts w:cs="Times New Roman" w:ascii="Times New Roman" w:hAnsi="Times New Roman"/>
                <w:color w:themeColor="text1" w:val="000000"/>
                <w:sz w:val="22"/>
                <w:szCs w:val="22"/>
              </w:rPr>
              <w:t xml:space="preserve"> от 232,9 м до 239,4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105">
              <w:r>
                <w:rPr>
                  <w:rFonts w:cs="Times New Roman" w:ascii="Times New Roman" w:hAnsi="Times New Roman"/>
                  <w:color w:themeColor="text1" w:val="000000"/>
                  <w:sz w:val="22"/>
                  <w:szCs w:val="22"/>
                </w:rPr>
                <w:t>сектор 76</w:t>
              </w:r>
            </w:hyperlink>
            <w:r>
              <w:rPr>
                <w:rFonts w:cs="Times New Roman" w:ascii="Times New Roman" w:hAnsi="Times New Roman"/>
                <w:color w:themeColor="text1" w:val="000000"/>
                <w:sz w:val="22"/>
                <w:szCs w:val="22"/>
              </w:rPr>
              <w:t xml:space="preserve"> от 239,4 м до 245,9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161">
              <w:r>
                <w:rPr>
                  <w:rFonts w:cs="Times New Roman" w:ascii="Times New Roman" w:hAnsi="Times New Roman"/>
                  <w:color w:themeColor="text1" w:val="000000"/>
                  <w:sz w:val="22"/>
                  <w:szCs w:val="22"/>
                </w:rPr>
                <w:t>сектор 77</w:t>
              </w:r>
            </w:hyperlink>
            <w:r>
              <w:rPr>
                <w:rFonts w:cs="Times New Roman" w:ascii="Times New Roman" w:hAnsi="Times New Roman"/>
                <w:color w:themeColor="text1" w:val="000000"/>
                <w:sz w:val="22"/>
                <w:szCs w:val="22"/>
              </w:rPr>
              <w:t xml:space="preserve"> от 245,9 м до 252,4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220">
              <w:r>
                <w:rPr>
                  <w:rFonts w:cs="Times New Roman" w:ascii="Times New Roman" w:hAnsi="Times New Roman"/>
                  <w:color w:themeColor="text1" w:val="000000"/>
                  <w:sz w:val="22"/>
                  <w:szCs w:val="22"/>
                </w:rPr>
                <w:t>сектор 78</w:t>
              </w:r>
            </w:hyperlink>
            <w:r>
              <w:rPr>
                <w:rFonts w:cs="Times New Roman" w:ascii="Times New Roman" w:hAnsi="Times New Roman"/>
                <w:color w:themeColor="text1" w:val="000000"/>
                <w:sz w:val="22"/>
                <w:szCs w:val="22"/>
              </w:rPr>
              <w:t xml:space="preserve"> от 252,4 м до 258,9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279">
              <w:r>
                <w:rPr>
                  <w:rFonts w:cs="Times New Roman" w:ascii="Times New Roman" w:hAnsi="Times New Roman"/>
                  <w:color w:themeColor="text1" w:val="000000"/>
                  <w:sz w:val="22"/>
                  <w:szCs w:val="22"/>
                </w:rPr>
                <w:t>сектор 79</w:t>
              </w:r>
            </w:hyperlink>
            <w:r>
              <w:rPr>
                <w:rFonts w:cs="Times New Roman" w:ascii="Times New Roman" w:hAnsi="Times New Roman"/>
                <w:color w:themeColor="text1" w:val="000000"/>
                <w:sz w:val="22"/>
                <w:szCs w:val="22"/>
              </w:rPr>
              <w:t xml:space="preserve"> от 258,9 м до 265,4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338">
              <w:r>
                <w:rPr>
                  <w:rFonts w:cs="Times New Roman" w:ascii="Times New Roman" w:hAnsi="Times New Roman"/>
                  <w:color w:themeColor="text1" w:val="000000"/>
                  <w:sz w:val="22"/>
                  <w:szCs w:val="22"/>
                </w:rPr>
                <w:t>сектор 80</w:t>
              </w:r>
            </w:hyperlink>
            <w:r>
              <w:rPr>
                <w:rFonts w:cs="Times New Roman" w:ascii="Times New Roman" w:hAnsi="Times New Roman"/>
                <w:color w:themeColor="text1" w:val="000000"/>
                <w:sz w:val="22"/>
                <w:szCs w:val="22"/>
              </w:rPr>
              <w:t xml:space="preserve"> от 265,4 м до 271,9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400">
              <w:r>
                <w:rPr>
                  <w:rFonts w:cs="Times New Roman" w:ascii="Times New Roman" w:hAnsi="Times New Roman"/>
                  <w:color w:themeColor="text1" w:val="000000"/>
                  <w:sz w:val="22"/>
                  <w:szCs w:val="22"/>
                </w:rPr>
                <w:t>сектор 81</w:t>
              </w:r>
            </w:hyperlink>
            <w:r>
              <w:rPr>
                <w:rFonts w:cs="Times New Roman" w:ascii="Times New Roman" w:hAnsi="Times New Roman"/>
                <w:color w:themeColor="text1" w:val="000000"/>
                <w:sz w:val="22"/>
                <w:szCs w:val="22"/>
              </w:rPr>
              <w:t xml:space="preserve"> от 271,9 м до 278,4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462">
              <w:r>
                <w:rPr>
                  <w:rFonts w:cs="Times New Roman" w:ascii="Times New Roman" w:hAnsi="Times New Roman"/>
                  <w:color w:themeColor="text1" w:val="000000"/>
                  <w:sz w:val="22"/>
                  <w:szCs w:val="22"/>
                </w:rPr>
                <w:t>сектор 82</w:t>
              </w:r>
            </w:hyperlink>
            <w:r>
              <w:rPr>
                <w:rFonts w:cs="Times New Roman" w:ascii="Times New Roman" w:hAnsi="Times New Roman"/>
                <w:color w:themeColor="text1" w:val="000000"/>
                <w:sz w:val="22"/>
                <w:szCs w:val="22"/>
              </w:rPr>
              <w:t xml:space="preserve"> от 278,4 м до 284,9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521">
              <w:r>
                <w:rPr>
                  <w:rFonts w:cs="Times New Roman" w:ascii="Times New Roman" w:hAnsi="Times New Roman"/>
                  <w:color w:themeColor="text1" w:val="000000"/>
                  <w:sz w:val="22"/>
                  <w:szCs w:val="22"/>
                </w:rPr>
                <w:t>сектор 83</w:t>
              </w:r>
            </w:hyperlink>
            <w:r>
              <w:rPr>
                <w:rFonts w:cs="Times New Roman" w:ascii="Times New Roman" w:hAnsi="Times New Roman"/>
                <w:color w:themeColor="text1" w:val="000000"/>
                <w:sz w:val="22"/>
                <w:szCs w:val="22"/>
              </w:rPr>
              <w:t xml:space="preserve"> от 284,9 м до 291,4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583">
              <w:r>
                <w:rPr>
                  <w:rFonts w:cs="Times New Roman" w:ascii="Times New Roman" w:hAnsi="Times New Roman"/>
                  <w:color w:themeColor="text1" w:val="000000"/>
                  <w:sz w:val="22"/>
                  <w:szCs w:val="22"/>
                </w:rPr>
                <w:t>сектор 84</w:t>
              </w:r>
            </w:hyperlink>
            <w:r>
              <w:rPr>
                <w:rFonts w:cs="Times New Roman" w:ascii="Times New Roman" w:hAnsi="Times New Roman"/>
                <w:color w:themeColor="text1" w:val="000000"/>
                <w:sz w:val="22"/>
                <w:szCs w:val="22"/>
              </w:rPr>
              <w:t xml:space="preserve"> от 342,5 м до 682,4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741">
              <w:r>
                <w:rPr>
                  <w:rFonts w:cs="Times New Roman" w:ascii="Times New Roman" w:hAnsi="Times New Roman"/>
                  <w:color w:themeColor="text1" w:val="000000"/>
                  <w:sz w:val="22"/>
                  <w:szCs w:val="22"/>
                </w:rPr>
                <w:t>сектор 85</w:t>
              </w:r>
            </w:hyperlink>
            <w:r>
              <w:rPr>
                <w:rFonts w:cs="Times New Roman" w:ascii="Times New Roman" w:hAnsi="Times New Roman"/>
                <w:color w:themeColor="text1" w:val="000000"/>
                <w:sz w:val="22"/>
                <w:szCs w:val="22"/>
              </w:rPr>
              <w:t xml:space="preserve"> от 682,4 м до 697,4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0917">
              <w:r>
                <w:rPr>
                  <w:rFonts w:cs="Times New Roman" w:ascii="Times New Roman" w:hAnsi="Times New Roman"/>
                  <w:color w:themeColor="text1" w:val="000000"/>
                  <w:sz w:val="22"/>
                  <w:szCs w:val="22"/>
                </w:rPr>
                <w:t>сектор 86</w:t>
              </w:r>
            </w:hyperlink>
            <w:r>
              <w:rPr>
                <w:rFonts w:cs="Times New Roman" w:ascii="Times New Roman" w:hAnsi="Times New Roman"/>
                <w:color w:themeColor="text1" w:val="000000"/>
                <w:sz w:val="22"/>
                <w:szCs w:val="22"/>
              </w:rPr>
              <w:t xml:space="preserve"> от 697,4 м до 712,4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042">
              <w:r>
                <w:rPr>
                  <w:rFonts w:cs="Times New Roman" w:ascii="Times New Roman" w:hAnsi="Times New Roman"/>
                  <w:color w:themeColor="text1" w:val="000000"/>
                  <w:sz w:val="22"/>
                  <w:szCs w:val="22"/>
                </w:rPr>
                <w:t>сектор 87</w:t>
              </w:r>
            </w:hyperlink>
            <w:r>
              <w:rPr>
                <w:rFonts w:cs="Times New Roman" w:ascii="Times New Roman" w:hAnsi="Times New Roman"/>
                <w:color w:themeColor="text1" w:val="000000"/>
                <w:sz w:val="22"/>
                <w:szCs w:val="22"/>
              </w:rPr>
              <w:t xml:space="preserve"> от 712,4 м до 723,8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116">
              <w:r>
                <w:rPr>
                  <w:rFonts w:cs="Times New Roman" w:ascii="Times New Roman" w:hAnsi="Times New Roman"/>
                  <w:color w:themeColor="text1" w:val="000000"/>
                  <w:sz w:val="22"/>
                  <w:szCs w:val="22"/>
                </w:rPr>
                <w:t>сектор 88</w:t>
              </w:r>
            </w:hyperlink>
            <w:r>
              <w:rPr>
                <w:rFonts w:cs="Times New Roman" w:ascii="Times New Roman" w:hAnsi="Times New Roman"/>
                <w:color w:themeColor="text1" w:val="000000"/>
                <w:sz w:val="22"/>
                <w:szCs w:val="22"/>
              </w:rPr>
              <w:t xml:space="preserve"> от 342,5 м до 401,9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148">
              <w:r>
                <w:rPr>
                  <w:rFonts w:cs="Times New Roman" w:ascii="Times New Roman" w:hAnsi="Times New Roman"/>
                  <w:color w:themeColor="text1" w:val="000000"/>
                  <w:sz w:val="22"/>
                  <w:szCs w:val="22"/>
                </w:rPr>
                <w:t>сектор 89</w:t>
              </w:r>
            </w:hyperlink>
            <w:r>
              <w:rPr>
                <w:rFonts w:cs="Times New Roman" w:ascii="Times New Roman" w:hAnsi="Times New Roman"/>
                <w:color w:themeColor="text1" w:val="000000"/>
                <w:sz w:val="22"/>
                <w:szCs w:val="22"/>
              </w:rPr>
              <w:t xml:space="preserve"> от 401,9 м до 408,4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192">
              <w:r>
                <w:rPr>
                  <w:rFonts w:cs="Times New Roman" w:ascii="Times New Roman" w:hAnsi="Times New Roman"/>
                  <w:color w:themeColor="text1" w:val="000000"/>
                  <w:sz w:val="22"/>
                  <w:szCs w:val="22"/>
                </w:rPr>
                <w:t>сектор 90</w:t>
              </w:r>
            </w:hyperlink>
            <w:r>
              <w:rPr>
                <w:rFonts w:cs="Times New Roman" w:ascii="Times New Roman" w:hAnsi="Times New Roman"/>
                <w:color w:themeColor="text1" w:val="000000"/>
                <w:sz w:val="22"/>
                <w:szCs w:val="22"/>
              </w:rPr>
              <w:t xml:space="preserve"> от 408,4 м до 414,9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236">
              <w:r>
                <w:rPr>
                  <w:rFonts w:cs="Times New Roman" w:ascii="Times New Roman" w:hAnsi="Times New Roman"/>
                  <w:color w:themeColor="text1" w:val="000000"/>
                  <w:sz w:val="22"/>
                  <w:szCs w:val="22"/>
                </w:rPr>
                <w:t>сектор 91</w:t>
              </w:r>
            </w:hyperlink>
            <w:r>
              <w:rPr>
                <w:rFonts w:cs="Times New Roman" w:ascii="Times New Roman" w:hAnsi="Times New Roman"/>
                <w:color w:themeColor="text1" w:val="000000"/>
                <w:sz w:val="22"/>
                <w:szCs w:val="22"/>
              </w:rPr>
              <w:t xml:space="preserve"> от 414,9 м до 419,8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274">
              <w:r>
                <w:rPr>
                  <w:rFonts w:cs="Times New Roman" w:ascii="Times New Roman" w:hAnsi="Times New Roman"/>
                  <w:color w:themeColor="text1" w:val="000000"/>
                  <w:sz w:val="22"/>
                  <w:szCs w:val="22"/>
                </w:rPr>
                <w:t>сектор 92</w:t>
              </w:r>
            </w:hyperlink>
            <w:r>
              <w:rPr>
                <w:rFonts w:cs="Times New Roman" w:ascii="Times New Roman" w:hAnsi="Times New Roman"/>
                <w:color w:themeColor="text1" w:val="000000"/>
                <w:sz w:val="22"/>
                <w:szCs w:val="22"/>
              </w:rPr>
              <w:t xml:space="preserve"> от 342,5 м до 369,4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333">
              <w:r>
                <w:rPr>
                  <w:rFonts w:cs="Times New Roman" w:ascii="Times New Roman" w:hAnsi="Times New Roman"/>
                  <w:color w:themeColor="text1" w:val="000000"/>
                  <w:sz w:val="22"/>
                  <w:szCs w:val="22"/>
                </w:rPr>
                <w:t>сектор 93</w:t>
              </w:r>
            </w:hyperlink>
            <w:r>
              <w:rPr>
                <w:rFonts w:cs="Times New Roman" w:ascii="Times New Roman" w:hAnsi="Times New Roman"/>
                <w:color w:themeColor="text1" w:val="000000"/>
                <w:sz w:val="22"/>
                <w:szCs w:val="22"/>
              </w:rPr>
              <w:t xml:space="preserve"> от 369,4 м до 375,9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392">
              <w:r>
                <w:rPr>
                  <w:rFonts w:cs="Times New Roman" w:ascii="Times New Roman" w:hAnsi="Times New Roman"/>
                  <w:color w:themeColor="text1" w:val="000000"/>
                  <w:sz w:val="22"/>
                  <w:szCs w:val="22"/>
                </w:rPr>
                <w:t>сектор 94</w:t>
              </w:r>
            </w:hyperlink>
            <w:r>
              <w:rPr>
                <w:rFonts w:cs="Times New Roman" w:ascii="Times New Roman" w:hAnsi="Times New Roman"/>
                <w:color w:themeColor="text1" w:val="000000"/>
                <w:sz w:val="22"/>
                <w:szCs w:val="22"/>
              </w:rPr>
              <w:t xml:space="preserve"> от 375,9 м до 382,4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451">
              <w:r>
                <w:rPr>
                  <w:rFonts w:cs="Times New Roman" w:ascii="Times New Roman" w:hAnsi="Times New Roman"/>
                  <w:color w:themeColor="text1" w:val="000000"/>
                  <w:sz w:val="22"/>
                  <w:szCs w:val="22"/>
                </w:rPr>
                <w:t>сектор 95</w:t>
              </w:r>
            </w:hyperlink>
            <w:r>
              <w:rPr>
                <w:rFonts w:cs="Times New Roman" w:ascii="Times New Roman" w:hAnsi="Times New Roman"/>
                <w:color w:themeColor="text1" w:val="000000"/>
                <w:sz w:val="22"/>
                <w:szCs w:val="22"/>
              </w:rPr>
              <w:t xml:space="preserve"> от 382,4 м до 385,8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510">
              <w:r>
                <w:rPr>
                  <w:rFonts w:cs="Times New Roman" w:ascii="Times New Roman" w:hAnsi="Times New Roman"/>
                  <w:color w:themeColor="text1" w:val="000000"/>
                  <w:sz w:val="22"/>
                  <w:szCs w:val="22"/>
                </w:rPr>
                <w:t>сектор 96</w:t>
              </w:r>
            </w:hyperlink>
            <w:r>
              <w:rPr>
                <w:rFonts w:cs="Times New Roman" w:ascii="Times New Roman" w:hAnsi="Times New Roman"/>
                <w:color w:themeColor="text1" w:val="000000"/>
                <w:sz w:val="22"/>
                <w:szCs w:val="22"/>
              </w:rPr>
              <w:t xml:space="preserve"> от 342,5 м до 401,9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533">
              <w:r>
                <w:rPr>
                  <w:rFonts w:cs="Times New Roman" w:ascii="Times New Roman" w:hAnsi="Times New Roman"/>
                  <w:color w:themeColor="text1" w:val="000000"/>
                  <w:sz w:val="22"/>
                  <w:szCs w:val="22"/>
                </w:rPr>
                <w:t>сектор 97</w:t>
              </w:r>
            </w:hyperlink>
            <w:r>
              <w:rPr>
                <w:rFonts w:cs="Times New Roman" w:ascii="Times New Roman" w:hAnsi="Times New Roman"/>
                <w:color w:themeColor="text1" w:val="000000"/>
                <w:sz w:val="22"/>
                <w:szCs w:val="22"/>
              </w:rPr>
              <w:t xml:space="preserve"> от 401,9 м до 408,4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559">
              <w:r>
                <w:rPr>
                  <w:rFonts w:cs="Times New Roman" w:ascii="Times New Roman" w:hAnsi="Times New Roman"/>
                  <w:color w:themeColor="text1" w:val="000000"/>
                  <w:sz w:val="22"/>
                  <w:szCs w:val="22"/>
                </w:rPr>
                <w:t>сектор 98</w:t>
              </w:r>
            </w:hyperlink>
            <w:r>
              <w:rPr>
                <w:rFonts w:cs="Times New Roman" w:ascii="Times New Roman" w:hAnsi="Times New Roman"/>
                <w:color w:themeColor="text1" w:val="000000"/>
                <w:sz w:val="22"/>
                <w:szCs w:val="22"/>
              </w:rPr>
              <w:t xml:space="preserve"> от 408,4 м до 414,9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585">
              <w:r>
                <w:rPr>
                  <w:rFonts w:cs="Times New Roman" w:ascii="Times New Roman" w:hAnsi="Times New Roman"/>
                  <w:color w:themeColor="text1" w:val="000000"/>
                  <w:sz w:val="22"/>
                  <w:szCs w:val="22"/>
                </w:rPr>
                <w:t>сектор 99</w:t>
              </w:r>
            </w:hyperlink>
            <w:r>
              <w:rPr>
                <w:rFonts w:cs="Times New Roman" w:ascii="Times New Roman" w:hAnsi="Times New Roman"/>
                <w:color w:themeColor="text1" w:val="000000"/>
                <w:sz w:val="22"/>
                <w:szCs w:val="22"/>
              </w:rPr>
              <w:t xml:space="preserve"> от 414,9 м до 419,8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611">
              <w:r>
                <w:rPr>
                  <w:rFonts w:cs="Times New Roman" w:ascii="Times New Roman" w:hAnsi="Times New Roman"/>
                  <w:color w:themeColor="text1" w:val="000000"/>
                  <w:sz w:val="22"/>
                  <w:szCs w:val="22"/>
                </w:rPr>
                <w:t>сектор 100</w:t>
              </w:r>
            </w:hyperlink>
            <w:r>
              <w:rPr>
                <w:rFonts w:cs="Times New Roman" w:ascii="Times New Roman" w:hAnsi="Times New Roman"/>
                <w:color w:themeColor="text1" w:val="000000"/>
                <w:sz w:val="22"/>
                <w:szCs w:val="22"/>
              </w:rPr>
              <w:t xml:space="preserve"> от 342,5 м до 682,4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700">
              <w:r>
                <w:rPr>
                  <w:rFonts w:cs="Times New Roman" w:ascii="Times New Roman" w:hAnsi="Times New Roman"/>
                  <w:color w:themeColor="text1" w:val="000000"/>
                  <w:sz w:val="22"/>
                  <w:szCs w:val="22"/>
                </w:rPr>
                <w:t>сектор 101</w:t>
              </w:r>
            </w:hyperlink>
            <w:r>
              <w:rPr>
                <w:rFonts w:cs="Times New Roman" w:ascii="Times New Roman" w:hAnsi="Times New Roman"/>
                <w:color w:themeColor="text1" w:val="000000"/>
                <w:sz w:val="22"/>
                <w:szCs w:val="22"/>
              </w:rPr>
              <w:t xml:space="preserve"> от 682,4 м до 697,4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right w:val="single" w:sz="4" w:space="0" w:color="000000"/>
            </w:tcBorders>
            <w:shd w:fill="auto" w:val="clear"/>
          </w:tcPr>
          <w:p>
            <w:pPr>
              <w:pStyle w:val="ConsPlusNormal"/>
              <w:ind w:hanging="0" w:left="75"/>
              <w:jc w:val="both"/>
              <w:rPr/>
            </w:pPr>
            <w:hyperlink w:anchor="P51792">
              <w:r>
                <w:rPr>
                  <w:rFonts w:cs="Times New Roman" w:ascii="Times New Roman" w:hAnsi="Times New Roman"/>
                  <w:color w:themeColor="text1" w:val="000000"/>
                  <w:sz w:val="22"/>
                  <w:szCs w:val="22"/>
                </w:rPr>
                <w:t>сектор 102</w:t>
              </w:r>
            </w:hyperlink>
            <w:r>
              <w:rPr>
                <w:rFonts w:cs="Times New Roman" w:ascii="Times New Roman" w:hAnsi="Times New Roman"/>
                <w:color w:themeColor="text1" w:val="000000"/>
                <w:sz w:val="22"/>
                <w:szCs w:val="22"/>
              </w:rPr>
              <w:t xml:space="preserve"> от 697,4 м до 712,4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r>
        <w:trPr/>
        <w:tc>
          <w:tcPr>
            <w:tcW w:w="4820" w:type="dxa"/>
            <w:tcBorders>
              <w:left w:val="single" w:sz="4" w:space="0" w:color="000000"/>
              <w:bottom w:val="single" w:sz="4" w:space="0" w:color="000000"/>
              <w:right w:val="single" w:sz="4" w:space="0" w:color="000000"/>
            </w:tcBorders>
            <w:shd w:fill="auto" w:val="clear"/>
          </w:tcPr>
          <w:p>
            <w:pPr>
              <w:pStyle w:val="ConsPlusNormal"/>
              <w:ind w:hanging="0" w:left="75"/>
              <w:jc w:val="both"/>
              <w:rPr/>
            </w:pPr>
            <w:hyperlink w:anchor="P51890">
              <w:r>
                <w:rPr>
                  <w:rFonts w:cs="Times New Roman" w:ascii="Times New Roman" w:hAnsi="Times New Roman"/>
                  <w:color w:themeColor="text1" w:val="000000"/>
                  <w:sz w:val="22"/>
                  <w:szCs w:val="22"/>
                </w:rPr>
                <w:t>сектор 103</w:t>
              </w:r>
            </w:hyperlink>
            <w:r>
              <w:rPr>
                <w:rFonts w:cs="Times New Roman" w:ascii="Times New Roman" w:hAnsi="Times New Roman"/>
                <w:color w:themeColor="text1" w:val="000000"/>
                <w:sz w:val="22"/>
                <w:szCs w:val="22"/>
              </w:rPr>
              <w:t xml:space="preserve"> от 712,4 м до 723,8 м.</w:t>
            </w:r>
          </w:p>
        </w:tc>
        <w:tc>
          <w:tcPr>
            <w:tcW w:w="4250" w:type="dxa"/>
            <w:vMerge w:val="continue"/>
            <w:tcBorders>
              <w:left w:val="single" w:sz="4" w:space="0" w:color="000000"/>
              <w:bottom w:val="single" w:sz="4" w:space="0" w:color="000000"/>
              <w:right w:val="single" w:sz="4" w:space="0" w:color="000000"/>
            </w:tcBorders>
            <w:shd w:fill="auto" w:val="clear"/>
          </w:tcPr>
          <w:p>
            <w:pPr>
              <w:pStyle w:val="ConsPlusNormal"/>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bl>
    <w:p>
      <w:pPr>
        <w:pStyle w:val="ConsPlusNormal"/>
        <w:spacing w:before="22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Пятая подзона приаэродромной территории аэродрома гражданской авиации Калуга (Грабцево):</w:t>
      </w:r>
    </w:p>
    <w:p>
      <w:pPr>
        <w:pStyle w:val="Style78"/>
        <w:tabs>
          <w:tab w:val="clear" w:pos="397"/>
          <w:tab w:val="left" w:pos="9498" w:leader="none"/>
        </w:tabs>
        <w:ind w:firstLine="709" w:right="567"/>
        <w:rPr>
          <w:color w:themeColor="text1" w:val="000000"/>
        </w:rPr>
      </w:pPr>
      <w:r>
        <w:rPr>
          <w:color w:themeColor="text1" w:val="000000"/>
        </w:rPr>
        <w:t>Таблица 9.5.</w:t>
      </w:r>
    </w:p>
    <w:tbl>
      <w:tblPr>
        <w:tblW w:w="9071" w:type="dxa"/>
        <w:jc w:val="center"/>
        <w:tblInd w:w="0" w:type="dxa"/>
        <w:tblLayout w:type="fixed"/>
        <w:tblCellMar>
          <w:top w:w="102" w:type="dxa"/>
          <w:left w:w="62" w:type="dxa"/>
          <w:bottom w:w="102" w:type="dxa"/>
          <w:right w:w="62" w:type="dxa"/>
        </w:tblCellMar>
        <w:tblLook w:firstRow="1" w:noVBand="1" w:lastRow="0" w:firstColumn="1" w:lastColumn="0" w:noHBand="0" w:val="04a0"/>
      </w:tblPr>
      <w:tblGrid>
        <w:gridCol w:w="4820"/>
        <w:gridCol w:w="4250"/>
      </w:tblGrid>
      <w:tr>
        <w:trPr>
          <w:tblHeader w:val="true"/>
        </w:trPr>
        <w:tc>
          <w:tcPr>
            <w:tcW w:w="48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left="75"/>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Перечень ограничений использования объектов недвижимости и осуществления деятельности</w:t>
            </w:r>
          </w:p>
        </w:tc>
        <w:tc>
          <w:tcPr>
            <w:tcW w:w="4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left="76"/>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Обоснование ограничений</w:t>
            </w:r>
          </w:p>
        </w:tc>
      </w:tr>
      <w:tr>
        <w:trPr/>
        <w:tc>
          <w:tcPr>
            <w:tcW w:w="482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5"/>
              <w:jc w:val="both"/>
              <w:rPr/>
            </w:pPr>
            <w:r>
              <w:rPr>
                <w:rFonts w:cs="Times New Roman" w:ascii="Times New Roman" w:hAnsi="Times New Roman"/>
                <w:color w:themeColor="text1" w:val="000000"/>
                <w:sz w:val="22"/>
                <w:szCs w:val="22"/>
              </w:rPr>
              <w:t xml:space="preserve">1. В границах пятой подзоны запрещается размещать опасные производственные объекты </w:t>
            </w:r>
            <w:hyperlink w:anchor="P69391">
              <w:r>
                <w:rPr>
                  <w:rFonts w:cs="Times New Roman" w:ascii="Times New Roman" w:hAnsi="Times New Roman"/>
                  <w:color w:themeColor="text1" w:val="000000"/>
                  <w:sz w:val="22"/>
                  <w:szCs w:val="22"/>
                </w:rPr>
                <w:t>&lt;6&gt;</w:t>
              </w:r>
            </w:hyperlink>
            <w:r>
              <w:rPr>
                <w:rFonts w:cs="Times New Roman" w:ascii="Times New Roman" w:hAnsi="Times New Roman"/>
                <w:color w:themeColor="text1" w:val="000000"/>
                <w:sz w:val="22"/>
                <w:szCs w:val="22"/>
              </w:rPr>
              <w:t>, функционирование которых может повлиять на безопасность полетов воздушных судов.</w:t>
            </w:r>
          </w:p>
          <w:p>
            <w:pPr>
              <w:pStyle w:val="ConsPlusNormal"/>
              <w:ind w:hanging="0" w:left="75"/>
              <w:jc w:val="both"/>
              <w:rPr/>
            </w:pPr>
            <w:r>
              <w:rPr>
                <w:rFonts w:cs="Times New Roman" w:ascii="Times New Roman" w:hAnsi="Times New Roman"/>
                <w:color w:themeColor="text1" w:val="000000"/>
                <w:sz w:val="22"/>
                <w:szCs w:val="22"/>
              </w:rPr>
              <w:t xml:space="preserve">2. В границах пятой подзоны допускается эксплуатация, строительство, реконструкция, капитальный ремонт, ввод в эксплуатацию, техническое перевооружение, консервация (далее - размещение) опасных производственных объектов при их соответствии установленным в </w:t>
            </w:r>
            <w:hyperlink w:anchor="P69381">
              <w:r>
                <w:rPr>
                  <w:rFonts w:cs="Times New Roman" w:ascii="Times New Roman" w:hAnsi="Times New Roman"/>
                  <w:color w:themeColor="text1" w:val="000000"/>
                  <w:sz w:val="22"/>
                  <w:szCs w:val="22"/>
                </w:rPr>
                <w:t>пункте 3</w:t>
              </w:r>
            </w:hyperlink>
            <w:r>
              <w:rPr>
                <w:rFonts w:cs="Times New Roman" w:ascii="Times New Roman" w:hAnsi="Times New Roman"/>
                <w:color w:themeColor="text1" w:val="000000"/>
                <w:sz w:val="22"/>
                <w:szCs w:val="22"/>
              </w:rPr>
              <w:t xml:space="preserve"> настоящей таблицы ограничениям.</w:t>
            </w:r>
          </w:p>
          <w:p>
            <w:pPr>
              <w:pStyle w:val="ConsPlusNormal"/>
              <w:ind w:hanging="0" w:left="75"/>
              <w:jc w:val="both"/>
              <w:rPr>
                <w:rFonts w:ascii="Times New Roman" w:hAnsi="Times New Roman" w:cs="Times New Roman"/>
                <w:color w:themeColor="text1" w:val="000000"/>
                <w:sz w:val="22"/>
                <w:szCs w:val="22"/>
              </w:rPr>
            </w:pPr>
            <w:bookmarkStart w:id="52" w:name="P69381"/>
            <w:bookmarkEnd w:id="52"/>
            <w:r>
              <w:rPr>
                <w:rFonts w:cs="Times New Roman" w:ascii="Times New Roman" w:hAnsi="Times New Roman"/>
                <w:color w:themeColor="text1" w:val="000000"/>
                <w:sz w:val="22"/>
                <w:szCs w:val="22"/>
              </w:rPr>
              <w:t>3. Максимальные радиусы зон поражения при происшествиях техногенного характера на опасных производственных объектах, находящихся в пятой подзоне, в которых размещение таких объектов возможно, не должны достигать:</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по вертикали - высоты пролета воздушных судов (высота поверхности ограничения препятствий в третьей подзоне);</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по горизонтали - внешних границ первой и второй подзон.</w:t>
            </w:r>
          </w:p>
          <w:p>
            <w:pPr>
              <w:pStyle w:val="ConsPlusNormal"/>
              <w:ind w:hanging="0" w:left="75"/>
              <w:jc w:val="both"/>
              <w:rPr/>
            </w:pPr>
            <w:r>
              <w:rPr>
                <w:rFonts w:cs="Times New Roman" w:ascii="Times New Roman" w:hAnsi="Times New Roman"/>
                <w:color w:themeColor="text1" w:val="000000"/>
                <w:sz w:val="22"/>
                <w:szCs w:val="22"/>
              </w:rPr>
              <w:t xml:space="preserve">4. При невозможности соблюдения ограничений, предусмотренных </w:t>
            </w:r>
            <w:hyperlink w:anchor="P69381">
              <w:r>
                <w:rPr>
                  <w:rFonts w:cs="Times New Roman" w:ascii="Times New Roman" w:hAnsi="Times New Roman"/>
                  <w:color w:themeColor="text1" w:val="000000"/>
                  <w:sz w:val="22"/>
                  <w:szCs w:val="22"/>
                </w:rPr>
                <w:t>пунктом 3</w:t>
              </w:r>
            </w:hyperlink>
            <w:r>
              <w:rPr>
                <w:rFonts w:cs="Times New Roman" w:ascii="Times New Roman" w:hAnsi="Times New Roman"/>
                <w:color w:themeColor="text1" w:val="000000"/>
                <w:sz w:val="22"/>
                <w:szCs w:val="22"/>
              </w:rPr>
              <w:t xml:space="preserve"> настоящей таблицы, размещение опасных производственных объектов должно выполняться на основании специальных технических условий, разработанных для конкретного объекта капитального строительства в соответствии с положениями </w:t>
            </w:r>
            <w:hyperlink r:id="rId77">
              <w:r>
                <w:rPr>
                  <w:rFonts w:cs="Times New Roman" w:ascii="Times New Roman" w:hAnsi="Times New Roman"/>
                  <w:color w:themeColor="text1" w:val="000000"/>
                  <w:sz w:val="22"/>
                  <w:szCs w:val="22"/>
                </w:rPr>
                <w:t>приказа</w:t>
              </w:r>
            </w:hyperlink>
            <w:r>
              <w:rPr>
                <w:rFonts w:cs="Times New Roman" w:ascii="Times New Roman" w:hAnsi="Times New Roman"/>
                <w:color w:themeColor="text1" w:val="000000"/>
                <w:sz w:val="22"/>
                <w:szCs w:val="22"/>
              </w:rPr>
              <w:t xml:space="preserve"> Минстроя России от 30.11.2020</w:t>
              <w:br/>
              <w:t xml:space="preserve">№ 734/пр «Об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 (зарегистрирован Минюстом России 18.12.2020, регистрационный № 61581) с изменениями, внесенными приказом Минстроя России от 22.10.2021 № 774/пр (зарегистрирован Минюстом России 29.11.2021, регистрационный № 66058) (далее - Приказ № 734), и (или) обоснования безопасности опасного производственного объекта, разрабатываемого на основании Федерального </w:t>
            </w:r>
            <w:hyperlink r:id="rId78">
              <w:r>
                <w:rPr>
                  <w:rFonts w:cs="Times New Roman" w:ascii="Times New Roman" w:hAnsi="Times New Roman"/>
                  <w:color w:themeColor="text1" w:val="000000"/>
                  <w:sz w:val="22"/>
                  <w:szCs w:val="22"/>
                </w:rPr>
                <w:t>закона</w:t>
              </w:r>
            </w:hyperlink>
            <w:r>
              <w:rPr>
                <w:rFonts w:cs="Times New Roman" w:ascii="Times New Roman" w:hAnsi="Times New Roman"/>
                <w:color w:themeColor="text1" w:val="000000"/>
                <w:sz w:val="22"/>
                <w:szCs w:val="22"/>
              </w:rPr>
              <w:t xml:space="preserve"> № 116-ФЗ.</w:t>
            </w:r>
          </w:p>
        </w:tc>
        <w:tc>
          <w:tcPr>
            <w:tcW w:w="425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6" w:right="83"/>
              <w:jc w:val="both"/>
              <w:rPr/>
            </w:pPr>
            <w:r>
              <w:rPr>
                <w:rFonts w:cs="Times New Roman" w:ascii="Times New Roman" w:hAnsi="Times New Roman"/>
                <w:color w:themeColor="text1" w:val="000000"/>
                <w:sz w:val="22"/>
                <w:szCs w:val="22"/>
              </w:rPr>
              <w:t xml:space="preserve">1. </w:t>
            </w:r>
            <w:hyperlink r:id="rId79">
              <w:r>
                <w:rPr>
                  <w:rFonts w:cs="Times New Roman" w:ascii="Times New Roman" w:hAnsi="Times New Roman"/>
                  <w:color w:themeColor="text1" w:val="000000"/>
                  <w:sz w:val="22"/>
                  <w:szCs w:val="22"/>
                </w:rPr>
                <w:t>Подпункт 5 пункта 3 статьи 47</w:t>
              </w:r>
            </w:hyperlink>
            <w:r>
              <w:rPr>
                <w:rFonts w:cs="Times New Roman" w:ascii="Times New Roman" w:hAnsi="Times New Roman"/>
                <w:color w:themeColor="text1" w:val="000000"/>
                <w:sz w:val="22"/>
                <w:szCs w:val="22"/>
              </w:rPr>
              <w:t xml:space="preserve"> Воздушного кодекса Российской Федерации.</w:t>
            </w:r>
          </w:p>
          <w:p>
            <w:pPr>
              <w:pStyle w:val="ConsPlusNormal"/>
              <w:ind w:hanging="0" w:left="76" w:right="83"/>
              <w:jc w:val="both"/>
              <w:rPr/>
            </w:pPr>
            <w:r>
              <w:rPr>
                <w:rFonts w:cs="Times New Roman" w:ascii="Times New Roman" w:hAnsi="Times New Roman"/>
                <w:color w:themeColor="text1" w:val="000000"/>
                <w:sz w:val="22"/>
                <w:szCs w:val="22"/>
              </w:rPr>
              <w:t xml:space="preserve">2. </w:t>
            </w:r>
            <w:hyperlink r:id="rId80">
              <w:r>
                <w:rPr>
                  <w:rFonts w:cs="Times New Roman" w:ascii="Times New Roman" w:hAnsi="Times New Roman"/>
                  <w:color w:themeColor="text1" w:val="000000"/>
                  <w:sz w:val="22"/>
                  <w:szCs w:val="22"/>
                </w:rPr>
                <w:t>Подпункт 5 пункта 3 статьи 1</w:t>
              </w:r>
            </w:hyperlink>
            <w:r>
              <w:rPr>
                <w:rFonts w:cs="Times New Roman" w:ascii="Times New Roman" w:hAnsi="Times New Roman"/>
                <w:color w:themeColor="text1" w:val="000000"/>
                <w:sz w:val="22"/>
                <w:szCs w:val="22"/>
              </w:rPr>
              <w:t xml:space="preserve"> Федерального закона от  01.07.2017</w:t>
              <w:br/>
              <w:t>№ 135-ФЗ.</w:t>
            </w:r>
          </w:p>
        </w:tc>
      </w:tr>
    </w:tbl>
    <w:p>
      <w:pPr>
        <w:pStyle w:val="ConsPlusNormal"/>
        <w:spacing w:before="22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Шестая подзона приаэродромной территории аэродрома гражданской авиации Калуга (Грабцево):</w:t>
      </w:r>
    </w:p>
    <w:p>
      <w:pPr>
        <w:pStyle w:val="Style78"/>
        <w:tabs>
          <w:tab w:val="clear" w:pos="397"/>
          <w:tab w:val="left" w:pos="9498" w:leader="none"/>
        </w:tabs>
        <w:ind w:firstLine="709" w:right="567"/>
        <w:rPr>
          <w:color w:themeColor="text1" w:val="000000"/>
        </w:rPr>
      </w:pPr>
      <w:r>
        <w:rPr>
          <w:color w:themeColor="text1" w:val="000000"/>
        </w:rPr>
        <w:t>Таблица 9.6.</w:t>
      </w:r>
    </w:p>
    <w:tbl>
      <w:tblPr>
        <w:tblW w:w="9071" w:type="dxa"/>
        <w:jc w:val="center"/>
        <w:tblInd w:w="0" w:type="dxa"/>
        <w:tblLayout w:type="fixed"/>
        <w:tblCellMar>
          <w:top w:w="102" w:type="dxa"/>
          <w:left w:w="62" w:type="dxa"/>
          <w:bottom w:w="102" w:type="dxa"/>
          <w:right w:w="62" w:type="dxa"/>
        </w:tblCellMar>
        <w:tblLook w:firstRow="1" w:noVBand="1" w:lastRow="0" w:firstColumn="1" w:lastColumn="0" w:noHBand="0" w:val="04a0"/>
      </w:tblPr>
      <w:tblGrid>
        <w:gridCol w:w="4820"/>
        <w:gridCol w:w="4250"/>
      </w:tblGrid>
      <w:tr>
        <w:trPr/>
        <w:tc>
          <w:tcPr>
            <w:tcW w:w="48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Перечень ограничений использования объектов недвижимости и осуществления деятельности</w:t>
            </w:r>
          </w:p>
        </w:tc>
        <w:tc>
          <w:tcPr>
            <w:tcW w:w="4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Обоснование ограничений</w:t>
            </w:r>
          </w:p>
        </w:tc>
      </w:tr>
      <w:tr>
        <w:trPr/>
        <w:tc>
          <w:tcPr>
            <w:tcW w:w="482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1. В границах шестой подзоны запрещается размещать объекты, способствующие привлечению и массовому скоплению птиц.</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2. Допускается размещать в границах шестой подзоны объекты по обращению с твердыми коммунальными отходами, пищевыми и биологическими отходами в случае наличия заключения по результатам орнитологического исследования на предмет отсутствия факторов, способствующих привлечению и массовому скоплению птиц, и (или) достаточности мер защиты указанных объектов от привлечения и массового скопления птиц.</w:t>
            </w:r>
          </w:p>
        </w:tc>
        <w:tc>
          <w:tcPr>
            <w:tcW w:w="425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6" w:right="83"/>
              <w:jc w:val="both"/>
              <w:rPr/>
            </w:pPr>
            <w:r>
              <w:rPr>
                <w:rFonts w:cs="Times New Roman" w:ascii="Times New Roman" w:hAnsi="Times New Roman"/>
                <w:color w:themeColor="text1" w:val="000000"/>
                <w:sz w:val="22"/>
                <w:szCs w:val="22"/>
              </w:rPr>
              <w:t xml:space="preserve">1. </w:t>
            </w:r>
            <w:hyperlink r:id="rId81">
              <w:r>
                <w:rPr>
                  <w:rFonts w:cs="Times New Roman" w:ascii="Times New Roman" w:hAnsi="Times New Roman"/>
                  <w:color w:themeColor="text1" w:val="000000"/>
                  <w:sz w:val="22"/>
                  <w:szCs w:val="22"/>
                </w:rPr>
                <w:t>Подпункт 6 пункта 3 статьи 47</w:t>
              </w:r>
            </w:hyperlink>
            <w:r>
              <w:rPr>
                <w:rFonts w:cs="Times New Roman" w:ascii="Times New Roman" w:hAnsi="Times New Roman"/>
                <w:color w:themeColor="text1" w:val="000000"/>
                <w:sz w:val="22"/>
                <w:szCs w:val="22"/>
              </w:rPr>
              <w:t xml:space="preserve"> Воздушного кодекса Российской Федерации.</w:t>
            </w:r>
          </w:p>
          <w:p>
            <w:pPr>
              <w:pStyle w:val="ConsPlusNormal"/>
              <w:ind w:hanging="0" w:left="76" w:right="83"/>
              <w:jc w:val="both"/>
              <w:rPr/>
            </w:pPr>
            <w:r>
              <w:rPr>
                <w:rFonts w:cs="Times New Roman" w:ascii="Times New Roman" w:hAnsi="Times New Roman"/>
                <w:color w:themeColor="text1" w:val="000000"/>
                <w:sz w:val="22"/>
                <w:szCs w:val="22"/>
              </w:rPr>
              <w:t xml:space="preserve">2. </w:t>
            </w:r>
            <w:hyperlink r:id="rId82">
              <w:r>
                <w:rPr>
                  <w:rFonts w:cs="Times New Roman" w:ascii="Times New Roman" w:hAnsi="Times New Roman"/>
                  <w:color w:themeColor="text1" w:val="000000"/>
                  <w:sz w:val="22"/>
                  <w:szCs w:val="22"/>
                </w:rPr>
                <w:t>Подпункт 6 пункта 3 статьи 1</w:t>
              </w:r>
            </w:hyperlink>
            <w:r>
              <w:rPr>
                <w:rFonts w:cs="Times New Roman" w:ascii="Times New Roman" w:hAnsi="Times New Roman"/>
                <w:color w:themeColor="text1" w:val="000000"/>
                <w:sz w:val="22"/>
                <w:szCs w:val="22"/>
              </w:rPr>
              <w:t xml:space="preserve"> Федерального закона от 01.07.2017</w:t>
              <w:br/>
              <w:t>№ 135-ФЗ.</w:t>
            </w:r>
          </w:p>
          <w:p>
            <w:pPr>
              <w:pStyle w:val="ConsPlusNormal"/>
              <w:ind w:hanging="0" w:left="76" w:right="83"/>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r>
          </w:p>
        </w:tc>
      </w:tr>
    </w:tbl>
    <w:p>
      <w:pPr>
        <w:pStyle w:val="ConsPlusNormal"/>
        <w:spacing w:before="220" w:after="0"/>
        <w:ind w:firstLine="540"/>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t>Седьмая подзона приаэродромной территории аэродрома гражданской авиации Калуга (Грабцево):</w:t>
      </w:r>
    </w:p>
    <w:p>
      <w:pPr>
        <w:pStyle w:val="Style78"/>
        <w:tabs>
          <w:tab w:val="clear" w:pos="397"/>
          <w:tab w:val="left" w:pos="9498" w:leader="none"/>
        </w:tabs>
        <w:ind w:firstLine="709" w:right="567"/>
        <w:rPr>
          <w:color w:themeColor="text1" w:val="000000"/>
        </w:rPr>
      </w:pPr>
      <w:r>
        <w:rPr>
          <w:color w:themeColor="text1" w:val="000000"/>
        </w:rPr>
        <w:t>Таблица 9.7.</w:t>
      </w:r>
    </w:p>
    <w:tbl>
      <w:tblPr>
        <w:tblW w:w="9071" w:type="dxa"/>
        <w:jc w:val="center"/>
        <w:tblInd w:w="0" w:type="dxa"/>
        <w:tblLayout w:type="fixed"/>
        <w:tblCellMar>
          <w:top w:w="102" w:type="dxa"/>
          <w:left w:w="62" w:type="dxa"/>
          <w:bottom w:w="102" w:type="dxa"/>
          <w:right w:w="62" w:type="dxa"/>
        </w:tblCellMar>
        <w:tblLook w:firstRow="1" w:noVBand="1" w:lastRow="0" w:firstColumn="1" w:lastColumn="0" w:noHBand="0" w:val="04a0"/>
      </w:tblPr>
      <w:tblGrid>
        <w:gridCol w:w="4820"/>
        <w:gridCol w:w="4250"/>
      </w:tblGrid>
      <w:tr>
        <w:trPr>
          <w:tblHeader w:val="true"/>
        </w:trPr>
        <w:tc>
          <w:tcPr>
            <w:tcW w:w="48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Перечень ограничений использования объектов недвижимости и осуществления деятельности</w:t>
            </w:r>
          </w:p>
        </w:tc>
        <w:tc>
          <w:tcPr>
            <w:tcW w:w="425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ConsPlusNormal"/>
              <w:ind w:hanging="0"/>
              <w:jc w:val="center"/>
              <w:rPr>
                <w:rFonts w:ascii="Times New Roman" w:hAnsi="Times New Roman" w:cs="Times New Roman"/>
                <w:b/>
                <w:color w:themeColor="text1" w:val="000000"/>
                <w:sz w:val="22"/>
                <w:szCs w:val="22"/>
              </w:rPr>
            </w:pPr>
            <w:r>
              <w:rPr>
                <w:rFonts w:cs="Times New Roman" w:ascii="Times New Roman" w:hAnsi="Times New Roman"/>
                <w:b/>
                <w:color w:themeColor="text1" w:val="000000"/>
                <w:sz w:val="22"/>
                <w:szCs w:val="22"/>
              </w:rPr>
              <w:t>Обоснование ограничений</w:t>
            </w:r>
          </w:p>
        </w:tc>
      </w:tr>
      <w:tr>
        <w:trPr/>
        <w:tc>
          <w:tcPr>
            <w:tcW w:w="482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В границах седьмой подзоны ввиду превышения уровня шумового воздействия в зоне запрета строительства нормируемых объектов запрещается размещать:</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а) палаты больниц и санаториев, операционные больниц;</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б) кабинеты врачей поликлиник, амбулаторий, диспансеров, больниц, санаториев;</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в) классные помещения, учебные кабинеты, учительские комнаты, аудитории образовательных организаций, конференц-залы, читальные залы библиотек;</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г) музыкальные классы;</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д) жилые комнаты квартир, домов стационарных организаций социального обслуживания, организации для детей-сирот и детей, оставшихся без попечения родителей, спальные помещения в школах-интернатах, дошкольных образовательных организациях, домов отдыха, пансионатов;</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е) жилые комнаты общежитий и номера гостиниц;</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ж) территории, непосредственно прилегающие к зданиям больниц и санаториев;</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з) территории, непосредственно прилегающие к зданиям жилых домов, домов отдыха, пансионатов, домов-интернатов для престарелых и инвалидов, дошкольных образовательных организаций и других образовательных организаций;</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и) территории, непосредственно прилегающие к зданиям гостиниц и общежитий;</w:t>
            </w:r>
          </w:p>
          <w:p>
            <w:pPr>
              <w:pStyle w:val="ConsPlusNormal"/>
              <w:ind w:hanging="0" w:left="75"/>
              <w:jc w:val="both"/>
              <w:rPr>
                <w:rFonts w:ascii="Times New Roman" w:hAnsi="Times New Roman" w:cs="Times New Roman"/>
                <w:color w:themeColor="text1" w:val="000000"/>
                <w:sz w:val="22"/>
                <w:szCs w:val="22"/>
              </w:rPr>
            </w:pPr>
            <w:r>
              <w:rPr>
                <w:rFonts w:cs="Times New Roman" w:ascii="Times New Roman" w:hAnsi="Times New Roman"/>
                <w:color w:themeColor="text1" w:val="000000"/>
                <w:sz w:val="22"/>
                <w:szCs w:val="22"/>
              </w:rPr>
              <w:t>к) площадки отдыха, функционально выделенные на территории микрорайонов и групп жилых домов, домов отдыха, пансионатов, стационарных организаций социального обслуживания, организаций для детей-сирот и детей, оставшихся без попечения родителей, площадки дошкольных образовательных организаций и других образовательных организаций.</w:t>
            </w:r>
          </w:p>
        </w:tc>
        <w:tc>
          <w:tcPr>
            <w:tcW w:w="4250" w:type="dxa"/>
            <w:tcBorders>
              <w:top w:val="single" w:sz="4" w:space="0" w:color="000000"/>
              <w:left w:val="single" w:sz="4" w:space="0" w:color="000000"/>
              <w:bottom w:val="single" w:sz="4" w:space="0" w:color="000000"/>
              <w:right w:val="single" w:sz="4" w:space="0" w:color="000000"/>
            </w:tcBorders>
            <w:shd w:fill="auto" w:val="clear"/>
          </w:tcPr>
          <w:p>
            <w:pPr>
              <w:pStyle w:val="ConsPlusNormal"/>
              <w:ind w:hanging="0" w:left="76" w:right="83"/>
              <w:jc w:val="both"/>
              <w:rPr/>
            </w:pPr>
            <w:r>
              <w:rPr>
                <w:rFonts w:cs="Times New Roman" w:ascii="Times New Roman" w:hAnsi="Times New Roman"/>
                <w:color w:themeColor="text1" w:val="000000"/>
                <w:sz w:val="22"/>
                <w:szCs w:val="22"/>
              </w:rPr>
              <w:t xml:space="preserve">1. </w:t>
            </w:r>
            <w:hyperlink r:id="rId83">
              <w:r>
                <w:rPr>
                  <w:rFonts w:cs="Times New Roman" w:ascii="Times New Roman" w:hAnsi="Times New Roman"/>
                  <w:color w:themeColor="text1" w:val="000000"/>
                  <w:sz w:val="22"/>
                  <w:szCs w:val="22"/>
                </w:rPr>
                <w:t>Подпункт 7 пункта 3 статьи 47</w:t>
              </w:r>
            </w:hyperlink>
            <w:r>
              <w:rPr>
                <w:rFonts w:cs="Times New Roman" w:ascii="Times New Roman" w:hAnsi="Times New Roman"/>
                <w:color w:themeColor="text1" w:val="000000"/>
                <w:sz w:val="22"/>
                <w:szCs w:val="22"/>
              </w:rPr>
              <w:t xml:space="preserve"> Воздушного кодекса Российской Федерации.</w:t>
            </w:r>
          </w:p>
          <w:p>
            <w:pPr>
              <w:pStyle w:val="ConsPlusNormal"/>
              <w:ind w:hanging="0" w:left="76" w:right="83"/>
              <w:jc w:val="both"/>
              <w:rPr/>
            </w:pPr>
            <w:r>
              <w:rPr>
                <w:rFonts w:cs="Times New Roman" w:ascii="Times New Roman" w:hAnsi="Times New Roman"/>
                <w:color w:themeColor="text1" w:val="000000"/>
                <w:sz w:val="22"/>
                <w:szCs w:val="22"/>
              </w:rPr>
              <w:t xml:space="preserve">2. </w:t>
            </w:r>
            <w:hyperlink r:id="rId84">
              <w:r>
                <w:rPr>
                  <w:rFonts w:cs="Times New Roman" w:ascii="Times New Roman" w:hAnsi="Times New Roman"/>
                  <w:color w:themeColor="text1" w:val="000000"/>
                  <w:sz w:val="22"/>
                  <w:szCs w:val="22"/>
                </w:rPr>
                <w:t>Подпункт 7 пункта 3 статьи 1</w:t>
              </w:r>
            </w:hyperlink>
            <w:r>
              <w:rPr>
                <w:rFonts w:cs="Times New Roman" w:ascii="Times New Roman" w:hAnsi="Times New Roman"/>
                <w:color w:themeColor="text1" w:val="000000"/>
                <w:sz w:val="22"/>
                <w:szCs w:val="22"/>
              </w:rPr>
              <w:t xml:space="preserve"> Федерального закона от 01.07.2017</w:t>
              <w:br/>
              <w:t>№ 135-ФЗ.</w:t>
            </w:r>
          </w:p>
          <w:p>
            <w:pPr>
              <w:pStyle w:val="ConsPlusNormal"/>
              <w:ind w:hanging="0" w:left="76" w:right="83"/>
              <w:jc w:val="both"/>
              <w:rPr/>
            </w:pPr>
            <w:r>
              <w:rPr>
                <w:rFonts w:cs="Times New Roman" w:ascii="Times New Roman" w:hAnsi="Times New Roman"/>
                <w:color w:themeColor="text1" w:val="000000"/>
                <w:sz w:val="22"/>
                <w:szCs w:val="22"/>
              </w:rPr>
              <w:t xml:space="preserve">3. </w:t>
            </w:r>
            <w:hyperlink r:id="rId85">
              <w:r>
                <w:rPr>
                  <w:rFonts w:cs="Times New Roman" w:ascii="Times New Roman" w:hAnsi="Times New Roman"/>
                  <w:color w:themeColor="text1" w:val="000000"/>
                  <w:sz w:val="22"/>
                  <w:szCs w:val="22"/>
                </w:rPr>
                <w:t>Пункт 4 статьи 1</w:t>
              </w:r>
            </w:hyperlink>
            <w:r>
              <w:rPr>
                <w:rFonts w:cs="Times New Roman" w:ascii="Times New Roman" w:hAnsi="Times New Roman"/>
                <w:color w:themeColor="text1" w:val="000000"/>
                <w:sz w:val="22"/>
                <w:szCs w:val="22"/>
              </w:rPr>
              <w:t xml:space="preserve">, </w:t>
            </w:r>
            <w:hyperlink r:id="rId86">
              <w:r>
                <w:rPr>
                  <w:rFonts w:cs="Times New Roman" w:ascii="Times New Roman" w:hAnsi="Times New Roman"/>
                  <w:color w:themeColor="text1" w:val="000000"/>
                  <w:sz w:val="22"/>
                  <w:szCs w:val="22"/>
                </w:rPr>
                <w:t>пункт 7 статьи 30</w:t>
              </w:r>
            </w:hyperlink>
            <w:r>
              <w:rPr>
                <w:rFonts w:cs="Times New Roman" w:ascii="Times New Roman" w:hAnsi="Times New Roman"/>
                <w:color w:themeColor="text1" w:val="000000"/>
                <w:sz w:val="22"/>
                <w:szCs w:val="22"/>
              </w:rPr>
              <w:t xml:space="preserve"> Градостроительного кодекса Российской Федерации.</w:t>
            </w:r>
          </w:p>
          <w:p>
            <w:pPr>
              <w:pStyle w:val="ConsPlusNormal"/>
              <w:ind w:hanging="0" w:left="76" w:right="83"/>
              <w:jc w:val="both"/>
              <w:rPr/>
            </w:pPr>
            <w:r>
              <w:rPr>
                <w:rFonts w:cs="Times New Roman" w:ascii="Times New Roman" w:hAnsi="Times New Roman"/>
                <w:color w:themeColor="text1" w:val="000000"/>
                <w:sz w:val="22"/>
                <w:szCs w:val="22"/>
              </w:rPr>
              <w:t xml:space="preserve">4. </w:t>
            </w:r>
            <w:hyperlink r:id="rId87">
              <w:r>
                <w:rPr>
                  <w:rFonts w:cs="Times New Roman" w:ascii="Times New Roman" w:hAnsi="Times New Roman"/>
                  <w:color w:themeColor="text1" w:val="000000"/>
                  <w:sz w:val="22"/>
                  <w:szCs w:val="22"/>
                </w:rPr>
                <w:t>Пункт 1 статьи 23</w:t>
              </w:r>
            </w:hyperlink>
            <w:r>
              <w:rPr>
                <w:rFonts w:cs="Times New Roman" w:ascii="Times New Roman" w:hAnsi="Times New Roman"/>
                <w:color w:themeColor="text1" w:val="000000"/>
                <w:sz w:val="22"/>
                <w:szCs w:val="22"/>
              </w:rPr>
              <w:t xml:space="preserve"> Федерального закона от 30.03.1999 № 52-ФЗ «О санитарно-эпидемиологическом благополучии населения».</w:t>
            </w:r>
          </w:p>
          <w:p>
            <w:pPr>
              <w:pStyle w:val="ConsPlusNormal"/>
              <w:ind w:hanging="0" w:left="76" w:right="83"/>
              <w:jc w:val="both"/>
              <w:rPr/>
            </w:pPr>
            <w:r>
              <w:rPr>
                <w:rFonts w:cs="Times New Roman" w:ascii="Times New Roman" w:hAnsi="Times New Roman"/>
                <w:color w:themeColor="text1" w:val="000000"/>
                <w:sz w:val="22"/>
                <w:szCs w:val="22"/>
              </w:rPr>
              <w:t xml:space="preserve">5. Санитарные правила и нормы </w:t>
            </w:r>
            <w:hyperlink r:id="rId88">
              <w:r>
                <w:rPr>
                  <w:rFonts w:cs="Times New Roman" w:ascii="Times New Roman" w:hAnsi="Times New Roman"/>
                  <w:color w:themeColor="text1" w:val="000000"/>
                  <w:sz w:val="22"/>
                  <w:szCs w:val="22"/>
                </w:rPr>
                <w:t>СанПиН 1.2.3685-21</w:t>
              </w:r>
            </w:hyperlink>
            <w:r>
              <w:rPr>
                <w:rFonts w:cs="Times New Roman" w:ascii="Times New Roman" w:hAnsi="Times New Roman"/>
                <w:color w:themeColor="text1" w:val="000000"/>
                <w:sz w:val="22"/>
                <w:szCs w:val="22"/>
              </w:rPr>
              <w:t xml:space="preserve"> «Гигиенические нормативы и требования к обеспечению безопасности и (или) безвредности для человека факторов среды обитания».</w:t>
            </w:r>
          </w:p>
        </w:tc>
      </w:tr>
    </w:tbl>
    <w:p>
      <w:pPr>
        <w:pStyle w:val="223"/>
        <w:spacing w:before="60" w:after="60"/>
        <w:ind w:firstLine="709" w:left="0"/>
        <w:rPr>
          <w:color w:themeColor="text1" w:val="000000"/>
        </w:rPr>
      </w:pPr>
      <w:r>
        <w:rPr>
          <w:color w:themeColor="text1" w:val="000000"/>
        </w:rPr>
        <w:t>Водоохранные зоны, прибрежные защитные полосы и береговые полосы</w:t>
      </w:r>
    </w:p>
    <w:p>
      <w:pPr>
        <w:pStyle w:val="Style70"/>
        <w:spacing w:before="0" w:after="0"/>
        <w:ind w:firstLine="709"/>
        <w:rPr>
          <w:color w:themeColor="text1" w:val="000000"/>
        </w:rPr>
      </w:pPr>
      <w:r>
        <w:rPr>
          <w:color w:themeColor="text1" w:val="000000"/>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pStyle w:val="Style70"/>
        <w:spacing w:before="0" w:after="0"/>
        <w:ind w:firstLine="709"/>
        <w:rPr>
          <w:color w:themeColor="text1" w:val="000000"/>
        </w:rPr>
      </w:pPr>
      <w:r>
        <w:rPr>
          <w:color w:themeColor="text1" w:val="000000"/>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pStyle w:val="Style70"/>
        <w:spacing w:before="0" w:after="0"/>
        <w:ind w:firstLine="709"/>
        <w:rPr>
          <w:color w:themeColor="text1" w:val="000000"/>
        </w:rPr>
      </w:pPr>
      <w:r>
        <w:rPr>
          <w:color w:themeColor="text1" w:val="000000"/>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pPr>
        <w:pStyle w:val="Style70"/>
        <w:spacing w:before="0" w:after="0"/>
        <w:ind w:firstLine="709"/>
        <w:rPr>
          <w:color w:themeColor="text1" w:val="000000"/>
        </w:rPr>
      </w:pPr>
      <w:r>
        <w:rPr>
          <w:color w:themeColor="text1" w:val="000000"/>
        </w:rPr>
        <w:t>Ширина водоохранной зоны рек или ручьев устанавливается от их истока для рек или ручьев протяженностью:</w:t>
      </w:r>
    </w:p>
    <w:p>
      <w:pPr>
        <w:pStyle w:val="Style70"/>
        <w:spacing w:before="0" w:after="0"/>
        <w:ind w:firstLine="709"/>
        <w:rPr>
          <w:color w:themeColor="text1" w:val="000000"/>
        </w:rPr>
      </w:pPr>
      <w:r>
        <w:rPr>
          <w:color w:themeColor="text1" w:val="000000"/>
        </w:rPr>
        <w:t>1) до десяти километров - в размере пятидесяти метров;</w:t>
      </w:r>
    </w:p>
    <w:p>
      <w:pPr>
        <w:pStyle w:val="Style70"/>
        <w:spacing w:before="0" w:after="0"/>
        <w:ind w:firstLine="709"/>
        <w:rPr>
          <w:color w:themeColor="text1" w:val="000000"/>
        </w:rPr>
      </w:pPr>
      <w:r>
        <w:rPr>
          <w:color w:themeColor="text1" w:val="000000"/>
        </w:rPr>
        <w:t>2) от десяти до пятидесяти километров - в размере ста метров;</w:t>
      </w:r>
    </w:p>
    <w:p>
      <w:pPr>
        <w:pStyle w:val="Style70"/>
        <w:spacing w:before="0" w:after="0"/>
        <w:ind w:firstLine="709"/>
        <w:rPr>
          <w:color w:themeColor="text1" w:val="000000"/>
        </w:rPr>
      </w:pPr>
      <w:r>
        <w:rPr>
          <w:color w:themeColor="text1" w:val="000000"/>
        </w:rPr>
        <w:t>3) от пятидесяти километров и более - в размере двухсот метров.</w:t>
      </w:r>
    </w:p>
    <w:p>
      <w:pPr>
        <w:pStyle w:val="Style70"/>
        <w:spacing w:before="0" w:after="0"/>
        <w:ind w:firstLine="709"/>
        <w:rPr>
          <w:color w:themeColor="text1" w:val="000000"/>
        </w:rPr>
      </w:pPr>
      <w:r>
        <w:rPr>
          <w:color w:themeColor="text1" w:val="000000"/>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pPr>
        <w:pStyle w:val="Style70"/>
        <w:spacing w:before="0" w:after="0"/>
        <w:ind w:firstLine="709"/>
        <w:rPr>
          <w:color w:themeColor="text1" w:val="000000"/>
        </w:rPr>
      </w:pPr>
      <w:r>
        <w:rPr>
          <w:color w:themeColor="text1" w:val="000000"/>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pPr>
        <w:pStyle w:val="Style70"/>
        <w:spacing w:before="0" w:after="0"/>
        <w:ind w:firstLine="709"/>
        <w:rPr>
          <w:color w:themeColor="text1" w:val="000000"/>
        </w:rPr>
      </w:pPr>
      <w:r>
        <w:rPr>
          <w:color w:themeColor="text1" w:val="000000"/>
        </w:rPr>
        <w:t>Водоохранные зоны магистральных или межхозяйственных каналов совпадают по ширине с полосами отводов таких каналов.</w:t>
      </w:r>
    </w:p>
    <w:p>
      <w:pPr>
        <w:pStyle w:val="Style70"/>
        <w:spacing w:before="0" w:after="0"/>
        <w:ind w:firstLine="709"/>
        <w:rPr>
          <w:color w:themeColor="text1" w:val="000000"/>
        </w:rPr>
      </w:pPr>
      <w:r>
        <w:rPr>
          <w:color w:themeColor="text1" w:val="000000"/>
        </w:rPr>
        <w:t>Водоохранные зоны рек, их частей, помещенных в закрытые коллекторы, не устанавливаются.</w:t>
      </w:r>
    </w:p>
    <w:p>
      <w:pPr>
        <w:pStyle w:val="Style70"/>
        <w:spacing w:before="0" w:after="0"/>
        <w:ind w:firstLine="709"/>
        <w:rPr>
          <w:color w:themeColor="text1" w:val="000000"/>
        </w:rPr>
      </w:pPr>
      <w:r>
        <w:rPr>
          <w:color w:themeColor="text1" w:val="000000"/>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pPr>
        <w:pStyle w:val="Style70"/>
        <w:spacing w:before="0" w:after="0"/>
        <w:ind w:firstLine="709"/>
        <w:rPr>
          <w:color w:themeColor="text1" w:val="000000"/>
        </w:rPr>
      </w:pPr>
      <w:r>
        <w:rPr>
          <w:color w:themeColor="text1" w:val="000000"/>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pPr>
        <w:pStyle w:val="Style70"/>
        <w:spacing w:before="0" w:after="0"/>
        <w:ind w:firstLine="709"/>
        <w:rPr>
          <w:color w:themeColor="text1" w:val="000000"/>
        </w:rPr>
      </w:pPr>
      <w:r>
        <w:rPr>
          <w:color w:themeColor="text1" w:val="000000"/>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pPr>
        <w:pStyle w:val="Style70"/>
        <w:spacing w:before="0" w:after="0"/>
        <w:ind w:firstLine="709"/>
        <w:rPr>
          <w:color w:themeColor="text1" w:val="000000"/>
        </w:rPr>
      </w:pPr>
      <w:r>
        <w:rPr>
          <w:color w:themeColor="text1" w:val="000000"/>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pPr>
        <w:pStyle w:val="Style70"/>
        <w:spacing w:before="0" w:after="0"/>
        <w:ind w:firstLine="709"/>
        <w:rPr>
          <w:color w:themeColor="text1" w:val="000000"/>
        </w:rPr>
      </w:pPr>
      <w:r>
        <w:rPr>
          <w:color w:themeColor="text1" w:val="000000"/>
        </w:rPr>
        <w:t>В границах водоохранных зон запрещаются:</w:t>
      </w:r>
    </w:p>
    <w:p>
      <w:pPr>
        <w:pStyle w:val="Style70"/>
        <w:spacing w:before="0" w:after="0"/>
        <w:ind w:firstLine="709"/>
        <w:rPr>
          <w:color w:themeColor="text1" w:val="000000"/>
        </w:rPr>
      </w:pPr>
      <w:r>
        <w:rPr>
          <w:color w:themeColor="text1" w:val="000000"/>
        </w:rPr>
        <w:t>1) использование сточных вод в целях повышения почвенного плодородия;</w:t>
      </w:r>
    </w:p>
    <w:p>
      <w:pPr>
        <w:pStyle w:val="Style70"/>
        <w:spacing w:before="0" w:after="0"/>
        <w:ind w:firstLine="709"/>
        <w:rPr>
          <w:color w:themeColor="text1" w:val="000000"/>
        </w:rPr>
      </w:pPr>
      <w:r>
        <w:rPr>
          <w:color w:themeColor="text1" w:val="000000"/>
        </w:rPr>
        <w:t>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pPr>
        <w:pStyle w:val="Style70"/>
        <w:spacing w:before="0" w:after="0"/>
        <w:ind w:firstLine="709"/>
        <w:rPr>
          <w:color w:themeColor="text1" w:val="000000"/>
        </w:rPr>
      </w:pPr>
      <w:r>
        <w:rPr>
          <w:color w:themeColor="text1" w:val="000000"/>
        </w:rPr>
        <w:t>3) осуществление авиационных мер по борьбе с вредными организмами;</w:t>
      </w:r>
    </w:p>
    <w:p>
      <w:pPr>
        <w:pStyle w:val="Style70"/>
        <w:spacing w:before="0" w:after="0"/>
        <w:ind w:firstLine="709"/>
        <w:rPr>
          <w:color w:themeColor="text1" w:val="000000"/>
        </w:rPr>
      </w:pPr>
      <w:r>
        <w:rPr>
          <w:color w:themeColor="text1" w:val="000000"/>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Style70"/>
        <w:spacing w:before="0" w:after="0"/>
        <w:ind w:firstLine="709"/>
        <w:rPr>
          <w:color w:themeColor="text1" w:val="000000"/>
        </w:rPr>
      </w:pPr>
      <w:r>
        <w:rPr>
          <w:color w:themeColor="text1" w:val="000000"/>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Style70"/>
        <w:spacing w:before="0" w:after="0"/>
        <w:ind w:firstLine="709"/>
        <w:rPr>
          <w:color w:themeColor="text1" w:val="000000"/>
        </w:rPr>
      </w:pPr>
      <w:r>
        <w:rPr>
          <w:color w:themeColor="text1" w:val="000000"/>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pPr>
        <w:pStyle w:val="Style70"/>
        <w:spacing w:before="0" w:after="0"/>
        <w:ind w:firstLine="709"/>
        <w:rPr>
          <w:color w:themeColor="text1" w:val="000000"/>
        </w:rPr>
      </w:pPr>
      <w:r>
        <w:rPr>
          <w:color w:themeColor="text1" w:val="000000"/>
        </w:rPr>
        <w:t>7) сброс сточных, в том числе дренажных, вод;</w:t>
      </w:r>
    </w:p>
    <w:p>
      <w:pPr>
        <w:pStyle w:val="Style70"/>
        <w:spacing w:before="0" w:after="0"/>
        <w:ind w:firstLine="709"/>
        <w:rPr>
          <w:color w:themeColor="text1" w:val="000000"/>
        </w:rPr>
      </w:pPr>
      <w:r>
        <w:rPr>
          <w:color w:themeColor="text1" w:val="000000"/>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p>
    <w:p>
      <w:pPr>
        <w:pStyle w:val="Style70"/>
        <w:spacing w:before="0" w:after="0"/>
        <w:ind w:firstLine="709"/>
        <w:rPr>
          <w:color w:themeColor="text1" w:val="000000"/>
        </w:rPr>
      </w:pPr>
      <w:r>
        <w:rPr>
          <w:color w:themeColor="text1" w:val="00000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pPr>
        <w:pStyle w:val="Style70"/>
        <w:spacing w:before="0" w:after="0"/>
        <w:ind w:firstLine="709"/>
        <w:rPr>
          <w:color w:themeColor="text1" w:val="000000"/>
        </w:rPr>
      </w:pPr>
      <w:r>
        <w:rPr>
          <w:color w:themeColor="text1" w:val="000000"/>
        </w:rPr>
        <w:t>1) централизованные системы водоотведения (канализации), централизованные ливневые системы водоотведения;</w:t>
      </w:r>
    </w:p>
    <w:p>
      <w:pPr>
        <w:pStyle w:val="Style70"/>
        <w:spacing w:before="0" w:after="0"/>
        <w:ind w:firstLine="709"/>
        <w:rPr>
          <w:color w:themeColor="text1" w:val="000000"/>
        </w:rPr>
      </w:pPr>
      <w:r>
        <w:rPr>
          <w:color w:themeColor="text1" w:val="000000"/>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pPr>
        <w:pStyle w:val="Style70"/>
        <w:spacing w:before="0" w:after="0"/>
        <w:ind w:firstLine="709"/>
        <w:rPr>
          <w:color w:themeColor="text1" w:val="000000"/>
        </w:rPr>
      </w:pPr>
      <w:r>
        <w:rPr>
          <w:color w:themeColor="text1" w:val="000000"/>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pPr>
        <w:pStyle w:val="Style70"/>
        <w:spacing w:before="0" w:after="0"/>
        <w:ind w:firstLine="709"/>
        <w:rPr>
          <w:color w:themeColor="text1" w:val="000000"/>
        </w:rPr>
      </w:pPr>
      <w:r>
        <w:rPr>
          <w:color w:themeColor="text1" w:val="000000"/>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pPr>
        <w:pStyle w:val="Style70"/>
        <w:spacing w:before="0" w:after="0"/>
        <w:ind w:firstLine="709"/>
        <w:rPr>
          <w:color w:themeColor="text1" w:val="000000"/>
        </w:rPr>
      </w:pPr>
      <w:r>
        <w:rPr>
          <w:color w:themeColor="text1" w:val="000000"/>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pPr>
        <w:pStyle w:val="Style70"/>
        <w:spacing w:before="0" w:after="0"/>
        <w:ind w:firstLine="709"/>
        <w:rPr>
          <w:color w:themeColor="text1" w:val="000000"/>
        </w:rPr>
      </w:pPr>
      <w:r>
        <w:rPr>
          <w:color w:themeColor="text1" w:val="000000"/>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pPr>
        <w:pStyle w:val="Style70"/>
        <w:spacing w:before="0" w:after="0"/>
        <w:ind w:firstLine="709"/>
        <w:rPr>
          <w:color w:themeColor="text1" w:val="000000"/>
        </w:rPr>
      </w:pPr>
      <w:r>
        <w:rPr>
          <w:color w:themeColor="text1" w:val="000000"/>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Водным кодексом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pPr>
        <w:pStyle w:val="Style70"/>
        <w:spacing w:before="0" w:after="0"/>
        <w:ind w:firstLine="709"/>
        <w:rPr>
          <w:color w:themeColor="text1" w:val="000000"/>
        </w:rPr>
      </w:pPr>
      <w:r>
        <w:rPr>
          <w:color w:themeColor="text1" w:val="000000"/>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pPr>
        <w:pStyle w:val="Style70"/>
        <w:spacing w:before="0" w:after="0"/>
        <w:ind w:firstLine="709"/>
        <w:rPr>
          <w:color w:themeColor="text1" w:val="000000"/>
        </w:rPr>
      </w:pPr>
      <w:r>
        <w:rPr>
          <w:color w:themeColor="text1" w:val="000000"/>
        </w:rPr>
        <w:t>В пределах защитных прибрежных полос дополнительно к ограничениям, перечисленным выше, запрещается:</w:t>
      </w:r>
    </w:p>
    <w:p>
      <w:pPr>
        <w:pStyle w:val="Style70"/>
        <w:spacing w:before="0" w:after="0"/>
        <w:ind w:firstLine="709"/>
        <w:rPr>
          <w:color w:themeColor="text1" w:val="000000"/>
        </w:rPr>
      </w:pPr>
      <w:r>
        <w:rPr>
          <w:color w:themeColor="text1" w:val="000000"/>
        </w:rPr>
        <w:t>1) распашка земель;</w:t>
      </w:r>
    </w:p>
    <w:p>
      <w:pPr>
        <w:pStyle w:val="Style70"/>
        <w:spacing w:before="0" w:after="0"/>
        <w:ind w:firstLine="709"/>
        <w:rPr>
          <w:color w:themeColor="text1" w:val="000000"/>
        </w:rPr>
      </w:pPr>
      <w:r>
        <w:rPr>
          <w:color w:themeColor="text1" w:val="000000"/>
        </w:rPr>
        <w:t>2) размещение отвалов размываемых грунтов;</w:t>
      </w:r>
    </w:p>
    <w:p>
      <w:pPr>
        <w:pStyle w:val="Style70"/>
        <w:spacing w:before="0" w:after="0"/>
        <w:ind w:firstLine="709"/>
        <w:rPr>
          <w:color w:themeColor="text1" w:val="000000"/>
        </w:rPr>
      </w:pPr>
      <w:r>
        <w:rPr>
          <w:color w:themeColor="text1" w:val="000000"/>
        </w:rPr>
        <w:t>3) выпас сельскохозяйственных животных и организация для них летних лагерей, ванн.</w:t>
      </w:r>
    </w:p>
    <w:p>
      <w:pPr>
        <w:pStyle w:val="Style70"/>
        <w:spacing w:before="0" w:after="0"/>
        <w:ind w:firstLine="709"/>
        <w:rPr>
          <w:color w:themeColor="text1" w:val="000000"/>
        </w:rPr>
      </w:pPr>
      <w:r>
        <w:rPr>
          <w:color w:themeColor="text1" w:val="000000"/>
        </w:rPr>
        <w:t>Установление границ водоохранных зон и границ прибрежных защитных полос водных объектов, включая обозначение на местности посредством специальных информационных знаков на территориях, используемых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осуществляется в порядке, установленном Правительством Российской Федерации.</w:t>
      </w:r>
    </w:p>
    <w:p>
      <w:pPr>
        <w:pStyle w:val="Style70"/>
        <w:spacing w:before="0" w:after="0"/>
        <w:ind w:firstLine="709"/>
        <w:rPr>
          <w:color w:themeColor="text1" w:val="000000"/>
        </w:rPr>
      </w:pPr>
      <w:r>
        <w:rPr>
          <w:color w:themeColor="text1" w:val="000000"/>
        </w:rPr>
        <w:t xml:space="preserve">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w:t>
      </w:r>
    </w:p>
    <w:p>
      <w:pPr>
        <w:pStyle w:val="Style70"/>
        <w:spacing w:before="0" w:after="0"/>
        <w:ind w:firstLine="709"/>
        <w:rPr>
          <w:color w:themeColor="text1" w:val="000000"/>
        </w:rPr>
      </w:pPr>
      <w:r>
        <w:rPr>
          <w:color w:themeColor="text1" w:val="000000"/>
        </w:rPr>
        <w:t>Ширина водоохраной зоны, ширина прибрежных защитных полос и береговых полос рек городского округа указана в таблице 9.8.</w:t>
      </w:r>
    </w:p>
    <w:p>
      <w:pPr>
        <w:pStyle w:val="Style78"/>
        <w:ind w:firstLine="709"/>
        <w:rPr>
          <w:color w:themeColor="text1" w:val="000000"/>
        </w:rPr>
      </w:pPr>
      <w:r>
        <w:rPr>
          <w:color w:themeColor="text1" w:val="000000"/>
        </w:rPr>
        <w:t>Таблица 9.8.</w:t>
      </w:r>
    </w:p>
    <w:p>
      <w:pPr>
        <w:pStyle w:val="Style83"/>
        <w:rPr>
          <w:color w:themeColor="text1" w:val="000000"/>
        </w:rPr>
      </w:pPr>
      <w:r>
        <w:rPr>
          <w:color w:themeColor="text1" w:val="000000"/>
        </w:rPr>
        <w:t>Перечень основных водных объектов на территории городского округа с указанием размеров водоохраной зоны, прибрежной защитной полосы и береговой полосы</w:t>
      </w:r>
    </w:p>
    <w:tbl>
      <w:tblPr>
        <w:tblW w:w="9810"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710"/>
        <w:gridCol w:w="2835"/>
        <w:gridCol w:w="1700"/>
        <w:gridCol w:w="1725"/>
        <w:gridCol w:w="1497"/>
        <w:gridCol w:w="1342"/>
      </w:tblGrid>
      <w:tr>
        <w:trPr>
          <w:tblHeader w:val="true"/>
          <w:trHeight w:val="255" w:hRule="atLeast"/>
        </w:trPr>
        <w:tc>
          <w:tcPr>
            <w:tcW w:w="710"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p>
            <w:pPr>
              <w:pStyle w:val="Normal"/>
              <w:widowControl w:val="false"/>
              <w:jc w:val="center"/>
              <w:rPr>
                <w:b/>
                <w:color w:themeColor="text1" w:val="000000"/>
                <w:sz w:val="22"/>
                <w:szCs w:val="22"/>
              </w:rPr>
            </w:pPr>
            <w:bookmarkStart w:id="53" w:name="RANGE_A1_D1"/>
            <w:r>
              <w:rPr>
                <w:b/>
                <w:color w:themeColor="text1" w:val="000000"/>
                <w:sz w:val="22"/>
                <w:szCs w:val="22"/>
              </w:rPr>
              <w:t>п/п</w:t>
            </w:r>
            <w:bookmarkEnd w:id="53"/>
          </w:p>
        </w:tc>
        <w:tc>
          <w:tcPr>
            <w:tcW w:w="283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водного объекта</w:t>
            </w:r>
          </w:p>
        </w:tc>
        <w:tc>
          <w:tcPr>
            <w:tcW w:w="1700"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Длины водных объектов (км)</w:t>
            </w:r>
          </w:p>
        </w:tc>
        <w:tc>
          <w:tcPr>
            <w:tcW w:w="172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Размер водоохранной зоны (м)</w:t>
            </w:r>
          </w:p>
        </w:tc>
        <w:tc>
          <w:tcPr>
            <w:tcW w:w="1497"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Размер прибрежной защитной полосы (м)*</w:t>
            </w:r>
          </w:p>
        </w:tc>
        <w:tc>
          <w:tcPr>
            <w:tcW w:w="134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Размер береговой полосы (м)</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Ока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1500</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Угра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399</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Росвянка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Яченка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Терепец</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Калужка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Киевка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Хворостянка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Жерелка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 Грязинка</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r>
      <w:tr>
        <w:trPr>
          <w:trHeight w:val="255" w:hRule="atLeast"/>
        </w:trPr>
        <w:tc>
          <w:tcPr>
            <w:tcW w:w="71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2835" w:type="dxa"/>
            <w:tcBorders>
              <w:top w:val="single" w:sz="4" w:space="0" w:color="000000"/>
              <w:left w:val="single" w:sz="4" w:space="0" w:color="000000"/>
              <w:bottom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ручьи</w:t>
            </w:r>
          </w:p>
        </w:tc>
        <w:tc>
          <w:tcPr>
            <w:tcW w:w="1700"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менее 10 км</w:t>
            </w:r>
          </w:p>
        </w:tc>
        <w:tc>
          <w:tcPr>
            <w:tcW w:w="1725"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497"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r>
    </w:tbl>
    <w:p>
      <w:pPr>
        <w:pStyle w:val="Style84"/>
        <w:ind w:firstLine="709" w:left="0" w:right="-143"/>
        <w:rPr>
          <w:color w:themeColor="text1" w:val="000000"/>
          <w:sz w:val="20"/>
          <w:szCs w:val="20"/>
          <w:u w:val="single"/>
        </w:rPr>
      </w:pPr>
      <w:r>
        <w:rPr>
          <w:color w:themeColor="text1" w:val="000000"/>
          <w:sz w:val="20"/>
          <w:szCs w:val="20"/>
        </w:rPr>
        <w:t>* Примечание: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В силу масштаба в проекте Генерального плана прибрежная защитная полоса отображена шириной 50 м. Необходимо проведение дополнительной более детальной работы крупного масштаба по установлению точных границ прибрежной защитной полосы.</w:t>
      </w:r>
    </w:p>
    <w:p>
      <w:pPr>
        <w:pStyle w:val="223"/>
        <w:spacing w:before="60" w:after="60"/>
        <w:ind w:firstLine="709" w:left="0"/>
        <w:rPr>
          <w:color w:themeColor="text1" w:val="000000"/>
        </w:rPr>
      </w:pPr>
      <w:r>
        <w:rPr>
          <w:color w:themeColor="text1" w:val="000000"/>
        </w:rPr>
        <w:t>Зоны санитарной охраны источников водоснабжения и водопроводов питьевого назначения</w:t>
      </w:r>
    </w:p>
    <w:p>
      <w:pPr>
        <w:pStyle w:val="Style70"/>
        <w:ind w:firstLine="709"/>
        <w:rPr>
          <w:color w:themeColor="text1" w:val="000000"/>
        </w:rPr>
      </w:pPr>
      <w:r>
        <w:rPr>
          <w:color w:themeColor="text1" w:val="000000"/>
        </w:rPr>
        <w:t>Использование территорий в соответствии с СанПиНом 2.1.4.1110–02 «Зоны санитарной охраны источников водоснабжения и водопроводов питьевого назначения», СанПин 2.1.5.980–00 «Гигиенические требования к охране поверхностных вод». Основной целью создания и обеспечения режима в зонах санитарной охраны является охрана от загрязнения источников водоснабжения и водопроводных сооружений, а также территорий, на которых они расположены.</w:t>
      </w:r>
    </w:p>
    <w:p>
      <w:pPr>
        <w:pStyle w:val="138"/>
        <w:ind w:firstLine="709" w:left="0"/>
        <w:rPr>
          <w:color w:themeColor="text1" w:val="000000"/>
        </w:rPr>
      </w:pPr>
      <w:r>
        <w:rPr>
          <w:color w:themeColor="text1" w:val="000000"/>
        </w:rPr>
        <w:t>- I пояс (строгого режима) включает территорию расположения водозаборов, очистных сооружений, резервуаров чистой воды, напорных резервуары и водонапорных башен, а также санитарно-защитные полосы водоводов, в пределах которых запрещаются все виды строительства, не имеющего непосредственного отношения к водозабору;</w:t>
      </w:r>
    </w:p>
    <w:p>
      <w:pPr>
        <w:pStyle w:val="138"/>
        <w:ind w:firstLine="709" w:left="0"/>
        <w:rPr>
          <w:color w:themeColor="text1" w:val="000000"/>
          <w:u w:val="single"/>
        </w:rPr>
      </w:pPr>
      <w:r>
        <w:rPr>
          <w:color w:themeColor="text1" w:val="000000"/>
        </w:rPr>
        <w:t xml:space="preserve">- II пояс и </w:t>
      </w:r>
      <w:r>
        <w:rPr>
          <w:color w:themeColor="text1" w:val="000000"/>
          <w:lang w:val="en-US"/>
        </w:rPr>
        <w:t>III</w:t>
      </w:r>
      <w:r>
        <w:rPr>
          <w:color w:themeColor="text1" w:val="000000"/>
        </w:rPr>
        <w:t xml:space="preserve"> пояс (режимов ограничений) включают территорию, предназначенную для предупреждения загрязнения воды источников водоснабжения. В пределах II-III поясов зон санитарной охраны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 и др. </w:t>
      </w:r>
    </w:p>
    <w:p>
      <w:pPr>
        <w:pStyle w:val="223"/>
        <w:spacing w:before="60" w:after="60"/>
        <w:ind w:firstLine="709" w:left="0"/>
        <w:rPr>
          <w:color w:themeColor="text1" w:val="000000"/>
        </w:rPr>
      </w:pPr>
      <w:r>
        <w:rPr>
          <w:color w:themeColor="text1" w:val="000000"/>
        </w:rPr>
        <w:t>Зоны охраны объектов культурного наследия</w:t>
      </w:r>
    </w:p>
    <w:p>
      <w:pPr>
        <w:pStyle w:val="138"/>
        <w:spacing w:before="0" w:after="0"/>
        <w:ind w:firstLine="709" w:left="0"/>
        <w:rPr>
          <w:color w:themeColor="text1" w:val="000000"/>
        </w:rPr>
      </w:pPr>
      <w:r>
        <w:rPr>
          <w:color w:themeColor="text1" w:val="000000"/>
        </w:rPr>
        <w:t xml:space="preserve">Установление зон охраны объектов культурного наследия (памятников истории и культуры) народов Российской Федерации и использование объектов культурного наследия осуществляется в соответствии с Федеральным законом от 25.06.2002 № 73-ФЗ «Об объектах культурного наследия (памятниках истории и культуры) народов Российской Федерации». </w:t>
      </w:r>
    </w:p>
    <w:p>
      <w:pPr>
        <w:pStyle w:val="138"/>
        <w:spacing w:before="0" w:after="0"/>
        <w:ind w:firstLine="709" w:left="0"/>
        <w:rPr>
          <w:color w:themeColor="text1" w:val="000000"/>
        </w:rPr>
      </w:pPr>
      <w:r>
        <w:rPr>
          <w:color w:themeColor="text1" w:val="000000"/>
        </w:rPr>
        <w:t>В соответствии с Федеральным законом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w:t>
      </w:r>
    </w:p>
    <w:p>
      <w:pPr>
        <w:pStyle w:val="138"/>
        <w:spacing w:before="0" w:after="0"/>
        <w:ind w:firstLine="709" w:left="0"/>
        <w:rPr>
          <w:color w:themeColor="text1" w:val="000000"/>
        </w:rPr>
      </w:pPr>
      <w:r>
        <w:rPr>
          <w:color w:themeColor="text1" w:val="000000"/>
        </w:rPr>
        <w:t>- охранные зоны объектов культурного наследия;</w:t>
      </w:r>
    </w:p>
    <w:p>
      <w:pPr>
        <w:pStyle w:val="138"/>
        <w:spacing w:before="0" w:after="0"/>
        <w:ind w:firstLine="709" w:left="0"/>
        <w:rPr>
          <w:color w:themeColor="text1" w:val="000000"/>
        </w:rPr>
      </w:pPr>
      <w:r>
        <w:rPr>
          <w:color w:themeColor="text1" w:val="000000"/>
        </w:rPr>
        <w:t>- зоны регулирования застройки и хозяйственной деятельности;</w:t>
      </w:r>
    </w:p>
    <w:p>
      <w:pPr>
        <w:pStyle w:val="138"/>
        <w:spacing w:before="0" w:after="0"/>
        <w:ind w:firstLine="709" w:left="0"/>
        <w:rPr>
          <w:color w:themeColor="text1" w:val="000000"/>
        </w:rPr>
      </w:pPr>
      <w:r>
        <w:rPr>
          <w:color w:themeColor="text1" w:val="000000"/>
        </w:rPr>
        <w:t>- зоны охраняемого природного ландшафта.</w:t>
      </w:r>
    </w:p>
    <w:p>
      <w:pPr>
        <w:pStyle w:val="Style70"/>
        <w:spacing w:before="0" w:after="0"/>
        <w:ind w:firstLine="709"/>
        <w:rPr>
          <w:color w:themeColor="text1" w:val="000000"/>
        </w:rPr>
      </w:pPr>
      <w:r>
        <w:rPr>
          <w:color w:themeColor="text1" w:val="000000"/>
        </w:rPr>
        <w:t>Использование территорий в границах зон охраны объектов культурного наследия осуществляется в соответствии с действующими проектами зон охраны объектов культурного наследия (при их наличии).</w:t>
      </w:r>
    </w:p>
    <w:p>
      <w:pPr>
        <w:pStyle w:val="Style70"/>
        <w:spacing w:before="0" w:after="0"/>
        <w:ind w:firstLine="709"/>
        <w:rPr>
          <w:color w:themeColor="text1" w:val="000000"/>
        </w:rPr>
      </w:pPr>
      <w:r>
        <w:rPr>
          <w:color w:themeColor="text1" w:val="000000"/>
        </w:rPr>
        <w:t>Владение, пользование или распоряжение участком, в пределах которого обнаружен объект археологического наследия, осуществляется с соблюдением условий, установленных Федеральным законом от 25.06.2002 № 73-ФЗ «Об объектах культурного наследия (памятниках истории и культуры) народов Российской Федерации».</w:t>
      </w:r>
    </w:p>
    <w:p>
      <w:pPr>
        <w:pStyle w:val="Style70"/>
        <w:spacing w:before="0" w:after="0"/>
        <w:ind w:firstLine="709"/>
        <w:rPr>
          <w:color w:themeColor="text1" w:val="000000"/>
        </w:rPr>
      </w:pPr>
      <w:r>
        <w:rPr>
          <w:color w:themeColor="text1" w:val="000000"/>
        </w:rPr>
        <w:t>Все земляные, строительные работы на таких участках ведутся при условии проведения предварительных полномасштабных археологических исследований; работы и иные действия по использованию памятника и земли в пределах зоны его охраны осуществляются в строгом соответствии с требованиями охранного обязательства и содержащимися в нем техническими и иными условиями.</w:t>
      </w:r>
    </w:p>
    <w:p>
      <w:pPr>
        <w:pStyle w:val="223"/>
        <w:spacing w:before="60" w:after="60"/>
        <w:ind w:firstLine="709" w:left="0"/>
        <w:rPr>
          <w:color w:themeColor="text1" w:val="000000"/>
        </w:rPr>
      </w:pPr>
      <w:r>
        <w:rPr>
          <w:color w:themeColor="text1" w:val="000000"/>
        </w:rPr>
        <w:t>Зоны особо охраняемых природных территорий</w:t>
      </w:r>
    </w:p>
    <w:p>
      <w:pPr>
        <w:pStyle w:val="Style70"/>
        <w:ind w:firstLine="709"/>
        <w:rPr>
          <w:color w:themeColor="text1" w:val="000000"/>
        </w:rPr>
      </w:pPr>
      <w:r>
        <w:rPr>
          <w:color w:themeColor="text1" w:val="000000"/>
        </w:rPr>
        <w:t>Вопросы хозяйственной деятельности в особо охраняемых природных территориях регламентируются Федеральным законом от 14.03.1995 № 33-ФЗ  «Об особо охраняемых природных территориях» (ред. от 10.07.2023) и соответствующими Положениями для каждого объекта.</w:t>
      </w:r>
    </w:p>
    <w:p>
      <w:pPr>
        <w:pStyle w:val="223"/>
        <w:spacing w:before="60" w:after="60"/>
        <w:ind w:firstLine="709" w:left="0"/>
        <w:rPr>
          <w:color w:themeColor="text1" w:val="000000"/>
        </w:rPr>
      </w:pPr>
      <w:r>
        <w:rPr>
          <w:color w:themeColor="text1" w:val="000000"/>
        </w:rPr>
        <w:t>Лесопарковые зоны и зеленые зоны</w:t>
      </w:r>
    </w:p>
    <w:p>
      <w:pPr>
        <w:pStyle w:val="Style70"/>
        <w:spacing w:before="0" w:after="0"/>
        <w:ind w:firstLine="709"/>
        <w:rPr>
          <w:color w:themeColor="text1" w:val="000000"/>
        </w:rPr>
      </w:pPr>
      <w:r>
        <w:rPr>
          <w:color w:themeColor="text1" w:val="000000"/>
        </w:rPr>
        <w:t>Устанавливаются в соответствии с постановлением Правительства Российской Федерации от 21.12.2019 № 1755 «Об утверждении правил изменения границ земель, на которых располагаются леса, указанные в пунктах 3 и 4 части 1 статьи 114 Лесного кодекса РФ, и определения функциональных зон в лесах, расположенных в лесопарковых зонах».</w:t>
      </w:r>
    </w:p>
    <w:p>
      <w:pPr>
        <w:pStyle w:val="Style70"/>
        <w:spacing w:before="0" w:after="0"/>
        <w:ind w:firstLine="709"/>
        <w:rPr>
          <w:color w:themeColor="text1" w:val="000000"/>
        </w:rPr>
      </w:pPr>
      <w:r>
        <w:rPr>
          <w:color w:themeColor="text1" w:val="000000"/>
        </w:rPr>
        <w:t xml:space="preserve"> </w:t>
      </w:r>
      <w:r>
        <w:rPr>
          <w:color w:themeColor="text1" w:val="000000"/>
        </w:rPr>
        <w:t xml:space="preserve">Согласно Лесному кодексу РФ лесопарковые зоны используются в целях организации отдыха населения, сохранения санитарно-гигиенической, оздоровительной и эстетической ценности природных ландшафтов, зеленые зоны выделяются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 </w:t>
      </w:r>
    </w:p>
    <w:p>
      <w:pPr>
        <w:pStyle w:val="223"/>
        <w:spacing w:before="60" w:after="60"/>
        <w:ind w:firstLine="709" w:left="0"/>
        <w:rPr>
          <w:color w:themeColor="text1" w:val="000000"/>
        </w:rPr>
      </w:pPr>
      <w:r>
        <w:rPr>
          <w:color w:themeColor="text1" w:val="000000"/>
        </w:rPr>
        <w:t>Лесопарковый зеленый пояс</w:t>
      </w:r>
    </w:p>
    <w:p>
      <w:pPr>
        <w:pStyle w:val="Style70"/>
        <w:spacing w:before="0" w:after="0"/>
        <w:ind w:firstLine="709"/>
        <w:rPr>
          <w:color w:themeColor="text1" w:val="000000"/>
        </w:rPr>
      </w:pPr>
      <w:r>
        <w:rPr>
          <w:color w:themeColor="text1" w:val="000000"/>
        </w:rPr>
        <w:t>Лесопарковые зеленые пояса – это зоны с ограниченным режимом природопользования и иной хозяйственной деятельности, включающие в себя территории, на которых расположены леса, водные объекты или их части, природные ландшафты, и территории зеленого фонда в границах городских населенных пунктов, которые прилегают к указанным лесам или составляют с ними единую естественную экологическую систему и выполняют средообразующие, природоохранные, экологические, санитарно-гигиенические и рекреационные функции.</w:t>
      </w:r>
    </w:p>
    <w:p>
      <w:pPr>
        <w:pStyle w:val="Style70"/>
        <w:spacing w:before="0" w:after="0"/>
        <w:ind w:firstLine="709"/>
        <w:rPr>
          <w:color w:themeColor="text1" w:val="000000"/>
        </w:rPr>
      </w:pPr>
      <w:r>
        <w:rPr>
          <w:color w:themeColor="text1" w:val="000000"/>
        </w:rPr>
        <w:t>Приказом Министерства природных ресурсов и экологии от 20.02.2019 № 255-19  установлена граница лесопаркового зеленого пояса на территории Калужской области (реестровый номер 40:26-9.1). Согласно пункту 1 статьи 62.4 Федерального закона от 10.01.2002 № 7-ФЗ «Об охране окружающей среды» (ред. от 26.07.2019) в целях особой охраны природных объектов, расположенных в лесопарковых зеленых поясах, устанавливается ограниченный режим природопользования и иной хозяйственной деятельности.</w:t>
      </w:r>
    </w:p>
    <w:p>
      <w:pPr>
        <w:pStyle w:val="223"/>
        <w:spacing w:before="60" w:after="60"/>
        <w:ind w:firstLine="709" w:left="0"/>
        <w:rPr>
          <w:color w:themeColor="text1" w:val="000000"/>
        </w:rPr>
      </w:pPr>
      <w:r>
        <w:rPr>
          <w:color w:themeColor="text1" w:val="000000"/>
        </w:rPr>
        <w:t>Охранные зоны вокруг стационарных пунктов наблюдений за состоянием окружающей природной среды, ее загрязнением</w:t>
      </w:r>
    </w:p>
    <w:p>
      <w:pPr>
        <w:pStyle w:val="Style70"/>
        <w:spacing w:before="0" w:after="0"/>
        <w:ind w:firstLine="709"/>
        <w:rPr/>
      </w:pPr>
      <w:r>
        <w:rPr>
          <w:color w:themeColor="text1" w:val="000000"/>
        </w:rPr>
        <w:t>Устанавливаются в соответствии с постановлением Правительства Российской Федерации от 17.03.202 № 392 «Об охранной зоне стационарных пунктов наблюдений за состоянием окружающей среды, ее загрязнением».</w:t>
      </w:r>
    </w:p>
    <w:p>
      <w:pPr>
        <w:pStyle w:val="Normal"/>
        <w:suppressAutoHyphens w:val="false"/>
        <w:ind w:firstLine="709"/>
        <w:jc w:val="both"/>
        <w:rPr>
          <w:color w:themeColor="text1" w:val="000000"/>
          <w:lang w:eastAsia="ru-RU"/>
        </w:rPr>
      </w:pPr>
      <w:r>
        <w:rPr>
          <w:color w:themeColor="text1" w:val="000000"/>
        </w:rPr>
        <w:t>Согласно пункту 2 положения «О</w:t>
      </w:r>
      <w:r>
        <w:rPr>
          <w:rStyle w:val="Strong"/>
          <w:color w:themeColor="text1" w:val="000000"/>
          <w:lang w:eastAsia="ru-RU"/>
        </w:rPr>
        <w:t>б охранной зоне стационарных пунктов наблюдений за состоянием окружающей среды, ее загрязнением»</w:t>
      </w:r>
      <w:r>
        <w:rPr>
          <w:color w:themeColor="text1" w:val="000000"/>
          <w:lang w:eastAsia="ru-RU"/>
        </w:rPr>
        <w:t>, утвержденного постановлением Правительства Российской Федерации от 17.03.2021 № 392, охранная зона устанавливается для стационарных пунктов наблюдений, расположенных на земельных участках, которые находятся в постоянном (бессрочном) пользовании организаций, подведомственных Федеральной службе по гидрометеорологии и мониторингу окружающей среды (далее - организации наблюдательной сети), или на части акватории водного объекта.</w:t>
      </w:r>
    </w:p>
    <w:p>
      <w:pPr>
        <w:pStyle w:val="Style70"/>
        <w:spacing w:before="0" w:after="0"/>
        <w:ind w:firstLine="709"/>
        <w:rPr>
          <w:color w:themeColor="text1" w:val="000000"/>
        </w:rPr>
      </w:pPr>
      <w:r>
        <w:rPr>
          <w:color w:themeColor="text1" w:val="000000"/>
        </w:rPr>
        <w:t xml:space="preserve">На территории городского округа расположены 3 стационарных пункта государственной наблюдательной сети: </w:t>
      </w:r>
    </w:p>
    <w:p>
      <w:pPr>
        <w:pStyle w:val="Style70"/>
        <w:spacing w:before="0" w:after="0"/>
        <w:ind w:firstLine="709"/>
        <w:rPr>
          <w:color w:themeColor="text1" w:val="000000"/>
        </w:rPr>
      </w:pPr>
      <w:r>
        <w:rPr>
          <w:color w:themeColor="text1" w:val="000000"/>
        </w:rPr>
        <w:t>- объединенная гидрометеорологическая станция (ОГМС) «Калуга» ул. Литвиновская (земельные участки 40:26:000099:103; 40:26:000099:185). Охранная зона внесена в ЕГРН, реестровый номер 40:00-6.214;</w:t>
      </w:r>
    </w:p>
    <w:p>
      <w:pPr>
        <w:pStyle w:val="Style70"/>
        <w:spacing w:before="0" w:after="0"/>
        <w:ind w:firstLine="709"/>
        <w:rPr>
          <w:color w:themeColor="text1" w:val="000000"/>
        </w:rPr>
      </w:pPr>
      <w:r>
        <w:rPr>
          <w:color w:themeColor="text1" w:val="000000"/>
        </w:rPr>
        <w:t xml:space="preserve">- гидрологический пост </w:t>
      </w:r>
      <w:r>
        <w:rPr>
          <w:color w:themeColor="text1" w:val="000000"/>
          <w:lang w:val="en-US"/>
        </w:rPr>
        <w:t>I</w:t>
      </w:r>
      <w:r>
        <w:rPr>
          <w:color w:themeColor="text1" w:val="000000"/>
        </w:rPr>
        <w:t xml:space="preserve"> разряда (ГП-</w:t>
      </w:r>
      <w:r>
        <w:rPr>
          <w:color w:themeColor="text1" w:val="000000"/>
          <w:lang w:val="en-US"/>
        </w:rPr>
        <w:t>I</w:t>
      </w:r>
      <w:r>
        <w:rPr>
          <w:color w:themeColor="text1" w:val="000000"/>
        </w:rPr>
        <w:t>) «Калуга» на р. Ока ул. 2-я Набережная (земельный участок 40:26:000349:34). Охранная зона внесена в ЕГРН, реестровый номер</w:t>
        <w:br/>
        <w:t>40:26-6.100;</w:t>
      </w:r>
    </w:p>
    <w:p>
      <w:pPr>
        <w:pStyle w:val="Style70"/>
        <w:spacing w:before="0" w:after="0"/>
        <w:ind w:firstLine="709"/>
        <w:rPr>
          <w:color w:themeColor="text1" w:val="000000"/>
        </w:rPr>
      </w:pPr>
      <w:r>
        <w:rPr>
          <w:color w:themeColor="text1" w:val="000000"/>
        </w:rPr>
        <w:t xml:space="preserve">- пункт наблюдения за загрязнением атмосферного воздуха «ПНЗ № 2» ул. Хрустальная д.50а. (земельный участок 40:26:000407:1017). Сведения о границах охранной зоны в ЕГРН отсутствуют (нормативный размер охранной зоны 100м). </w:t>
      </w:r>
    </w:p>
    <w:p>
      <w:pPr>
        <w:pStyle w:val="223"/>
        <w:spacing w:before="60" w:after="60"/>
        <w:ind w:firstLine="709" w:left="0"/>
        <w:rPr>
          <w:color w:themeColor="text1" w:val="000000"/>
        </w:rPr>
      </w:pPr>
      <w:r>
        <w:rPr>
          <w:color w:themeColor="text1" w:val="000000"/>
        </w:rPr>
        <w:t>Прочие планировочные ограничения</w:t>
      </w:r>
    </w:p>
    <w:p>
      <w:pPr>
        <w:pStyle w:val="223"/>
        <w:ind w:firstLine="709" w:left="0"/>
        <w:rPr>
          <w:b w:val="false"/>
          <w:color w:themeColor="text1" w:val="000000"/>
          <w:u w:val="single"/>
        </w:rPr>
      </w:pPr>
      <w:r>
        <w:rPr>
          <w:b w:val="false"/>
          <w:color w:themeColor="text1" w:val="000000"/>
          <w:u w:val="single"/>
        </w:rPr>
        <w:t xml:space="preserve">Зона затопления паводковыми водами </w:t>
      </w:r>
    </w:p>
    <w:p>
      <w:pPr>
        <w:pStyle w:val="Style70"/>
        <w:ind w:firstLine="709"/>
        <w:rPr>
          <w:color w:themeColor="text1" w:val="000000"/>
        </w:rPr>
      </w:pPr>
      <w:r>
        <w:rPr>
          <w:color w:themeColor="text1" w:val="000000"/>
        </w:rPr>
        <w:t>Зона затопления паводковыми водами 1 % обеспеченности представляет собой территорию, затапливаемую с периодичностью один раз в сто лет паводком с наивысшим уровнем. Жилищно-гражданское строительство на данных территориях требует проведения работ по инженерной подготовке и повышения отметок рельефа до незатопляемых отметок.</w:t>
      </w:r>
    </w:p>
    <w:p>
      <w:pPr>
        <w:pStyle w:val="223"/>
        <w:ind w:firstLine="709" w:left="0"/>
        <w:rPr>
          <w:b w:val="false"/>
          <w:color w:themeColor="text1" w:val="000000"/>
          <w:u w:val="single"/>
        </w:rPr>
      </w:pPr>
      <w:r>
        <w:rPr>
          <w:b w:val="false"/>
          <w:color w:themeColor="text1" w:val="000000"/>
          <w:u w:val="single"/>
        </w:rPr>
        <w:t>Зона подтопления территории</w:t>
      </w:r>
    </w:p>
    <w:p>
      <w:pPr>
        <w:pStyle w:val="Style70"/>
        <w:ind w:firstLine="709"/>
        <w:rPr>
          <w:color w:themeColor="text1" w:val="000000"/>
        </w:rPr>
      </w:pPr>
      <w:r>
        <w:rPr>
          <w:color w:themeColor="text1" w:val="000000"/>
        </w:rPr>
        <w:t>Зона подтопления – это территория как правило с неглубоким залеганием уровня грунтовых вод (до 2-5 м), на которой интенсивность притока поверхностных и грунтовых вод превышает интенсивность стока по поверхности, подземного оттока и потерь влаги на испарение. Подтопление территорий грунтовыми водами затрудняет застройку новых территорий, эксплуатацию уже застроенных территорий и ухудшает общие санитарные условия площадок.</w:t>
      </w:r>
    </w:p>
    <w:p>
      <w:pPr>
        <w:pStyle w:val="223"/>
        <w:ind w:firstLine="709" w:left="0"/>
        <w:rPr>
          <w:b w:val="false"/>
          <w:color w:themeColor="text1" w:val="000000"/>
          <w:u w:val="single"/>
        </w:rPr>
      </w:pPr>
      <w:r>
        <w:rPr>
          <w:b w:val="false"/>
          <w:color w:themeColor="text1" w:val="000000"/>
          <w:u w:val="single"/>
        </w:rPr>
        <w:t xml:space="preserve">Зоны месторождений полезных ископаемых </w:t>
      </w:r>
    </w:p>
    <w:p>
      <w:pPr>
        <w:sectPr>
          <w:headerReference w:type="default" r:id="rId89"/>
          <w:headerReference w:type="first" r:id="rId90"/>
          <w:footerReference w:type="default" r:id="rId91"/>
          <w:footerReference w:type="first" r:id="rId92"/>
          <w:footnotePr>
            <w:numFmt w:val="decimal"/>
          </w:footnotePr>
          <w:type w:val="nextPage"/>
          <w:pgSz w:w="11906" w:h="16838"/>
          <w:pgMar w:left="1418" w:right="709" w:gutter="0" w:header="567" w:top="1128" w:footer="0" w:bottom="590"/>
          <w:pgNumType w:fmt="decimal"/>
          <w:formProt w:val="false"/>
          <w:textDirection w:val="lrTb"/>
          <w:docGrid w:type="default" w:linePitch="360" w:charSpace="0"/>
        </w:sectPr>
        <w:pStyle w:val="Style70"/>
        <w:ind w:firstLine="709"/>
        <w:rPr>
          <w:color w:themeColor="text1" w:val="000000"/>
        </w:rPr>
      </w:pPr>
      <w:r>
        <w:rPr>
          <w:color w:themeColor="text1" w:val="000000"/>
        </w:rPr>
        <w:t>Режим использования территорий полезных ископаемых устанавливается в соответствии Законом Российской Федерации от 21.02.1992 № 2395-1  «О недрах» (ред. от 12.12.2023): «…застройка площадей залегания полезных ископаемых, а также размещение в местах их залегания подземных сооружений допускаются на основании разрешения федерального органа управления государственным фондом недр или его территориального органа, а также в соответствии с СП 42.13330.2011 «Градостроительство. Планировка и застройка городских и сельских поселений» Актуализированная редакция СНиП 2.07.01-89*</w:t>
      </w:r>
    </w:p>
    <w:p>
      <w:pPr>
        <w:pStyle w:val="Heading2"/>
        <w:numPr>
          <w:ilvl w:val="1"/>
          <w:numId w:val="2"/>
        </w:numPr>
        <w:spacing w:before="0" w:after="0"/>
        <w:ind w:hanging="0" w:left="0"/>
        <w:rPr>
          <w:color w:themeColor="text1" w:val="000000"/>
        </w:rPr>
      </w:pPr>
      <w:bookmarkStart w:id="54" w:name="_Toc217312470"/>
      <w:r>
        <w:rPr>
          <w:color w:themeColor="text1" w:val="000000"/>
        </w:rPr>
        <w:t>10. Выводы комплексной оценки территории. Проблемы развития территории города. Основные направления комплексного развития территории города</w:t>
      </w:r>
      <w:bookmarkEnd w:id="54"/>
    </w:p>
    <w:p>
      <w:pPr>
        <w:pStyle w:val="Normal"/>
        <w:ind w:firstLine="709"/>
        <w:jc w:val="both"/>
        <w:rPr>
          <w:color w:themeColor="text1" w:val="000000"/>
        </w:rPr>
      </w:pPr>
      <w:r>
        <w:rPr>
          <w:color w:themeColor="text1" w:val="000000"/>
        </w:rPr>
        <w:t>1. Городской округ включает: город Калугу и 72 сельских населенных пункта. Территория городского округа в настоящее время расположена на обоих берегах реки Оки, которая во все исторические периоды была и осталась главной природной планировочной осью Калуги и до середины XIX в. выполняла роль важной водной торговой артерии.</w:t>
      </w:r>
    </w:p>
    <w:p>
      <w:pPr>
        <w:pStyle w:val="Normal"/>
        <w:ind w:firstLine="709"/>
        <w:jc w:val="both"/>
        <w:rPr>
          <w:color w:themeColor="text1" w:val="000000"/>
        </w:rPr>
      </w:pPr>
      <w:r>
        <w:rPr>
          <w:color w:themeColor="text1" w:val="000000"/>
        </w:rPr>
        <w:t>2. В настоящее время городской округ - главный научно-производственный, культурный и образовательный центр Калужской области, один из главных центров современного производства и инновационного развития Центрального федерального округа.</w:t>
      </w:r>
    </w:p>
    <w:p>
      <w:pPr>
        <w:pStyle w:val="Normal"/>
        <w:ind w:firstLine="709"/>
        <w:jc w:val="both"/>
        <w:rPr>
          <w:color w:themeColor="text1" w:val="000000"/>
        </w:rPr>
      </w:pPr>
      <w:r>
        <w:rPr>
          <w:color w:themeColor="text1" w:val="000000"/>
        </w:rPr>
        <w:t xml:space="preserve">3. Территория городского округа характеризуется развитым транспортным комплексом, который представлен системами железнодорожного, автомобильного, авиационного и водного видов транспорта. </w:t>
      </w:r>
    </w:p>
    <w:p>
      <w:pPr>
        <w:pStyle w:val="Normal"/>
        <w:ind w:firstLine="709"/>
        <w:jc w:val="both"/>
        <w:rPr>
          <w:color w:themeColor="text1" w:val="000000"/>
        </w:rPr>
      </w:pPr>
      <w:r>
        <w:rPr>
          <w:color w:themeColor="text1" w:val="000000"/>
        </w:rPr>
        <w:t xml:space="preserve">4. В Калужской области и его административном центре активно и успешно развиваются современные производственные и инновационные виды деятельности. </w:t>
      </w:r>
    </w:p>
    <w:p>
      <w:pPr>
        <w:pStyle w:val="Normal"/>
        <w:ind w:firstLine="709"/>
        <w:jc w:val="both"/>
        <w:rPr>
          <w:color w:themeColor="text1" w:val="000000"/>
        </w:rPr>
      </w:pPr>
      <w:r>
        <w:rPr>
          <w:color w:themeColor="text1" w:val="000000"/>
        </w:rPr>
        <w:t xml:space="preserve">5. Организованы и функционируют три индустриальных парка. </w:t>
      </w:r>
    </w:p>
    <w:p>
      <w:pPr>
        <w:pStyle w:val="Normal"/>
        <w:ind w:firstLine="709"/>
        <w:jc w:val="both"/>
        <w:rPr>
          <w:color w:themeColor="text1" w:val="000000"/>
        </w:rPr>
      </w:pPr>
      <w:r>
        <w:rPr>
          <w:color w:themeColor="text1" w:val="000000"/>
        </w:rPr>
        <w:t>6. Территория города Калуги представляет собой наиболее освоенную, урбанизированную часть территории городского округа с развитой инфраструктурой - местами приложения труда, транспортными связями, полноценной системой обслуживания, инженерными системами.</w:t>
      </w:r>
    </w:p>
    <w:p>
      <w:pPr>
        <w:pStyle w:val="Normal"/>
        <w:ind w:firstLine="709"/>
        <w:jc w:val="both"/>
        <w:rPr>
          <w:color w:themeColor="text1" w:val="000000"/>
        </w:rPr>
      </w:pPr>
      <w:r>
        <w:rPr>
          <w:color w:themeColor="text1" w:val="000000"/>
        </w:rPr>
        <w:t>7. Границы всех населенных пунктов городского округа описаны и внесены в состав сведений Единого государственного реестра недвижимости. Описание местоположения границ населенных пунктов, входящих в состав городского округа размещено в федеральной государственной информационной системе территориального планирования в карточке согласования проекта № 2970100002020302202209082.</w:t>
      </w:r>
    </w:p>
    <w:p>
      <w:pPr>
        <w:pStyle w:val="Normal"/>
        <w:ind w:firstLine="709"/>
        <w:jc w:val="both"/>
        <w:rPr>
          <w:color w:themeColor="text1" w:val="000000"/>
        </w:rPr>
      </w:pPr>
      <w:r>
        <w:rPr>
          <w:color w:themeColor="text1" w:val="000000"/>
        </w:rPr>
        <w:t>8. Выводы планировочного анализа территорий сельских населенных пунктов:</w:t>
      </w:r>
    </w:p>
    <w:p>
      <w:pPr>
        <w:pStyle w:val="Normal"/>
        <w:ind w:firstLine="709"/>
        <w:jc w:val="both"/>
        <w:rPr/>
      </w:pPr>
      <w:r>
        <w:rPr>
          <w:color w:themeColor="text1" w:val="000000"/>
        </w:rPr>
        <w:t>- для сельских населенных пунктов в составе городского округа характерным является недостаточный уровень развития социальной, транспортной и инженерной инфраструктур. Населенные пункты, входящие в состав городского округа Калуги, имеют территориальные резервы для дальнейшего градостроительного развития, наиболее целесообразным является формирование здесь новых районов и площадок индивидуального жилищного строительства.</w:t>
      </w:r>
    </w:p>
    <w:p>
      <w:pPr>
        <w:pStyle w:val="Normal"/>
        <w:ind w:firstLine="709"/>
        <w:jc w:val="both"/>
        <w:rPr>
          <w:color w:themeColor="text1" w:val="000000"/>
        </w:rPr>
      </w:pPr>
      <w:r>
        <w:rPr>
          <w:color w:themeColor="text1" w:val="000000"/>
        </w:rPr>
        <w:t>- необходим комплексный подход к благоустройству населенных пунктов – устройство удобных подъездов, развитие общественного транспорта, локальных инженерных систем, формирование территорий озеленения общего пользования, рекреации и спорта;</w:t>
      </w:r>
    </w:p>
    <w:p>
      <w:pPr>
        <w:pStyle w:val="Normal"/>
        <w:ind w:firstLine="709"/>
        <w:jc w:val="both"/>
        <w:rPr>
          <w:color w:themeColor="text1" w:val="000000"/>
        </w:rPr>
      </w:pPr>
      <w:r>
        <w:rPr>
          <w:color w:themeColor="text1" w:val="000000"/>
        </w:rPr>
        <w:t>- целесообразным является создание условий для развития новых мест приложения труда для местного населения пригородных территорий.</w:t>
      </w:r>
    </w:p>
    <w:p>
      <w:pPr>
        <w:pStyle w:val="Normal"/>
        <w:ind w:firstLine="709"/>
        <w:jc w:val="both"/>
        <w:rPr>
          <w:color w:themeColor="text1" w:val="000000"/>
        </w:rPr>
      </w:pPr>
      <w:r>
        <w:rPr>
          <w:color w:themeColor="text1" w:val="000000"/>
        </w:rPr>
        <w:t>9. В пределах городского округа располагается 14 особо охраняемых природных территорий, представленых памятниками природы федерального и регионального значения, а также городскими парками, городскими скверами и памятниками живой природы местного значения.</w:t>
      </w:r>
    </w:p>
    <w:p>
      <w:pPr>
        <w:pStyle w:val="Normal"/>
        <w:ind w:firstLine="709"/>
        <w:jc w:val="both"/>
        <w:rPr>
          <w:color w:themeColor="text1" w:val="000000"/>
        </w:rPr>
      </w:pPr>
      <w:r>
        <w:rPr>
          <w:color w:themeColor="text1" w:val="000000"/>
        </w:rPr>
        <w:t>10. Культурно-историческое наследие городского округа представлено 655 объектами культурного наследия федерального и регионального значения, а также выявленными объектами. Реализация полномочий в сфере сохранения и использования объектов культурного наследия на территории городского округа характеризуется следующими параметрами:</w:t>
      </w:r>
    </w:p>
    <w:p>
      <w:pPr>
        <w:pStyle w:val="Normal"/>
        <w:ind w:firstLine="709"/>
        <w:jc w:val="both"/>
        <w:rPr>
          <w:color w:themeColor="text1" w:val="000000"/>
        </w:rPr>
      </w:pPr>
      <w:r>
        <w:rPr>
          <w:color w:themeColor="text1" w:val="000000"/>
        </w:rPr>
        <w:t>- на территории города Калуги действуют объединенные зоны охраны объектов культурного наследия (памятников истории и культуры) народов Российской Федерации, утвержденные приказом Управления по охране объектов культурного наследия Калужской области от 25.12.2024 № 140;</w:t>
      </w:r>
    </w:p>
    <w:p>
      <w:pPr>
        <w:sectPr>
          <w:headerReference w:type="default" r:id="rId93"/>
          <w:headerReference w:type="first" r:id="rId94"/>
          <w:footerReference w:type="default" r:id="rId95"/>
          <w:footerReference w:type="first" r:id="rId96"/>
          <w:footnotePr>
            <w:numFmt w:val="decimal"/>
          </w:footnotePr>
          <w:type w:val="nextPage"/>
          <w:pgSz w:w="11906" w:h="16838"/>
          <w:pgMar w:left="1418" w:right="709" w:gutter="0" w:header="567" w:top="1128" w:footer="0" w:bottom="709"/>
          <w:pgNumType w:fmt="decimal"/>
          <w:formProt w:val="false"/>
          <w:textDirection w:val="lrTb"/>
          <w:docGrid w:type="default" w:linePitch="360" w:charSpace="0"/>
        </w:sectPr>
        <w:pStyle w:val="Normal"/>
        <w:ind w:firstLine="709"/>
        <w:jc w:val="both"/>
        <w:rPr>
          <w:color w:themeColor="text1" w:val="000000"/>
        </w:rPr>
      </w:pPr>
      <w:r>
        <w:rPr>
          <w:color w:themeColor="text1" w:val="000000"/>
        </w:rPr>
        <w:t>- в целом техническое состояние объектов культурного наследия, находящихся на территории городского округа характеризуется как удовлетворительное – значительное число памятников находится в удовлетворительном состоянии, ведется реставрация отдельных объектов, однако имеются памятники в аварийном состоянии и отдельные утраты;</w:t>
      </w:r>
    </w:p>
    <w:p>
      <w:pPr>
        <w:pStyle w:val="Normal"/>
        <w:ind w:firstLine="709"/>
        <w:jc w:val="both"/>
        <w:rPr>
          <w:color w:themeColor="text1" w:val="000000"/>
        </w:rPr>
      </w:pPr>
      <w:r>
        <w:rPr>
          <w:color w:themeColor="text1" w:val="000000"/>
        </w:rPr>
        <w:t xml:space="preserve">- помимо текущей деятельности по государственной охране и сохранению объектов культурного наследия (реставрационные, консервационные работы, спасательные археологические полевые работы и др.) в ближайшие годы потребуются существенные затраты на установление границ территорий памятников, корректировку или разработку проектов зон охраны объектов культурного наследия и их утверждение. </w:t>
      </w:r>
    </w:p>
    <w:p>
      <w:pPr>
        <w:pStyle w:val="Normal"/>
        <w:ind w:firstLine="709"/>
        <w:jc w:val="both"/>
        <w:rPr>
          <w:color w:themeColor="text1" w:val="000000"/>
        </w:rPr>
      </w:pPr>
      <w:r>
        <w:rPr>
          <w:color w:themeColor="text1" w:val="000000"/>
        </w:rPr>
        <w:t>11. Социально-экономическое развитие городского округа характеризуется следующими факторами:</w:t>
      </w:r>
    </w:p>
    <w:p>
      <w:pPr>
        <w:pStyle w:val="Normal"/>
        <w:ind w:firstLine="709"/>
        <w:jc w:val="both"/>
        <w:rPr>
          <w:color w:themeColor="text1" w:val="000000"/>
        </w:rPr>
      </w:pPr>
      <w:r>
        <w:rPr>
          <w:color w:themeColor="text1" w:val="000000"/>
        </w:rPr>
        <w:t>- современная демографическая ситуация характеризуется улучшением основных демографических показателей: низкий уровень смертности населения и положительное сальдо миграции, что обусловило постепенные рост численности населения в последние 10 лет.</w:t>
      </w:r>
    </w:p>
    <w:p>
      <w:pPr>
        <w:pStyle w:val="Normal"/>
        <w:ind w:firstLine="709"/>
        <w:jc w:val="both"/>
        <w:rPr>
          <w:color w:themeColor="text1" w:val="000000"/>
        </w:rPr>
      </w:pPr>
      <w:r>
        <w:rPr>
          <w:color w:themeColor="text1" w:val="000000"/>
        </w:rPr>
        <w:t>- рынок труда отличается повышенной стабильностью благодаря концентрации в городе большого числа крупных и средних предприятий и организаций (рабочих мест). Рынок труда характеризуется высокой степенью подвижности, что связано с высоким уровнем развития транспортного сообщения, способствующего расширению трудовых маятниковых миграционных процессов как в сторону г. Калуги (в том числе из районов Калужской области), так и из Калуги в сторону Москвы. В структуре занятости по крупным и средним предприятиям 33,8 % приходится на обрабатывающие производства. Численность и доля официально зарегистрированных безработных находятся на минимальном уровне, обычно характерном для сбалансировано развивающейся экономической ситуации.</w:t>
      </w:r>
    </w:p>
    <w:p>
      <w:pPr>
        <w:pStyle w:val="Normal"/>
        <w:ind w:firstLine="709"/>
        <w:jc w:val="both"/>
        <w:rPr>
          <w:color w:themeColor="text1" w:val="000000"/>
        </w:rPr>
      </w:pPr>
      <w:r>
        <w:rPr>
          <w:color w:themeColor="text1" w:val="000000"/>
        </w:rPr>
        <w:t>- город Калуга является крупным промышленным центром, специализация промышленного комплекса характеризуется многоотраслевой структурой. Удельный вес города в общем объеме выпуска промышленной продукции по области составляет порядка 60 %. Ведущими отраслями промышленности являются машиностроение и металлообработка, пищевая и легкая промышленность, электроэнергетика, промышленность строительных материалов. Важную роль в развитии промышленного комплекса играют предприятия ВПК. На территории городского округа можно выделить порядка 25 промышленных площадок, наиболее крупными из которых являются формируемые индустриальные парки: «Грабцево», «Калуга-Юг», «Росва».</w:t>
      </w:r>
    </w:p>
    <w:p>
      <w:pPr>
        <w:pStyle w:val="Normal"/>
        <w:ind w:firstLine="709"/>
        <w:jc w:val="both"/>
        <w:rPr>
          <w:color w:themeColor="text1" w:val="000000"/>
        </w:rPr>
      </w:pPr>
      <w:r>
        <w:rPr>
          <w:color w:themeColor="text1" w:val="000000"/>
        </w:rPr>
        <w:t>- город Калуга является многопрофильным центром обслуживания населения межмуниципального, регионального значения, на его территории расположен комплекс учреждений сферы обслуживания, административно-делового и туристско-рекреационного назначения. В сравнении с нормативными требованиями наиболее ощутим недостаток развития объектов сферы физической культуры и спорта, недостаточно развита сеть общеобразовательных школ. С учетом активного жилищного строительства на площадках, удаленных от центра города, особое внимание в сфере развития объектов обслуживания следует уделить развитию сети объектов повседневного использования (образование, здравоохранение, спорт, торговля и бытовые услуги) с соблюдением благоприятной пешеходно-транспортной доступности мест нового жилищного строительства.</w:t>
      </w:r>
    </w:p>
    <w:p>
      <w:pPr>
        <w:pStyle w:val="Normal"/>
        <w:ind w:firstLine="709"/>
        <w:jc w:val="both"/>
        <w:rPr>
          <w:color w:themeColor="text1" w:val="000000"/>
        </w:rPr>
      </w:pPr>
      <w:r>
        <w:rPr>
          <w:color w:themeColor="text1" w:val="000000"/>
        </w:rPr>
        <w:t xml:space="preserve">- для городского округа характерен общероссийский уровень обеспеченности жилищным фондом – 27,9 кв. м на человека. Жилищный фонд представлен большей частью капитальными зданиями и характеризуется высокой степенью инженерного оборудования. Ветхий и аварийный фонд составляет относительно незначительную величину – 0,7 % от всего жилого фонда города. Основная часть ветхого фонда сосредоточена в центральной части города. </w:t>
      </w:r>
    </w:p>
    <w:p>
      <w:pPr>
        <w:pStyle w:val="Normal"/>
        <w:ind w:firstLine="709"/>
        <w:jc w:val="both"/>
        <w:rPr>
          <w:color w:themeColor="text1" w:val="000000"/>
        </w:rPr>
      </w:pPr>
      <w:r>
        <w:rPr>
          <w:color w:themeColor="text1" w:val="000000"/>
        </w:rPr>
        <w:t>12. Развитие системы внешнего транспорта обусловлено выгодным положением городского округа на пересечении международных и внутрироссийских транспортных коридоров в непосредственной близости к Московскому региону, что предопределяет высокий транспортный потенциал территории. Представлены следующие виды внешнего транспорта:</w:t>
      </w:r>
    </w:p>
    <w:p>
      <w:pPr>
        <w:pStyle w:val="Normal"/>
        <w:ind w:firstLine="709"/>
        <w:jc w:val="both"/>
        <w:rPr>
          <w:color w:themeColor="text1" w:val="000000"/>
        </w:rPr>
      </w:pPr>
      <w:r>
        <w:rPr>
          <w:color w:themeColor="text1" w:val="000000"/>
        </w:rPr>
        <w:t xml:space="preserve">- развитая инфраструктура железнодорожного и автомобильного транспорта; </w:t>
      </w:r>
    </w:p>
    <w:p>
      <w:pPr>
        <w:pStyle w:val="Normal"/>
        <w:ind w:firstLine="709"/>
        <w:jc w:val="both"/>
        <w:rPr>
          <w:color w:themeColor="text1" w:val="000000"/>
        </w:rPr>
      </w:pPr>
      <w:r>
        <w:rPr>
          <w:color w:themeColor="text1" w:val="000000"/>
        </w:rPr>
        <w:t>- слабо развит водный транспорт и соответствующая инфраструктура – причальные комплексы, базы-стоянки и пр.</w:t>
      </w:r>
    </w:p>
    <w:p>
      <w:pPr>
        <w:pStyle w:val="Normal"/>
        <w:ind w:firstLine="709"/>
        <w:jc w:val="both"/>
        <w:rPr>
          <w:color w:themeColor="text1" w:val="000000"/>
        </w:rPr>
      </w:pPr>
      <w:r>
        <w:rPr>
          <w:color w:themeColor="text1" w:val="000000"/>
        </w:rPr>
        <w:t>13. В целом сложившийся каркас улично-дорожной сети отвечает основным направлениям развития города, сложившаяся магистральная сеть обеспечивает связь всех периферийных микрорайонов и близлежащих населенных пунктов округа с центральной частью города. Однако имеется ряд существенных недостатков, приводящих к низкой надежности работы транспортной системы, повышению уровня аварийности, ухудшению состояния среды жизнедеятельности и экологической обстановки города в целом:</w:t>
      </w:r>
    </w:p>
    <w:p>
      <w:pPr>
        <w:pStyle w:val="Normal"/>
        <w:ind w:firstLine="709"/>
        <w:jc w:val="both"/>
        <w:rPr>
          <w:color w:themeColor="text1" w:val="000000"/>
        </w:rPr>
      </w:pPr>
      <w:r>
        <w:rPr>
          <w:color w:themeColor="text1" w:val="000000"/>
        </w:rPr>
        <w:t>- отсутствие полноценных поперечных (кольцевых, полукольцевых) связей при наличии ярко выраженных радиальных направлений, способных перераспределить транспортные потоки и вывести транзитный транспорт за пределы центральной части города;</w:t>
      </w:r>
    </w:p>
    <w:p>
      <w:pPr>
        <w:pStyle w:val="Normal"/>
        <w:ind w:firstLine="709"/>
        <w:jc w:val="both"/>
        <w:rPr>
          <w:color w:themeColor="text1" w:val="000000"/>
        </w:rPr>
      </w:pPr>
      <w:r>
        <w:rPr>
          <w:color w:themeColor="text1" w:val="000000"/>
        </w:rPr>
        <w:t>- низкая пропускная способность большинства магистралей (преимущественно в центральной части города), технические параметры которых не соответствуют действующим нормативам и не рассчитаны на существующие потоки автотранспорта;</w:t>
      </w:r>
    </w:p>
    <w:p>
      <w:pPr>
        <w:pStyle w:val="Normal"/>
        <w:ind w:firstLine="709"/>
        <w:jc w:val="both"/>
        <w:rPr>
          <w:color w:themeColor="text1" w:val="000000"/>
        </w:rPr>
      </w:pPr>
      <w:r>
        <w:rPr>
          <w:color w:themeColor="text1" w:val="000000"/>
        </w:rPr>
        <w:t>- наличие естественных и искусственных ограничений, в том числе планировочных, препятствующих развитию новых направлений.</w:t>
      </w:r>
    </w:p>
    <w:p>
      <w:pPr>
        <w:pStyle w:val="Normal"/>
        <w:ind w:firstLine="709"/>
        <w:jc w:val="both"/>
        <w:rPr>
          <w:color w:themeColor="text1" w:val="000000"/>
        </w:rPr>
      </w:pPr>
      <w:r>
        <w:rPr>
          <w:color w:themeColor="text1" w:val="000000"/>
        </w:rPr>
        <w:t>14. В настоящее время высока доля грузового потока на центральных улицах – до 15 %. Обход г. Калуги, соединяющий автомобильные дороги федерального значения М</w:t>
        <w:noBreakHyphen/>
        <w:t>3 «Украина» и Р-132 «Золотое кольцо», частично разгрузили магистральную сеть от транзитных потоков автотранспорта, но не изменил структуру транспортных потоков города, требуется завершение строительства обхода города и с южной стороны.</w:t>
      </w:r>
    </w:p>
    <w:p>
      <w:pPr>
        <w:pStyle w:val="Normal"/>
        <w:ind w:firstLine="709"/>
        <w:jc w:val="both"/>
        <w:rPr>
          <w:color w:themeColor="text1" w:val="000000"/>
        </w:rPr>
      </w:pPr>
      <w:r>
        <w:rPr>
          <w:color w:themeColor="text1" w:val="000000"/>
        </w:rPr>
        <w:t>15. Количество искусственных сооружений на улично-дорожной сети ограничено, наблюдается отставание в строительстве всех видов дорожных искусственных сооружений, особенно в устройстве путепроводов через железнодорожные линии, что в значительной мере сдерживает развитие магистральной улично-дорожной сети и негативно сказывается на условиях пропуска потоков транспорта. Путепроводы имеются только через магистральные железнодорожные линии, все пересечения городских улиц и дорог с подъездными железнодорожными путями осуществляются в одном уровне. С учетом интенсивного развития правобережной части города потребуется сооружение новых мостовых переходов через р. Оку.</w:t>
      </w:r>
    </w:p>
    <w:p>
      <w:pPr>
        <w:pStyle w:val="Normal"/>
        <w:ind w:firstLine="709"/>
        <w:jc w:val="both"/>
        <w:rPr>
          <w:color w:themeColor="text1" w:val="000000"/>
        </w:rPr>
      </w:pPr>
      <w:r>
        <w:rPr>
          <w:color w:themeColor="text1" w:val="000000"/>
        </w:rPr>
        <w:t>16. Маршрутная сеть городского пассажирского транспорта, представленная автобусом и троллейбусом, охватывает основные густонаселенные районы округа. Подвижность населения достаточно высока – 257 поездок на 1 жителя. Однако основная часть маршрутов концентрируется на магистральных улицах центральной части города. В основном используется подвижной состав малой и средней вместимости, что увеличивает нагрузку на магистрали.</w:t>
      </w:r>
    </w:p>
    <w:p>
      <w:pPr>
        <w:pStyle w:val="Normal"/>
        <w:ind w:firstLine="709"/>
        <w:jc w:val="both"/>
        <w:rPr>
          <w:color w:themeColor="text1" w:val="000000"/>
        </w:rPr>
      </w:pPr>
      <w:r>
        <w:rPr>
          <w:color w:themeColor="text1" w:val="000000"/>
        </w:rPr>
        <w:t>17. За последние пять лет парк автотранспорта неуклонно растет. Современный уровень автомобилизации более 360 ед./1000 жителей. Остро стоит проблема с организацией постоянного и временного хранения легкового автотранспорта, особенно в центральной части города. Для парковки используются дворовые территории, а также участки улично-дорожной сети, что осложняет движение транспорта и пешеходов. Современные методы организации постоянного хранения автотранспорта – многоярусные гаражи – практически не развиты.</w:t>
      </w:r>
    </w:p>
    <w:p>
      <w:pPr>
        <w:pStyle w:val="Normal"/>
        <w:ind w:firstLine="709"/>
        <w:jc w:val="both"/>
        <w:rPr>
          <w:color w:themeColor="text1" w:val="000000"/>
        </w:rPr>
      </w:pPr>
      <w:r>
        <w:rPr>
          <w:color w:themeColor="text1" w:val="000000"/>
        </w:rPr>
        <w:t>18. Экологическая ситуация в целом характеризуется как удовлетворительная. Объекты энергетики, промышленного и сельскохозяйственного производства, транспорт, подземное газохранилище оказывают негативное воздействие на состояние окружающей среды в городе и на прилегающих территориях. В том числе по основным источникам загрязнения можно сделать следующие выводы:</w:t>
      </w:r>
    </w:p>
    <w:p>
      <w:pPr>
        <w:pStyle w:val="Normal"/>
        <w:ind w:firstLine="709"/>
        <w:jc w:val="both"/>
        <w:rPr>
          <w:color w:themeColor="text1" w:val="000000"/>
        </w:rPr>
      </w:pPr>
      <w:r>
        <w:rPr>
          <w:color w:themeColor="text1" w:val="000000"/>
        </w:rPr>
        <w:t xml:space="preserve">- основными источниками загрязнения атмосферного воздуха являются автомобильный транспорт и промышленные предприятия; </w:t>
      </w:r>
    </w:p>
    <w:p>
      <w:pPr>
        <w:pStyle w:val="Normal"/>
        <w:ind w:firstLine="709"/>
        <w:jc w:val="both"/>
        <w:rPr>
          <w:color w:themeColor="text1" w:val="000000"/>
        </w:rPr>
      </w:pPr>
      <w:r>
        <w:rPr>
          <w:color w:themeColor="text1" w:val="000000"/>
        </w:rPr>
        <w:t>- количество предприятий, нарушающих нормативы выбросов загрязняющих веществ, составляет всего 2–3% от всех предприятий, имеющих выбросы в атмосферу;</w:t>
      </w:r>
    </w:p>
    <w:p>
      <w:pPr>
        <w:pStyle w:val="Normal"/>
        <w:ind w:firstLine="709"/>
        <w:jc w:val="both"/>
        <w:rPr>
          <w:color w:themeColor="text1" w:val="000000"/>
        </w:rPr>
      </w:pPr>
      <w:r>
        <w:rPr>
          <w:color w:themeColor="text1" w:val="000000"/>
        </w:rPr>
        <w:t>- большая часть небольших водоемов не пригодна для рекреационных целей по физико-химическим и микробиологическим показателям;</w:t>
      </w:r>
    </w:p>
    <w:p>
      <w:pPr>
        <w:pStyle w:val="Normal"/>
        <w:ind w:firstLine="709"/>
        <w:jc w:val="both"/>
        <w:rPr>
          <w:color w:themeColor="text1" w:val="000000"/>
        </w:rPr>
      </w:pPr>
      <w:r>
        <w:rPr>
          <w:color w:themeColor="text1" w:val="000000"/>
        </w:rPr>
        <w:t>- высокий износ сетей инженерной инфраструктуры приводит к вторичному загрязнению воды, подаваемой населению, а также к сбросу недостаточно очищенных сточных вод;</w:t>
      </w:r>
    </w:p>
    <w:p>
      <w:pPr>
        <w:pStyle w:val="Normal"/>
        <w:ind w:firstLine="709"/>
        <w:jc w:val="both"/>
        <w:rPr>
          <w:color w:themeColor="text1" w:val="000000"/>
        </w:rPr>
      </w:pPr>
      <w:r>
        <w:rPr>
          <w:color w:themeColor="text1" w:val="000000"/>
        </w:rPr>
        <w:t>- вода из родников, расположенных на территории города и пригорода, опасна для употребления и не может быть альтернативой водопроводной воде;</w:t>
      </w:r>
    </w:p>
    <w:p>
      <w:pPr>
        <w:pStyle w:val="Normal"/>
        <w:ind w:firstLine="709"/>
        <w:jc w:val="both"/>
        <w:rPr>
          <w:color w:themeColor="text1" w:val="000000"/>
        </w:rPr>
      </w:pPr>
      <w:r>
        <w:rPr>
          <w:color w:themeColor="text1" w:val="000000"/>
        </w:rPr>
        <w:t>- большинство магистральных улиц города характеризуются уровнем шума выше нормативного, при этом большая часть из них не имеет достаточной ширины для обеспечения допустимого уровня на линии застройки.</w:t>
      </w:r>
    </w:p>
    <w:p>
      <w:pPr>
        <w:pStyle w:val="Normal"/>
        <w:ind w:firstLine="709"/>
        <w:jc w:val="both"/>
        <w:rPr>
          <w:color w:themeColor="text1" w:val="000000"/>
        </w:rPr>
      </w:pPr>
      <w:r>
        <w:rPr>
          <w:color w:themeColor="text1" w:val="000000"/>
        </w:rPr>
        <w:t>19. Развитие инженерной инфраструктуры городского округа характеризуется следующими факторами:</w:t>
      </w:r>
    </w:p>
    <w:p>
      <w:pPr>
        <w:pStyle w:val="Normal"/>
        <w:ind w:firstLine="709"/>
        <w:jc w:val="both"/>
        <w:rPr>
          <w:color w:themeColor="text1" w:val="000000"/>
        </w:rPr>
      </w:pPr>
      <w:r>
        <w:rPr>
          <w:color w:themeColor="text1" w:val="000000"/>
        </w:rPr>
        <w:t>- основными проблемами системы водоснабжения города являются: недостаточная мощность существующих источников водоснабжения; изношенность сетей водопровода, не все магистральные линии закольцованы; недостаточная оснащенность приборами учета абонентов; изношенность сантехнических приборов и оборудования из-за длительной эксплуатации;</w:t>
      </w:r>
    </w:p>
    <w:p>
      <w:pPr>
        <w:pStyle w:val="Normal"/>
        <w:ind w:firstLine="709"/>
        <w:jc w:val="both"/>
        <w:rPr>
          <w:color w:themeColor="text1" w:val="000000"/>
        </w:rPr>
      </w:pPr>
      <w:r>
        <w:rPr>
          <w:color w:themeColor="text1" w:val="000000"/>
        </w:rPr>
        <w:t>- основные проблемы системы канализации: недостаточность пропускной способности существующих коллекторов; попадание ливневых вод в систему городской канализации; недостаточная мощность существующих очистных сооружений;</w:t>
      </w:r>
    </w:p>
    <w:p>
      <w:pPr>
        <w:pStyle w:val="Normal"/>
        <w:ind w:firstLine="709"/>
        <w:jc w:val="both"/>
        <w:rPr>
          <w:color w:themeColor="text1" w:val="000000"/>
        </w:rPr>
      </w:pPr>
      <w:r>
        <w:rPr>
          <w:color w:themeColor="text1" w:val="000000"/>
        </w:rPr>
        <w:t xml:space="preserve">- анализ текущего состояния системы теплоснабжения выявил следующие основные проблемы: большое количество котельных, построенных более 30 лет назад, снижает эффективность работы и повышает тарифы для потребителей. Износ трубопроводов магистральных и распределительных тепловых сетей снижает надежность теплоснабжения и увеличивает тепловые потери; </w:t>
      </w:r>
    </w:p>
    <w:p>
      <w:pPr>
        <w:pStyle w:val="Normal"/>
        <w:ind w:firstLine="709"/>
        <w:jc w:val="both"/>
        <w:rPr>
          <w:color w:themeColor="text1" w:val="000000"/>
        </w:rPr>
      </w:pPr>
      <w:r>
        <w:rPr>
          <w:color w:themeColor="text1" w:val="000000"/>
        </w:rPr>
        <w:t>- в целом система газоснабжения работает стабильно и надежно;</w:t>
      </w:r>
    </w:p>
    <w:p>
      <w:pPr>
        <w:pStyle w:val="Normal"/>
        <w:ind w:firstLine="709"/>
        <w:jc w:val="both"/>
        <w:rPr>
          <w:color w:themeColor="text1" w:val="000000"/>
        </w:rPr>
      </w:pPr>
      <w:r>
        <w:rPr>
          <w:color w:themeColor="text1" w:val="000000"/>
        </w:rPr>
        <w:t>- для обеспечения надежного электроснабжения городских потребителей необходимо: реконструкция ряда подстанций 110 и 35 кВ со сроком эксплуатации более 30 лет и ВЛ 110 и 35 кВ со сроком эксплуатации более 30 лет; строительство новых подстанций напряжением 110 кВ; реконструкция или замена трансформаторных подстанций 10/0,4 кВ, отработавших свой ресурс и линий 10 кВ.</w:t>
      </w:r>
    </w:p>
    <w:p>
      <w:pPr>
        <w:pStyle w:val="224"/>
        <w:spacing w:before="0" w:after="0"/>
        <w:ind w:hanging="0" w:left="1477"/>
        <w:rPr>
          <w:rFonts w:eastAsia="Batang"/>
          <w:color w:themeColor="text1" w:val="000000"/>
        </w:rPr>
      </w:pPr>
      <w:r>
        <w:rPr>
          <w:rFonts w:eastAsia="Batang"/>
          <w:color w:themeColor="text1" w:val="000000"/>
        </w:rPr>
      </w:r>
    </w:p>
    <w:p>
      <w:pPr>
        <w:pStyle w:val="Style78"/>
        <w:jc w:val="center"/>
        <w:rPr>
          <w:color w:themeColor="text1" w:val="000000"/>
        </w:rPr>
      </w:pPr>
      <w:r>
        <w:rPr>
          <w:color w:themeColor="text1" w:val="000000"/>
        </w:rPr>
      </w:r>
    </w:p>
    <w:p>
      <w:pPr>
        <w:pStyle w:val="Style78"/>
        <w:jc w:val="center"/>
        <w:rPr>
          <w:color w:themeColor="text1" w:val="000000"/>
        </w:rPr>
      </w:pPr>
      <w:r>
        <w:rPr>
          <w:color w:themeColor="text1" w:val="000000"/>
        </w:rPr>
      </w:r>
    </w:p>
    <w:p>
      <w:pPr>
        <w:pStyle w:val="Style78"/>
        <w:jc w:val="center"/>
        <w:rPr>
          <w:color w:themeColor="text1" w:val="000000"/>
        </w:rPr>
      </w:pPr>
      <w:r>
        <w:rPr>
          <w:color w:themeColor="text1" w:val="000000"/>
        </w:rPr>
        <w:t>Перечень объектов культурного наследия,</w:t>
      </w:r>
    </w:p>
    <w:p>
      <w:pPr>
        <w:pStyle w:val="Style78"/>
        <w:jc w:val="center"/>
        <w:rPr>
          <w:color w:themeColor="text1" w:val="000000"/>
        </w:rPr>
      </w:pPr>
      <w:r>
        <w:rPr>
          <w:color w:themeColor="text1" w:val="000000"/>
        </w:rPr>
        <w:t>расположенных на территории городского округа</w:t>
      </w:r>
    </w:p>
    <w:tbl>
      <w:tblPr>
        <w:tblStyle w:val="afffffffffffc"/>
        <w:tblW w:w="98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35"/>
        <w:gridCol w:w="3003"/>
        <w:gridCol w:w="2334"/>
        <w:gridCol w:w="2267"/>
        <w:gridCol w:w="1431"/>
      </w:tblGrid>
      <w:tr>
        <w:trPr>
          <w:tblHeader w:val="true"/>
          <w:cantSplit w:val="true"/>
        </w:trPr>
        <w:tc>
          <w:tcPr>
            <w:tcW w:w="835"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w:t>
            </w:r>
          </w:p>
          <w:p>
            <w:pPr>
              <w:pStyle w:val="Normal"/>
              <w:widowControl w:val="false"/>
              <w:spacing w:before="0" w:after="0"/>
              <w:jc w:val="center"/>
              <w:rPr>
                <w:b/>
                <w:color w:themeColor="text1" w:val="000000"/>
                <w:sz w:val="22"/>
                <w:szCs w:val="22"/>
              </w:rPr>
            </w:pPr>
            <w:r>
              <w:rPr>
                <w:rFonts w:eastAsia="SimSun"/>
                <w:b/>
                <w:color w:themeColor="text1" w:val="000000"/>
                <w:sz w:val="22"/>
                <w:szCs w:val="22"/>
              </w:rPr>
              <w:t>п\п</w:t>
            </w:r>
          </w:p>
        </w:tc>
        <w:tc>
          <w:tcPr>
            <w:tcW w:w="3003"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Наименование ОКН</w:t>
            </w:r>
          </w:p>
        </w:tc>
        <w:tc>
          <w:tcPr>
            <w:tcW w:w="2334"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Адрес ОКН</w:t>
            </w:r>
          </w:p>
        </w:tc>
        <w:tc>
          <w:tcPr>
            <w:tcW w:w="226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Решение об утверждении границ территории ОКН</w:t>
            </w:r>
          </w:p>
        </w:tc>
        <w:tc>
          <w:tcPr>
            <w:tcW w:w="1431"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Защитные зоны/охранные зоны</w:t>
            </w:r>
          </w:p>
        </w:tc>
      </w:tr>
      <w:tr>
        <w:trPr>
          <w:cantSplit w:val="true"/>
        </w:trPr>
        <w:tc>
          <w:tcPr>
            <w:tcW w:w="9870" w:type="dxa"/>
            <w:gridSpan w:val="5"/>
            <w:tcBorders/>
            <w:shd w:fill="auto" w:val="clear"/>
          </w:tcPr>
          <w:p>
            <w:pPr>
              <w:pStyle w:val="Normal"/>
              <w:widowControl w:val="false"/>
              <w:spacing w:before="0" w:after="0"/>
              <w:jc w:val="center"/>
              <w:rPr>
                <w:b/>
                <w:color w:themeColor="text1" w:val="000000"/>
                <w:sz w:val="22"/>
                <w:szCs w:val="22"/>
              </w:rPr>
            </w:pPr>
            <w:r>
              <w:rPr>
                <w:rFonts w:eastAsia="SimSun"/>
                <w:b/>
                <w:bCs/>
                <w:color w:themeColor="text1" w:val="000000"/>
                <w:sz w:val="22"/>
                <w:szCs w:val="22"/>
              </w:rPr>
              <w:t>Объекты культурного наследия федерального значения</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жил Циолковский Константин Эдуардович в 1904-1933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Циолковского, д.79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по охране объектов культурного наследия Калужской области (далее - управление)</w:t>
            </w:r>
          </w:p>
          <w:p>
            <w:pPr>
              <w:pStyle w:val="Normal"/>
              <w:widowControl w:val="false"/>
              <w:spacing w:before="0" w:after="0"/>
              <w:jc w:val="center"/>
              <w:rPr>
                <w:color w:themeColor="text1" w:val="000000"/>
                <w:sz w:val="22"/>
                <w:szCs w:val="22"/>
              </w:rPr>
            </w:pPr>
            <w:r>
              <w:rPr>
                <w:rFonts w:eastAsia="SimSun"/>
                <w:color w:themeColor="text1" w:val="000000"/>
                <w:sz w:val="22"/>
                <w:szCs w:val="22"/>
              </w:rPr>
              <w:t>от 23.07.2018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166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Могила Циолковского Константина Эдуардовича (1857-1935)</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Парк</w:t>
            </w:r>
          </w:p>
          <w:p>
            <w:pPr>
              <w:pStyle w:val="Normal"/>
              <w:widowControl w:val="false"/>
              <w:spacing w:before="0" w:after="0"/>
              <w:jc w:val="center"/>
              <w:rPr>
                <w:color w:themeColor="text1" w:val="000000"/>
                <w:sz w:val="22"/>
                <w:szCs w:val="22"/>
              </w:rPr>
            </w:pPr>
            <w:r>
              <w:rPr>
                <w:rFonts w:eastAsia="SimSun"/>
                <w:color w:themeColor="text1" w:val="000000"/>
                <w:sz w:val="22"/>
                <w:szCs w:val="22"/>
              </w:rPr>
              <w:t>им. К.Э. Циолковского</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196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Могила Евгения Петровича Оболенского (1796-1865)</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Пятницкое кладбище</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198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в котором в 1857-</w:t>
            </w:r>
          </w:p>
          <w:p>
            <w:pPr>
              <w:pStyle w:val="Normal"/>
              <w:widowControl w:val="false"/>
              <w:spacing w:before="0" w:after="0"/>
              <w:rPr>
                <w:color w:themeColor="text1" w:val="000000"/>
                <w:sz w:val="22"/>
                <w:szCs w:val="22"/>
              </w:rPr>
            </w:pPr>
            <w:r>
              <w:rPr>
                <w:rFonts w:eastAsia="SimSun"/>
                <w:color w:themeColor="text1" w:val="000000"/>
                <w:sz w:val="22"/>
                <w:szCs w:val="22"/>
              </w:rPr>
              <w:t>1863 гг. жил после возвращения из ссылки член Северного общества Батеньков Гавриил Степанович</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Суворова, д.42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238 от 30.08.2018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Памятник</w:t>
            </w:r>
          </w:p>
          <w:p>
            <w:pPr>
              <w:pStyle w:val="Normal"/>
              <w:widowControl w:val="false"/>
              <w:spacing w:before="0" w:after="0"/>
              <w:rPr>
                <w:color w:themeColor="text1" w:val="000000"/>
                <w:sz w:val="22"/>
                <w:szCs w:val="22"/>
              </w:rPr>
            </w:pPr>
            <w:r>
              <w:rPr>
                <w:rFonts w:eastAsia="SimSun"/>
                <w:color w:themeColor="text1" w:val="000000"/>
                <w:sz w:val="22"/>
                <w:szCs w:val="22"/>
              </w:rPr>
              <w:t>К.Э. Циолковскому, 1957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сквер Мира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12.09.2018 № 253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Параскевы Пятницы, 1780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Труда, д.1а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236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trHeight w:val="305" w:hRule="atLeast"/>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Рождества, 1691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село Ромоданово, ул. Заречная, д.16а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Воротынского монастыря: собор Спасо-Преображения, трапезная, церковь Введения, XVI-</w:t>
            </w:r>
          </w:p>
          <w:p>
            <w:pPr>
              <w:pStyle w:val="Normal"/>
              <w:widowControl w:val="false"/>
              <w:spacing w:before="0" w:after="0"/>
              <w:rPr>
                <w:color w:themeColor="text1" w:val="000000"/>
                <w:sz w:val="22"/>
                <w:szCs w:val="22"/>
              </w:rPr>
            </w:pPr>
            <w:r>
              <w:rPr>
                <w:rFonts w:eastAsia="SimSun"/>
                <w:color w:themeColor="text1" w:val="000000"/>
                <w:sz w:val="22"/>
                <w:szCs w:val="22"/>
              </w:rPr>
              <w:t>XVII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с. Спас, д. 43а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20.11.2018 № 355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16.06.2020 № 119</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собор Спасо-Преображения</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20.11.2018 № 355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16.06.2020 № 119</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трапезная</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20.11.2018 № 355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16.06.2020 № 119</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Введения</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20.11.2018 № 355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16.06.2020 № 119</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Обелиск у Каменного моста, 1785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07.05.2018 № 70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Каменный мост, 1785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МК КО от 28.04.10 № 58 Приказ управления от 01.08.2018 № 197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Гончаровых, XVIII-</w:t>
            </w:r>
          </w:p>
          <w:p>
            <w:pPr>
              <w:pStyle w:val="Normal"/>
              <w:widowControl w:val="false"/>
              <w:spacing w:before="0" w:after="0"/>
              <w:rPr>
                <w:color w:themeColor="text1" w:val="000000"/>
                <w:sz w:val="22"/>
                <w:szCs w:val="22"/>
              </w:rPr>
            </w:pPr>
            <w:r>
              <w:rPr>
                <w:rFonts w:eastAsia="SimSun"/>
                <w:color w:themeColor="text1" w:val="000000"/>
                <w:sz w:val="22"/>
                <w:szCs w:val="22"/>
              </w:rPr>
              <w:t>XIX вв.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Баумана, д.11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10.05.2018 № 72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Георгиевская за верхом, XVII в. - 1701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д.14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10.05.2018 № 73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Вяземских, сер. XVIII-XIX вв.: главный дом, хозяйственный корпус</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д.15, д.15б</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17.10.2018 № 282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главный дом</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д.15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17.10.2018 № 282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хозяйственный корпус</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д.15б</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282 от 17.10.2018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д.42/41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412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Уньковских, 1796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Космонавта Волкова, д. 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179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2-я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д.11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17.10.2018 № 283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1782-1783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д.12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25.06.2018 № 118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д.14, д.16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01.11.2019 № 368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д.17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18.05.17 № 48. ВНЕСЕНО В ЕГРН</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д.18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17.07.2018 № 147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Захарова, нач.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Воскресенская, д.20/ ул. Карпова, д.27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25.06.2018 года</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Ченцова,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д.22/ ул. Карпова, д.26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25.06.2018 № 121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2-я пол.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Воскресенская, д.25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18.05.17 № 49. ВНЕСЕНО В ЕГРН</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Георгиевская с колокольней за лавками,</w:t>
            </w:r>
          </w:p>
          <w:p>
            <w:pPr>
              <w:pStyle w:val="Normal"/>
              <w:widowControl w:val="false"/>
              <w:spacing w:before="0" w:after="0"/>
              <w:rPr>
                <w:color w:themeColor="text1" w:val="000000"/>
                <w:sz w:val="22"/>
                <w:szCs w:val="22"/>
              </w:rPr>
            </w:pPr>
            <w:r>
              <w:rPr>
                <w:rFonts w:eastAsia="SimSun"/>
                <w:color w:themeColor="text1" w:val="000000"/>
                <w:sz w:val="22"/>
                <w:szCs w:val="22"/>
              </w:rPr>
              <w:t>1700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д.25/2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366 от 28.11.2018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Воскресенская, д.26</w:t>
            </w:r>
          </w:p>
        </w:tc>
        <w:tc>
          <w:tcPr>
            <w:tcW w:w="2267" w:type="dxa"/>
            <w:tcBorders/>
            <w:shd w:fill="auto" w:val="clear"/>
            <w:vAlign w:val="center"/>
          </w:tcPr>
          <w:p>
            <w:pPr>
              <w:pStyle w:val="Normal"/>
              <w:widowControl w:val="false"/>
              <w:spacing w:before="0" w:after="240"/>
              <w:jc w:val="center"/>
              <w:rPr>
                <w:color w:themeColor="text1" w:val="000000"/>
                <w:sz w:val="22"/>
                <w:szCs w:val="22"/>
              </w:rPr>
            </w:pPr>
            <w:r>
              <w:rPr>
                <w:rFonts w:eastAsia="SimSun"/>
                <w:color w:themeColor="text1" w:val="000000"/>
                <w:sz w:val="22"/>
                <w:szCs w:val="22"/>
              </w:rPr>
              <w:t>Приказ управления от 01.08.2018 № 192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д.31/31а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25.06.2018 № 120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Чистоклетовых,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д.33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18.05.17 № 50. ВНЕСЕНО В ЕГРН</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trHeight w:val="970" w:hRule="atLeast"/>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Кольцова, XVIII-XIX вв.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Воскресенская, д.34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240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trHeight w:val="1052" w:hRule="atLeast"/>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Пестряковской богадельни, XVIII-XIX вв.</w:t>
            </w:r>
          </w:p>
        </w:tc>
        <w:tc>
          <w:tcPr>
            <w:tcW w:w="2334" w:type="dxa"/>
            <w:tcBorders/>
            <w:shd w:fill="auto" w:val="clear"/>
            <w:vAlign w:val="center"/>
          </w:tcPr>
          <w:p>
            <w:pPr>
              <w:pStyle w:val="Normal"/>
              <w:widowControl w:val="false"/>
              <w:spacing w:before="0" w:after="0"/>
              <w:jc w:val="center"/>
              <w:rPr/>
            </w:pPr>
            <w:r>
              <w:rPr>
                <w:rFonts w:eastAsia="SimSun"/>
                <w:iCs/>
                <w:color w:themeColor="text1" w:val="000000"/>
                <w:sz w:val="22"/>
                <w:szCs w:val="22"/>
              </w:rPr>
              <w:t>г. Калуга, ул. Воскресенская,</w:t>
            </w:r>
          </w:p>
          <w:p>
            <w:pPr>
              <w:pStyle w:val="Normal"/>
              <w:widowControl w:val="false"/>
              <w:spacing w:before="0" w:after="0"/>
              <w:jc w:val="center"/>
              <w:rPr>
                <w:iCs/>
                <w:color w:themeColor="text1" w:val="000000"/>
                <w:sz w:val="22"/>
                <w:szCs w:val="22"/>
              </w:rPr>
            </w:pPr>
            <w:r>
              <w:rPr>
                <w:rFonts w:eastAsia="SimSun"/>
                <w:iCs/>
                <w:color w:themeColor="text1" w:val="000000"/>
                <w:sz w:val="22"/>
                <w:szCs w:val="22"/>
              </w:rPr>
              <w:t>д.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XVIII-XIX вв.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Воскресенская,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18.10.2019 № 329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Яновского,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Воскресенская, д.9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нач. XIX в.</w:t>
            </w:r>
          </w:p>
        </w:tc>
        <w:tc>
          <w:tcPr>
            <w:tcW w:w="2334" w:type="dxa"/>
            <w:tcBorders/>
            <w:shd w:fill="auto" w:val="clear"/>
            <w:vAlign w:val="center"/>
          </w:tcPr>
          <w:p>
            <w:pPr>
              <w:pStyle w:val="Normal"/>
              <w:widowControl w:val="false"/>
              <w:spacing w:before="0" w:after="0"/>
              <w:jc w:val="center"/>
              <w:rPr/>
            </w:pPr>
            <w:r>
              <w:rPr>
                <w:rFonts w:eastAsia="SimSun"/>
                <w:iCs/>
                <w:color w:themeColor="text1" w:val="000000"/>
                <w:sz w:val="22"/>
                <w:szCs w:val="22"/>
              </w:rPr>
              <w:t>г. Калуга,</w:t>
            </w:r>
          </w:p>
          <w:p>
            <w:pPr>
              <w:pStyle w:val="Normal"/>
              <w:widowControl w:val="false"/>
              <w:spacing w:before="0" w:after="0"/>
              <w:jc w:val="center"/>
              <w:rPr/>
            </w:pPr>
            <w:r>
              <w:rPr>
                <w:rFonts w:eastAsia="SimSun"/>
                <w:iCs/>
                <w:color w:themeColor="text1" w:val="000000"/>
                <w:sz w:val="22"/>
                <w:szCs w:val="22"/>
              </w:rPr>
              <w:t>туп. С. Перовской,</w:t>
            </w:r>
          </w:p>
          <w:p>
            <w:pPr>
              <w:pStyle w:val="Normal"/>
              <w:widowControl w:val="false"/>
              <w:spacing w:before="0" w:after="0"/>
              <w:jc w:val="center"/>
              <w:rPr>
                <w:iCs/>
                <w:color w:themeColor="text1" w:val="000000"/>
                <w:sz w:val="22"/>
                <w:szCs w:val="22"/>
              </w:rPr>
            </w:pPr>
            <w:r>
              <w:rPr>
                <w:rFonts w:eastAsia="SimSun"/>
                <w:iCs/>
                <w:color w:themeColor="text1" w:val="000000"/>
                <w:sz w:val="22"/>
                <w:szCs w:val="22"/>
              </w:rPr>
              <w:t>д. 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241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церкви Василия Блаженного, 1796-1801 гг., 1830 г., арх. Ясныгин И.Д., Соколов Н.Ф.</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Герцена, д.15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22 августа 2018 года № 222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(дер.),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 Григоров, д.9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10.05.2018 № 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Архангельского,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Дарвина, д.12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10.05.2018 № 75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кон. XVII-XIX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Дарвина, д.15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Декабристов, д.7, д.9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Колокольня церкви Успения, 1717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Достоевского, д.2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16.11.2018 № 348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Госбанка (Мешкова),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Достоевского, д.48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Министерства культуры Калужской области от 31.01.13 № 15, Приказ управления от 12.09.2018 № 255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Знаменская, 1720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Знаменская, д.2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 225 от 23.08.2018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Дворянского собрания, 1841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 Маркса, д.1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243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управления Сызранско-Вяземской железной дороги, 1895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 Маркса,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Гражданского Губернатора,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Карла Маркса, д.6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25.06.2018 № 117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1790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Карпова, д.1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16.05.2018 № 76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Сухозанет,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Карпова,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с рыбокоптильней,</w:t>
            </w:r>
          </w:p>
          <w:p>
            <w:pPr>
              <w:pStyle w:val="Normal"/>
              <w:widowControl w:val="false"/>
              <w:spacing w:before="0" w:after="0"/>
              <w:rPr>
                <w:color w:themeColor="text1" w:val="000000"/>
                <w:sz w:val="22"/>
                <w:szCs w:val="22"/>
              </w:rPr>
            </w:pPr>
            <w:r>
              <w:rPr>
                <w:rFonts w:eastAsia="SimSun"/>
                <w:color w:themeColor="text1" w:val="000000"/>
                <w:sz w:val="22"/>
                <w:szCs w:val="22"/>
              </w:rPr>
              <w:t>сер.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Карпова, д.5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16.05.2018 № 77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сер.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Карпова,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16.05.2018 № 78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1-я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Карпова, д.13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01.11.2019 № 367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1-я пол.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Кирова, д.17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14.09.2018 № 258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Жен-Мироносиц, 1798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21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30.08.2108 № 239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1-я пол.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Кирова, д.36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16.05.2018 № 79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Калашникова, нач.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д.38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16.05.2018 № 80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Конюшни дома Кожевникова (деревянные и каменные),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д.40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12.11.2018 № 343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Кадмина, 2-я четв.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д.42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17.05.2018 № 83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Купцова, 1826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д.48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Фалеевых, сер.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Кирова, д.62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17.05.2018 № 84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Государственного музея истории космонавтики им. К.Э. Циолковского, 1961-1967 гг.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Королева, д.2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(дер.),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Академика Королева,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23.08.2018 № 224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Палаты Торубаева и ворота,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2-й Красноармейский пер., д.10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07.12.2018 № 390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купца Зюзина, кон. XVIII- нач. XIX вв.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Кутузова, д.9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17.05.2018 № 85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Билибина и ворота, XVIII-XIX вв.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Кутузова, д.20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195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Богоявления,</w:t>
            </w:r>
          </w:p>
          <w:p>
            <w:pPr>
              <w:pStyle w:val="Normal"/>
              <w:widowControl w:val="false"/>
              <w:spacing w:before="0" w:after="0"/>
              <w:rPr>
                <w:color w:themeColor="text1" w:val="000000"/>
                <w:sz w:val="22"/>
                <w:szCs w:val="22"/>
              </w:rPr>
            </w:pPr>
            <w:r>
              <w:rPr>
                <w:rFonts w:eastAsia="SimSun"/>
                <w:color w:themeColor="text1" w:val="000000"/>
                <w:sz w:val="22"/>
                <w:szCs w:val="22"/>
              </w:rPr>
              <w:t>1735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Кутузова, д.23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27.09.2018 № 273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Толстых,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д.65а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17.05.2018 № 86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Польман (деревянный), 1806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д.70а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95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Чистоклетовых, 1809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д.104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Гостиного двора, 1784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д.108, д.110, д.112, д.114, д.116, д.118, д.120, д.122, д.124, д.126, пер. Гостинорядский, д.12, д.13</w:t>
            </w:r>
          </w:p>
        </w:tc>
        <w:tc>
          <w:tcPr>
            <w:tcW w:w="2267" w:type="dxa"/>
            <w:tcBorders/>
            <w:shd w:fill="auto" w:val="clear"/>
            <w:vAlign w:val="center"/>
          </w:tcPr>
          <w:p>
            <w:pPr>
              <w:pStyle w:val="Normal"/>
              <w:widowControl w:val="false"/>
              <w:spacing w:before="0" w:after="0"/>
              <w:jc w:val="center"/>
              <w:rPr/>
            </w:pPr>
            <w:r>
              <w:rPr>
                <w:rStyle w:val="Strong"/>
                <w:rFonts w:eastAsia="SimSun"/>
                <w:b w:val="false"/>
                <w:bCs w:val="false"/>
                <w:color w:themeColor="text1" w:val="000000"/>
                <w:sz w:val="22"/>
                <w:szCs w:val="22"/>
              </w:rPr>
              <w:t>Приказ министерства культуры и туризма Калужской области</w:t>
            </w:r>
            <w:r>
              <w:rPr>
                <w:rFonts w:eastAsia="SimSun"/>
                <w:color w:themeColor="text1" w:val="000000"/>
                <w:sz w:val="22"/>
                <w:szCs w:val="22"/>
              </w:rPr>
              <w:t xml:space="preserve"> от 21.01.15 № 23; Приказ Управления от 20.07.2018 № 153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Губкиных, 1785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Ленина, д.115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Один обелиск Московской заставы, 1785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район д. 60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242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Покрова на рву, 1687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Марата,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Щукина,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Дзержинского, д.57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Дома Горбуновых, XVII- сер. XVIII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Московская,</w:t>
            </w:r>
          </w:p>
          <w:p>
            <w:pPr>
              <w:pStyle w:val="Normal"/>
              <w:widowControl w:val="false"/>
              <w:spacing w:before="0" w:after="0"/>
              <w:jc w:val="center"/>
              <w:rPr>
                <w:color w:themeColor="text1" w:val="000000"/>
                <w:sz w:val="22"/>
                <w:szCs w:val="22"/>
              </w:rPr>
            </w:pPr>
            <w:r>
              <w:rPr>
                <w:rFonts w:eastAsia="SimSun"/>
                <w:color w:themeColor="text1" w:val="000000"/>
                <w:sz w:val="22"/>
                <w:szCs w:val="22"/>
              </w:rPr>
              <w:t>д.22, д.24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22.08.2018 №221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Иоанна Предтечи с часовней, 1764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Московская, д.30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20.08.2018 № 208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Хлюстина,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Никитина, д.64/82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городской усадьбы Хлюстина, 1804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Никитина, д.66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Палаты Оболенского,</w:t>
            </w:r>
          </w:p>
          <w:p>
            <w:pPr>
              <w:pStyle w:val="Normal"/>
              <w:widowControl w:val="false"/>
              <w:spacing w:before="0" w:after="0"/>
              <w:rPr>
                <w:color w:themeColor="text1" w:val="000000"/>
                <w:sz w:val="22"/>
                <w:szCs w:val="22"/>
              </w:rPr>
            </w:pPr>
            <w:r>
              <w:rPr>
                <w:rFonts w:eastAsia="SimSun"/>
                <w:color w:themeColor="text1" w:val="000000"/>
                <w:sz w:val="22"/>
                <w:szCs w:val="22"/>
              </w:rPr>
              <w:t>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Пацаева, д.5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20.08.2018 № 209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Толмачевых (деревянный), 1814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Плеханова, д.26</w:t>
            </w:r>
          </w:p>
        </w:tc>
        <w:tc>
          <w:tcPr>
            <w:tcW w:w="2267" w:type="dxa"/>
            <w:tcBorders/>
            <w:shd w:fill="auto" w:val="clear"/>
            <w:vAlign w:val="center"/>
          </w:tcPr>
          <w:p>
            <w:pPr>
              <w:pStyle w:val="Normal"/>
              <w:widowControl w:val="false"/>
              <w:spacing w:before="0" w:after="0"/>
              <w:jc w:val="center"/>
              <w:rPr/>
            </w:pPr>
            <w:r>
              <w:rPr>
                <w:rStyle w:val="Strong"/>
                <w:rFonts w:eastAsia="SimSun"/>
                <w:b w:val="false"/>
                <w:bCs w:val="false"/>
                <w:color w:themeColor="text1" w:val="000000"/>
                <w:sz w:val="22"/>
                <w:szCs w:val="22"/>
              </w:rPr>
              <w:t>Приказ министерства культуры и туризма Калужской области</w:t>
            </w:r>
            <w:r>
              <w:rPr>
                <w:rFonts w:eastAsia="SimSun"/>
                <w:color w:themeColor="text1" w:val="000000"/>
                <w:sz w:val="22"/>
                <w:szCs w:val="22"/>
              </w:rPr>
              <w:t xml:space="preserve"> от 20.06.12 № 145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кон. XVII-нач. XVIII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Плеханова, д.73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98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сер. XVIII- нач. 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Плеханова, д.86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99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Коробовых, XVII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Плеханова, д.88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97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Казанская с часовней,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Подвойского,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235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Кологривовых, 1807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 д.14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Палаты Макарова,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 д.16а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100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Шамиля,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101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Спаса за верхом, 1700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Смоленская, д.8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 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189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XIX-XX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 Старичков, д.2/1</w:t>
            </w:r>
          </w:p>
        </w:tc>
        <w:tc>
          <w:tcPr>
            <w:tcW w:w="2267" w:type="dxa"/>
            <w:tcBorders/>
            <w:shd w:fill="auto" w:val="clear"/>
            <w:vAlign w:val="center"/>
          </w:tcPr>
          <w:p>
            <w:pPr>
              <w:pStyle w:val="Normal"/>
              <w:widowControl w:val="false"/>
              <w:spacing w:before="0" w:after="240"/>
              <w:jc w:val="center"/>
              <w:rPr>
                <w:color w:themeColor="text1" w:val="000000"/>
                <w:sz w:val="22"/>
                <w:szCs w:val="22"/>
              </w:rPr>
            </w:pPr>
            <w:r>
              <w:rPr>
                <w:rFonts w:eastAsia="SimSun"/>
                <w:color w:themeColor="text1" w:val="000000"/>
                <w:sz w:val="22"/>
                <w:szCs w:val="22"/>
              </w:rPr>
              <w:t>Приказ управления от 01.08.2018 № 190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Ансамбль жилых домов,</w:t>
            </w:r>
          </w:p>
          <w:p>
            <w:pPr>
              <w:pStyle w:val="Normal"/>
              <w:widowControl w:val="false"/>
              <w:spacing w:before="0" w:after="0"/>
              <w:rPr>
                <w:color w:themeColor="text1" w:val="000000"/>
                <w:sz w:val="22"/>
                <w:szCs w:val="22"/>
              </w:rPr>
            </w:pPr>
            <w:r>
              <w:rPr>
                <w:rFonts w:eastAsia="SimSun"/>
                <w:color w:themeColor="text1" w:val="000000"/>
                <w:sz w:val="22"/>
                <w:szCs w:val="22"/>
              </w:rPr>
              <w:t>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ул. Театральная, д.43/8, пл. Старый торг, д.9, д.9/10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w:t>
            </w:r>
          </w:p>
          <w:p>
            <w:pPr>
              <w:pStyle w:val="Normal"/>
              <w:widowControl w:val="false"/>
              <w:spacing w:before="0" w:after="0"/>
              <w:jc w:val="center"/>
              <w:rPr>
                <w:color w:themeColor="text1" w:val="000000"/>
                <w:sz w:val="22"/>
                <w:szCs w:val="22"/>
              </w:rPr>
            </w:pPr>
            <w:r>
              <w:rPr>
                <w:rFonts w:eastAsia="SimSun"/>
                <w:color w:themeColor="text1" w:val="000000"/>
                <w:sz w:val="22"/>
                <w:szCs w:val="22"/>
              </w:rPr>
              <w:t>д. 43/8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trHeight w:val="621" w:hRule="atLeast"/>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w:t>
            </w:r>
          </w:p>
          <w:p>
            <w:pPr>
              <w:pStyle w:val="Normal"/>
              <w:widowControl w:val="false"/>
              <w:spacing w:before="0" w:after="0"/>
              <w:jc w:val="center"/>
              <w:rPr>
                <w:color w:themeColor="text1" w:val="000000"/>
                <w:sz w:val="22"/>
                <w:szCs w:val="22"/>
              </w:rPr>
            </w:pPr>
            <w:r>
              <w:rPr>
                <w:rFonts w:eastAsia="SimSun"/>
                <w:color w:themeColor="text1" w:val="000000"/>
                <w:sz w:val="22"/>
                <w:szCs w:val="22"/>
              </w:rPr>
              <w:t>д. 43/8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пл. Старый торг, д.9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414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пл. Старый торг,</w:t>
            </w:r>
          </w:p>
          <w:p>
            <w:pPr>
              <w:pStyle w:val="Normal"/>
              <w:widowControl w:val="false"/>
              <w:spacing w:before="0" w:after="0"/>
              <w:jc w:val="center"/>
              <w:rPr>
                <w:color w:themeColor="text1" w:val="000000"/>
                <w:sz w:val="22"/>
                <w:szCs w:val="22"/>
              </w:rPr>
            </w:pPr>
            <w:r>
              <w:rPr>
                <w:rFonts w:eastAsia="SimSun"/>
                <w:color w:themeColor="text1" w:val="000000"/>
                <w:sz w:val="22"/>
                <w:szCs w:val="22"/>
              </w:rPr>
              <w:t>д. 9/10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413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Присутственных мест с парком и собором Троицы, 1796-1819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ул. Баженова, д. 2;</w:t>
            </w:r>
          </w:p>
          <w:p>
            <w:pPr>
              <w:pStyle w:val="Normal"/>
              <w:widowControl w:val="false"/>
              <w:spacing w:before="0" w:after="0"/>
              <w:jc w:val="center"/>
              <w:rPr>
                <w:color w:themeColor="text1" w:val="000000"/>
                <w:sz w:val="22"/>
                <w:szCs w:val="22"/>
              </w:rPr>
            </w:pPr>
            <w:r>
              <w:rPr>
                <w:rFonts w:eastAsia="SimSun"/>
                <w:color w:themeColor="text1" w:val="000000"/>
                <w:sz w:val="22"/>
                <w:szCs w:val="22"/>
              </w:rPr>
              <w:t>пл. Старый торг, д. 4; пл. Старый торг, д. 5; ул. Карла Маркса, район д. 4; пл. Старый торг, Центральный Городской парк культуры и отдыха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13.09.2019 № 258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highlight w:val="yellow"/>
              </w:rPr>
            </w:pPr>
            <w:r>
              <w:rPr>
                <w:color w:themeColor="text1" w:val="000000"/>
                <w:sz w:val="22"/>
                <w:szCs w:val="22"/>
                <w:highlight w:val="yellow"/>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Собор Троицы</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пл. Старый торг, Центральный Городской парк культуры и отдыха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13.09.2019 № 259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Тимченко,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Суворова, д.102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23.08.2018 № 229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2-я пол.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Суворова, д.106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102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2-я пол.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Суворова, д.108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103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2-я пол.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Суворова, д.110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30.05.2018 № 104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Милютинского приюта с воротами и церковью,</w:t>
            </w:r>
          </w:p>
          <w:p>
            <w:pPr>
              <w:pStyle w:val="Normal"/>
              <w:widowControl w:val="false"/>
              <w:spacing w:before="0" w:after="0"/>
              <w:rPr>
                <w:color w:themeColor="text1" w:val="000000"/>
                <w:sz w:val="22"/>
                <w:szCs w:val="22"/>
              </w:rPr>
            </w:pPr>
            <w:r>
              <w:rPr>
                <w:rFonts w:eastAsia="SimSun"/>
                <w:color w:themeColor="text1" w:val="000000"/>
                <w:sz w:val="22"/>
                <w:szCs w:val="22"/>
              </w:rPr>
              <w:t>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Суворова, д.117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Милютинского приюта</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Суворова, д.117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410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Суворова, д.117б</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406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Косьмы и Дамиана, 1794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Суворова, д.177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10.05.2018 № 71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Билибина с оградой и павильонами,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Театральная, д.33/13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200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Учебный корпус Лаврентьевского монастыря, 1734-1735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Широкая, д.49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393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Грабцево (быв.Еропкина),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Ферзиковский район, с. Грабцево, ул. Советская, д.70, г. Калуга, ул. Курсантов, д.20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28.10.2019 № 333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02.09.2020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223</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Ферзиковский район, с. Грабцево, ул. Советская, д.70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28.10.2019 № 334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02.09.2020 №223</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колокольня</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Ферзиковский район, с. Грабцево, ул. Советская, д.70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28.10.2019 № 335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02.09.2020 №223</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 «Семеново»</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западная окраина города, ул. Труда, берег Яченского водохранилища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9870" w:type="dxa"/>
            <w:gridSpan w:val="5"/>
            <w:tcBorders/>
            <w:shd w:fill="auto" w:val="clear"/>
            <w:vAlign w:val="center"/>
          </w:tcPr>
          <w:p>
            <w:pPr>
              <w:pStyle w:val="Normal"/>
              <w:widowControl w:val="false"/>
              <w:spacing w:before="0" w:after="0"/>
              <w:jc w:val="center"/>
              <w:rPr>
                <w:b/>
                <w:color w:themeColor="text1" w:val="000000"/>
                <w:sz w:val="22"/>
                <w:szCs w:val="22"/>
              </w:rPr>
            </w:pPr>
            <w:r>
              <w:rPr>
                <w:rFonts w:eastAsia="SimSun"/>
                <w:b/>
                <w:bCs/>
                <w:color w:themeColor="text1" w:val="000000"/>
                <w:sz w:val="22"/>
                <w:szCs w:val="22"/>
              </w:rPr>
              <w:t>Объекты культурного наследия регионального значения</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дом жилой, сер. XVIII в., 1800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Баумана, д.40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17.07.2018 № 148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Ц. Одигитрии, 1750, 1834 гг., часовня, 1834 г., ограда,</w:t>
            </w:r>
          </w:p>
          <w:p>
            <w:pPr>
              <w:pStyle w:val="Normal"/>
              <w:widowControl w:val="false"/>
              <w:spacing w:before="0" w:after="0"/>
              <w:rPr>
                <w:color w:themeColor="text1" w:val="000000"/>
                <w:sz w:val="22"/>
                <w:szCs w:val="22"/>
              </w:rPr>
            </w:pPr>
            <w:r>
              <w:rPr>
                <w:rFonts w:eastAsia="SimSun"/>
                <w:color w:themeColor="text1" w:val="000000"/>
                <w:sz w:val="22"/>
                <w:szCs w:val="22"/>
              </w:rPr>
              <w:t>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Академика Королева, д. 28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11.09.2018 № 248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часовня</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Академика Королева, д. 28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11.09.2018 № 248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ограда</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угол ул. Баумана и ул. Королева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11.09.2018 № 248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Здание мастерских железнодорожного техникума, где работал</w:t>
            </w:r>
          </w:p>
          <w:p>
            <w:pPr>
              <w:pStyle w:val="Normal"/>
              <w:widowControl w:val="false"/>
              <w:spacing w:before="0" w:after="0"/>
              <w:rPr>
                <w:color w:themeColor="text1" w:val="000000"/>
                <w:sz w:val="22"/>
                <w:szCs w:val="22"/>
              </w:rPr>
            </w:pPr>
            <w:r>
              <w:rPr>
                <w:rFonts w:eastAsia="SimSun"/>
                <w:color w:themeColor="text1" w:val="000000"/>
                <w:sz w:val="22"/>
                <w:szCs w:val="22"/>
              </w:rPr>
              <w:t>К.Э. Циолковский, 1923-25 гг.; в 1898-1901 гг. учился революционер Н.Е. Вилонов, в 1905 г. находился штаб боевой дружины РСДРП</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Вилонова, д.11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21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Фалеевых,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Вилонова, д.32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14.09.2018 № 257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Здание, где в реальном училище работал Циолковский К.Э., 1896-</w:t>
            </w:r>
          </w:p>
          <w:p>
            <w:pPr>
              <w:pStyle w:val="Normal"/>
              <w:widowControl w:val="false"/>
              <w:spacing w:before="0" w:after="0"/>
              <w:rPr>
                <w:color w:themeColor="text1" w:val="000000"/>
                <w:sz w:val="22"/>
                <w:szCs w:val="22"/>
              </w:rPr>
            </w:pPr>
            <w:r>
              <w:rPr>
                <w:rFonts w:eastAsia="SimSun"/>
                <w:color w:themeColor="text1" w:val="000000"/>
                <w:sz w:val="22"/>
                <w:szCs w:val="22"/>
              </w:rPr>
              <w:t>1897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 Воскресенский,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16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Здание училища строительно-технического низшего, 1912 г., арх.</w:t>
            </w:r>
          </w:p>
          <w:p>
            <w:pPr>
              <w:pStyle w:val="Normal"/>
              <w:widowControl w:val="false"/>
              <w:spacing w:before="0" w:after="0"/>
              <w:rPr>
                <w:color w:themeColor="text1" w:val="000000"/>
                <w:sz w:val="22"/>
                <w:szCs w:val="22"/>
              </w:rPr>
            </w:pPr>
            <w:r>
              <w:rPr>
                <w:rFonts w:eastAsia="SimSun"/>
                <w:color w:themeColor="text1" w:val="000000"/>
                <w:sz w:val="22"/>
                <w:szCs w:val="22"/>
              </w:rPr>
              <w:t>Д.В. Виноградов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Герцена, д. 16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16.02.2018 № 44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Памятник, сооруженный в честь 600-летия г. Калуги</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Гагарина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26.07.2018 № 176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Бюст Н.Э. Баумана, 1971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Академика Королева, район д. 39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12.11.2018 № 341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церковно-приходской школы при церкви «Георгия за верхом»,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Георгиевская, д.12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150 от 17 июля 2018 года</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жил и работал Циолковский Константин Эдуардович</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Георгиевская, д.16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24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в 1892-1893 гг. жил и работал Циолковский Константин Эдуардович</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Георгиевская, д.19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151 от 17 июля 2018 года</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для железнодорожных служащих, 1914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Гоголя, д.1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20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нач.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Гостинорядский пер., д. 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20.07.2018 № 154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с кожевенной мастерской (дом Кувшинникова), сер. XVIII в.,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пер.Гостинорядский, д.5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20.07.2018 № 155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trHeight w:val="731" w:hRule="atLeast"/>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2-я пол.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пер.Карпова, д.9/6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17.07.2018 № 149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Квасникова, сер.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Дарвина, д.10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25.06.2018 № 119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присяжного поверенного С.Е. Лиона, кон.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Дарвина, д.6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13.07.2018 № 141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Дарвина,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13.07.2018 № 144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Терениных,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Дарвина, д.9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13.07.2018 № 146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Декабристов, д.10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13.07.2018 № 143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Дзержинского, д.25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145 от 13 июля 2018 года</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Билибина,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Дзержинского, д.49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20.07.2018 № 156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в котором в 1895-1917 гг. жил коллекционер Н.И. Васильев, в 1918-1927 гг. размещался художественный музей, в 1918-1927 гг. жил художник</w:t>
            </w:r>
          </w:p>
          <w:p>
            <w:pPr>
              <w:pStyle w:val="Normal"/>
              <w:widowControl w:val="false"/>
              <w:spacing w:before="0" w:after="0"/>
              <w:rPr>
                <w:color w:themeColor="text1" w:val="000000"/>
                <w:sz w:val="22"/>
                <w:szCs w:val="22"/>
              </w:rPr>
            </w:pPr>
            <w:r>
              <w:rPr>
                <w:rFonts w:eastAsia="SimSun"/>
                <w:color w:themeColor="text1" w:val="000000"/>
                <w:sz w:val="22"/>
                <w:szCs w:val="22"/>
              </w:rPr>
              <w:t>В.Н. Левандовский, 1857 г., 1895-1917 гг., 1918-1927 гг.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Дзержинского, д.81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20.07.2018 № 157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Бюст дважды Героя Советского Союза</w:t>
            </w:r>
          </w:p>
          <w:p>
            <w:pPr>
              <w:pStyle w:val="Normal"/>
              <w:widowControl w:val="false"/>
              <w:spacing w:before="0" w:after="0"/>
              <w:rPr>
                <w:color w:themeColor="text1" w:val="000000"/>
                <w:sz w:val="22"/>
                <w:szCs w:val="22"/>
              </w:rPr>
            </w:pPr>
            <w:r>
              <w:rPr>
                <w:rFonts w:eastAsia="SimSun"/>
                <w:color w:themeColor="text1" w:val="000000"/>
                <w:sz w:val="22"/>
                <w:szCs w:val="22"/>
              </w:rPr>
              <w:t>А.Г. Карпова, 1949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Дзержинского, сквер им. Карпова</w:t>
            </w:r>
          </w:p>
        </w:tc>
        <w:tc>
          <w:tcPr>
            <w:tcW w:w="2267" w:type="dxa"/>
            <w:tcBorders/>
            <w:shd w:fill="auto" w:val="clear"/>
            <w:vAlign w:val="center"/>
          </w:tcPr>
          <w:p>
            <w:pPr>
              <w:pStyle w:val="Normal"/>
              <w:widowControl w:val="false"/>
              <w:spacing w:before="0" w:after="0"/>
              <w:jc w:val="center"/>
              <w:rPr/>
            </w:pPr>
            <w:r>
              <w:rPr>
                <w:rFonts w:eastAsia="SimSun"/>
                <w:color w:themeColor="text1" w:val="000000"/>
                <w:sz w:val="22"/>
                <w:szCs w:val="22"/>
              </w:rPr>
              <w:t>приказ министерства культуры и туризма Калужской области от 12.08.14 № 298 (на отмену), приказ управления от 20.07.2018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в 1917-1918 гг. размещалась типография газеты «Рассвет», Пер. пол. XIX в., 1917-1918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Карпова, д.19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аптекаря Каннинга П.П.,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Карпова, д.23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23.07.2018 № 169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купца Щучкина К.Я.,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д.44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27.09.2018 № 271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Памятник военным медицинским работникам, погибшим в годы Великой Отечественной войны 1941-1945 гг., 1975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угол ул. Кирова и ул. Герцена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25.07.2018 № 170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Главная церковь Казанского Девичьего монастыря, XVII-ХХ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 Монастырский, д. 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25.07.2018 № 171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Главный дом городской усадьбы, XIX-ХХ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Академика Королева, д.26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234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графини Салиас, послед. треть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Космонавта Комарова, д.24/50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411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где в Управлении Ряжско-Вяземской железной дороги работал писатель-демократ Успенский Г.И., 1875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Кутузова, д.2/1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03.12.2019 № 33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Билибиных с воротами</w:t>
            </w:r>
            <w:r>
              <w:rPr>
                <w:rFonts w:eastAsia="SimSun"/>
                <w:iCs/>
                <w:color w:themeColor="text1" w:val="000000"/>
                <w:sz w:val="22"/>
                <w:szCs w:val="22"/>
              </w:rPr>
              <w:t xml:space="preserve">, </w:t>
            </w:r>
            <w:r>
              <w:rPr>
                <w:rFonts w:eastAsia="SimSun"/>
                <w:color w:themeColor="text1" w:val="000000"/>
                <w:sz w:val="22"/>
                <w:szCs w:val="22"/>
              </w:rPr>
              <w:t>кон. XVIII - нач. XIX вв.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Кутузова, д.20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где в женском епархиальном училище работал К.Э. Циолковский, 1899-1918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Кутузова, д.22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14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Фалеева с воротами,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Кутузова, д.10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19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магазина Игнатовых, банк, 1902-1903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д.103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14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 Рождества Богородицы что на площади, 1658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 106, стр. 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20.08.2018 № 211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магазином купца Домогацкого, 1912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Ленина, д.64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магазином купца П.С. Ракова, 1912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д.75/33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Калашникова, 1825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д.79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Гимназия мужская, 1782-</w:t>
            </w:r>
          </w:p>
          <w:p>
            <w:pPr>
              <w:pStyle w:val="Normal"/>
              <w:widowControl w:val="false"/>
              <w:spacing w:before="0" w:after="0"/>
              <w:rPr>
                <w:color w:themeColor="text1" w:val="000000"/>
                <w:sz w:val="22"/>
                <w:szCs w:val="22"/>
              </w:rPr>
            </w:pPr>
            <w:r>
              <w:rPr>
                <w:rFonts w:eastAsia="SimSun"/>
                <w:color w:themeColor="text1" w:val="000000"/>
                <w:sz w:val="22"/>
                <w:szCs w:val="22"/>
              </w:rPr>
              <w:t>85 гг. -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д.83/2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12.03.2019 №34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директора гимназии, 1835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д.83/2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где в Калужском высшем начальном училище работал Циолковский К.Э., 1916-1917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Луначарского, д.1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22.08.2018 № 220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Луначарского, д.36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17.10.2018 № 286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учителей гимназии, нач.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Луначарского,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13.07.2018 № 142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 Андреевых, 1831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 Горького, д.82а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30.08.2018 № 237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нач.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Московская, д.46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25.07.2018 № 172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нач.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Московская, д.48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25.07.2018 № 173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Мастерская И.Р. Комарова,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Московская, д.5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w:t>
            </w:r>
          </w:p>
          <w:p>
            <w:pPr>
              <w:pStyle w:val="Normal"/>
              <w:widowControl w:val="false"/>
              <w:spacing w:before="0" w:after="0"/>
              <w:jc w:val="center"/>
              <w:rPr>
                <w:color w:themeColor="text1" w:val="000000"/>
                <w:sz w:val="22"/>
                <w:szCs w:val="22"/>
              </w:rPr>
            </w:pPr>
            <w:r>
              <w:rPr>
                <w:rFonts w:eastAsia="SimSun"/>
                <w:color w:themeColor="text1" w:val="000000"/>
                <w:sz w:val="22"/>
                <w:szCs w:val="22"/>
              </w:rPr>
              <w:t>от 23.07.2018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160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нач.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Московская, д.53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15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в 1913-1925 гг. жил и работал профессор А.Л. Чижевский. Пер. пол. XIX века, 1917-1925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Московская, д.62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25.07.2018 № 174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 Никольская «на Козинке»,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Николо-Козинская, д. 33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23.08.2018 № 226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жил в 1864-1882 гг. мореплаватель Унковский Семен Яковлевич, 1864-1902 гг., деятель народного просвещения Унковский Дмитрий Семенович и бывал в разные годы в 1864-1888 гг. контр-адмирал капитан фрегата «Паллада» Унковский Иван Семенович</w:t>
            </w:r>
          </w:p>
        </w:tc>
        <w:tc>
          <w:tcPr>
            <w:tcW w:w="2334" w:type="dxa"/>
            <w:tcBorders/>
            <w:shd w:fill="auto" w:val="clear"/>
            <w:vAlign w:val="center"/>
          </w:tcPr>
          <w:p>
            <w:pPr>
              <w:pStyle w:val="Normal"/>
              <w:widowControl w:val="false"/>
              <w:spacing w:before="0" w:after="0"/>
              <w:jc w:val="center"/>
              <w:rPr/>
            </w:pPr>
            <w:r>
              <w:rPr>
                <w:rFonts w:eastAsia="SimSun"/>
                <w:iCs/>
                <w:color w:themeColor="text1" w:val="000000"/>
                <w:sz w:val="22"/>
                <w:szCs w:val="22"/>
              </w:rPr>
              <w:t>г. Калуга, ул. Космонавта Пацаева,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23.08.2018 № 227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Мемориальный комплекс в честь воинов Советской Армии и калужан, погибших в 1941 г. в боях за Калугу, 1966 г.; 1970 г.; 1975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пл. Победы</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201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Образец жилой застройки,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Пушкина, д.15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 д.17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17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Флигель дома быв. Шамиля по ул. Пушкина, 36,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w:t>
            </w:r>
            <w:r>
              <w:rPr>
                <w:rFonts w:eastAsia="SimSun"/>
                <w:color w:themeColor="text1" w:val="000000"/>
                <w:sz w:val="22"/>
                <w:szCs w:val="22"/>
                <w:lang w:val="en-US"/>
              </w:rPr>
              <w:t> </w:t>
            </w:r>
            <w:r>
              <w:rPr>
                <w:rFonts w:eastAsia="SimSun"/>
                <w:color w:themeColor="text1" w:val="000000"/>
                <w:sz w:val="22"/>
                <w:szCs w:val="22"/>
              </w:rPr>
              <w:t>Пушкина, д.4а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25.07.2018 № 175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купца Печенкина,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 д.5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23.07.2018 № 161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купца Алферова,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Пушкина,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23.07.2018 № 162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Старичкова,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 Старичков, д.5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199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Сиротского дома,</w:t>
            </w:r>
          </w:p>
          <w:p>
            <w:pPr>
              <w:pStyle w:val="Normal"/>
              <w:widowControl w:val="false"/>
              <w:spacing w:before="0" w:after="0"/>
              <w:rPr>
                <w:color w:themeColor="text1" w:val="000000"/>
                <w:sz w:val="22"/>
                <w:szCs w:val="22"/>
              </w:rPr>
            </w:pPr>
            <w:r>
              <w:rPr>
                <w:rFonts w:eastAsia="SimSun"/>
                <w:color w:themeColor="text1" w:val="000000"/>
                <w:sz w:val="22"/>
                <w:szCs w:val="22"/>
              </w:rPr>
              <w:t>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pPr>
            <w:r>
              <w:rPr>
                <w:rFonts w:eastAsia="SimSun"/>
                <w:color w:themeColor="text1" w:val="000000"/>
                <w:sz w:val="22"/>
                <w:szCs w:val="22"/>
              </w:rPr>
              <w:t>пер.Старообрядчес-кий, д.4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12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Памятник В.И. Ленину</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w:t>
            </w:r>
          </w:p>
          <w:p>
            <w:pPr>
              <w:pStyle w:val="Normal"/>
              <w:widowControl w:val="false"/>
              <w:spacing w:before="0" w:after="0"/>
              <w:jc w:val="center"/>
              <w:rPr>
                <w:iCs/>
                <w:color w:themeColor="text1" w:val="000000"/>
                <w:sz w:val="22"/>
                <w:szCs w:val="22"/>
              </w:rPr>
            </w:pPr>
            <w:r>
              <w:rPr>
                <w:rFonts w:eastAsia="SimSun"/>
                <w:iCs/>
                <w:color w:themeColor="text1" w:val="000000"/>
                <w:sz w:val="22"/>
                <w:szCs w:val="22"/>
              </w:rPr>
              <w:t>пл. Старый торг</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Министрества культуры и туризма Калужской области от 19.08.14 № 313 (Старый торг), приказ управления от 12.11.2018 № 342, Приказ управления от 12.12.2018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Комплекс почтовой станции, кон. XVIII-нач. 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пл. Старый Торг,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26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домов купца Афончикова с магазином, XVIII-XIX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Театральная, д.17, Театральная, д.19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10.12.2018 № 415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Сорокина Л.О. с аптекой,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Театральная, д.34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20.08.2018 № 210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б. Поземельного банка, 1914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Театральная, д.38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23.07.2018 № 165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Тихоновское подворье, XVIII-XX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 д.41/8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01.10.2019 № 286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Областной драматический театр, 1958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Театральная площадь</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14.02.2019 № 25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Бюст Г.В. Чичерина, 1971 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угол ул. Чичерина и</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ул.  </w:t>
            </w:r>
            <w:r>
              <w:rPr>
                <w:rFonts w:eastAsia="SimSun"/>
                <w:color w:themeColor="text1" w:val="000000"/>
                <w:sz w:val="22"/>
                <w:szCs w:val="22"/>
                <w:lang w:val="en-US"/>
              </w:rPr>
              <w:t> </w:t>
            </w:r>
            <w:r>
              <w:rPr>
                <w:rFonts w:eastAsia="SimSun"/>
                <w:color w:themeColor="text1" w:val="000000"/>
                <w:sz w:val="22"/>
                <w:szCs w:val="22"/>
              </w:rPr>
              <w:t>Пухова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Министрества культуры и туризма Калужской области от 12.08.14 № 300 (отмена), приказ управления от 23.07.2018 № 167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 Рождества Христова «в кожевниках», 1797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Ф. Энгельса, д.141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12.09.2018 № 252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в 1933-1935 гг. жил и работал Циолковский Константин Эдуардович</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Циолковского, д.1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191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Памятник воинам 50-й Армии, 1981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правый берег р. Ока, район</w:t>
            </w:r>
          </w:p>
          <w:p>
            <w:pPr>
              <w:pStyle w:val="Normal"/>
              <w:widowControl w:val="false"/>
              <w:spacing w:before="0" w:after="0"/>
              <w:jc w:val="center"/>
              <w:rPr>
                <w:color w:themeColor="text1" w:val="000000"/>
                <w:sz w:val="22"/>
                <w:szCs w:val="22"/>
              </w:rPr>
            </w:pPr>
            <w:r>
              <w:rPr>
                <w:rFonts w:eastAsia="SimSun"/>
                <w:color w:themeColor="text1" w:val="000000"/>
                <w:sz w:val="22"/>
                <w:szCs w:val="22"/>
              </w:rPr>
              <w:t>д. 12 по</w:t>
            </w:r>
          </w:p>
          <w:p>
            <w:pPr>
              <w:pStyle w:val="Normal"/>
              <w:widowControl w:val="false"/>
              <w:spacing w:before="0" w:after="0"/>
              <w:jc w:val="center"/>
              <w:rPr>
                <w:color w:themeColor="text1" w:val="000000"/>
                <w:sz w:val="22"/>
                <w:szCs w:val="22"/>
              </w:rPr>
            </w:pPr>
            <w:r>
              <w:rPr>
                <w:rFonts w:eastAsia="SimSun"/>
                <w:color w:themeColor="text1" w:val="000000"/>
                <w:sz w:val="22"/>
                <w:szCs w:val="22"/>
              </w:rPr>
              <w:t>ул. Ромодановская</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Урусовых, нач. 1770 г. (дом, сад, парк, хоз. постройки)</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п. Росва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04.12.2018 № 378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п. Росва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04.12.2018 № 378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Сад</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п. Росва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04.12.2018 № 378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Парк</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п. Росва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04.12.2018 № 378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Хоз. постройки</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п. Росва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04.12.2018 № 378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Воинское кладбище воинов Советской Армии, погибших в боях за освобождение Калуги от немецко-фашистских захватчиков в декабре 1941 г. и умерших от ран в 1942-1946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Пятницкое кладбище</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01.08.2018 № 187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Могила доктора медицинских наук</w:t>
            </w:r>
          </w:p>
          <w:p>
            <w:pPr>
              <w:pStyle w:val="Normal"/>
              <w:widowControl w:val="false"/>
              <w:spacing w:before="0" w:after="0"/>
              <w:rPr>
                <w:color w:themeColor="text1" w:val="000000"/>
                <w:sz w:val="22"/>
                <w:szCs w:val="22"/>
              </w:rPr>
            </w:pPr>
            <w:r>
              <w:rPr>
                <w:rFonts w:eastAsia="SimSun"/>
                <w:color w:themeColor="text1" w:val="000000"/>
                <w:sz w:val="22"/>
                <w:szCs w:val="22"/>
              </w:rPr>
              <w:t>Н.И. Кедровой, 1964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Пятницкое кладбище</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23.07.2018 №163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Могила историка-краеведа В.И. Малинина, 1933, 1963 гг.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Пятницкое кладбище</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23.07.2018 № 164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Собора Пресвятой Богородицы (Тихвинской иконы Божьей Матери)», 1889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с. Козлово, д. 37а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14.05.2019 № 120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06.07.2021 № 115</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Бюст Маршала Советского Союза Г.К. Жукова</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сквер им. Героев Советского Союза - калужан</w:t>
            </w:r>
          </w:p>
        </w:tc>
        <w:tc>
          <w:tcPr>
            <w:tcW w:w="2267" w:type="dxa"/>
            <w:tcBorders/>
            <w:shd w:fill="auto" w:val="clear"/>
            <w:vAlign w:val="center"/>
          </w:tcPr>
          <w:p>
            <w:pPr>
              <w:pStyle w:val="Normal"/>
              <w:widowControl w:val="false"/>
              <w:spacing w:before="0" w:after="0"/>
              <w:jc w:val="center"/>
              <w:rPr/>
            </w:pPr>
            <w:r>
              <w:rPr>
                <w:rFonts w:eastAsia="SimSun"/>
                <w:color w:themeColor="text1" w:val="000000"/>
                <w:sz w:val="22"/>
                <w:szCs w:val="22"/>
              </w:rPr>
              <w:t>Приказ министерства культуры и туризма Калужской области от 19.08.14 № 317, приказ управления от 01.08.2018 № 193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Бюст дважды Героя Социалистического труда, лауреата Ленинской премии П.А. Воронина, 1986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сквер напротив школы № 4</w:t>
            </w:r>
          </w:p>
        </w:tc>
        <w:tc>
          <w:tcPr>
            <w:tcW w:w="2267" w:type="dxa"/>
            <w:tcBorders/>
            <w:shd w:fill="auto" w:val="clear"/>
            <w:vAlign w:val="center"/>
          </w:tcPr>
          <w:p>
            <w:pPr>
              <w:pStyle w:val="Normal"/>
              <w:widowControl w:val="false"/>
              <w:spacing w:before="0" w:after="0"/>
              <w:jc w:val="center"/>
              <w:rPr/>
            </w:pPr>
            <w:r>
              <w:rPr>
                <w:rFonts w:eastAsia="SimSun"/>
                <w:color w:themeColor="text1" w:val="000000"/>
                <w:sz w:val="22"/>
                <w:szCs w:val="22"/>
              </w:rPr>
              <w:t>приказ министерства культуры и туризма Калужской области от 19.08.14 № 316, приказ управления от 23.07.2018 № 159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Знамения, 1760 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п. Куровской</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25.03.2019 № 55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I–я треть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Театральная, д. 43/8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13.12.2016 №153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губернской земской управы»,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Герцена, д. 34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16.05.2017 № 45. ВНЕСЕНО В ЕГРН</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железнодорожного вокзала: вокзал, служба северная, служба южная», нач. 1900-х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пл. Вокзальная,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169</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Вокзал, нач. 1900-х гг.</w:t>
            </w:r>
          </w:p>
        </w:tc>
        <w:tc>
          <w:tcPr>
            <w:tcW w:w="2334" w:type="dxa"/>
            <w:tcBorders/>
            <w:shd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г. Калуга, пл. Вокзальная</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169</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Служба северная, нач.</w:t>
            </w:r>
          </w:p>
          <w:p>
            <w:pPr>
              <w:pStyle w:val="Normal"/>
              <w:widowControl w:val="false"/>
              <w:spacing w:before="0" w:after="0"/>
              <w:rPr>
                <w:color w:themeColor="text1" w:val="000000"/>
                <w:sz w:val="22"/>
                <w:szCs w:val="22"/>
              </w:rPr>
            </w:pPr>
            <w:r>
              <w:rPr>
                <w:rFonts w:eastAsia="SimSun"/>
                <w:color w:themeColor="text1" w:val="000000"/>
                <w:sz w:val="22"/>
                <w:szCs w:val="22"/>
              </w:rPr>
              <w:t>1900-х гг.</w:t>
            </w:r>
          </w:p>
        </w:tc>
        <w:tc>
          <w:tcPr>
            <w:tcW w:w="2334" w:type="dxa"/>
            <w:tcBorders/>
            <w:shd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г. Калуга, пл. Вокзальная</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169</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Служба южная, нач.</w:t>
            </w:r>
          </w:p>
          <w:p>
            <w:pPr>
              <w:pStyle w:val="Normal"/>
              <w:widowControl w:val="false"/>
              <w:spacing w:before="0" w:after="0"/>
              <w:rPr>
                <w:color w:themeColor="text1" w:val="000000"/>
                <w:sz w:val="22"/>
                <w:szCs w:val="22"/>
              </w:rPr>
            </w:pPr>
            <w:r>
              <w:rPr>
                <w:rFonts w:eastAsia="SimSun"/>
                <w:color w:themeColor="text1" w:val="000000"/>
                <w:sz w:val="22"/>
                <w:szCs w:val="22"/>
              </w:rPr>
              <w:t>1900-х гг.</w:t>
            </w:r>
          </w:p>
        </w:tc>
        <w:tc>
          <w:tcPr>
            <w:tcW w:w="2334" w:type="dxa"/>
            <w:tcBorders/>
            <w:shd w:fill="auto" w:val="clear"/>
            <w:vAlign w:val="center"/>
          </w:tcPr>
          <w:p>
            <w:pPr>
              <w:pStyle w:val="Normal"/>
              <w:widowControl w:val="false"/>
              <w:spacing w:before="0" w:after="0"/>
              <w:jc w:val="center"/>
              <w:rPr>
                <w:color w:themeColor="text1" w:val="000000"/>
              </w:rPr>
            </w:pPr>
            <w:r>
              <w:rPr>
                <w:rFonts w:eastAsia="SimSun"/>
                <w:color w:themeColor="text1" w:val="000000"/>
                <w:sz w:val="22"/>
                <w:szCs w:val="22"/>
              </w:rPr>
              <w:t>г. Калуга, пл. Вокзальная</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20.07.2020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169</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купца Чешихина, флигель, хозяйственная постройка» кон. ХVIII - нач. ХХ вв., 2012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 50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22.02.2018 № 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Главный дом кон. ХVIII – нач. ХХ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 50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22.02.2018 № 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Флигель, 2-я пол. ХIХ в., 2012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 50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22.02.2018 № 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Хозяйственная постройка кон. ХIХ – нач. ХХ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 50, стр.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22.02.2018 № 48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Южный флигель усадьбы городской (Яновских), сер. XIX - нач. XX вв.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pPr>
            <w:r>
              <w:rPr>
                <w:rFonts w:eastAsia="SimSun"/>
                <w:color w:themeColor="text1" w:val="000000"/>
                <w:sz w:val="22"/>
                <w:szCs w:val="22"/>
              </w:rPr>
              <w:t>ул. Воскресенская,</w:t>
            </w:r>
          </w:p>
          <w:p>
            <w:pPr>
              <w:pStyle w:val="Normal"/>
              <w:widowControl w:val="false"/>
              <w:spacing w:before="0" w:after="0"/>
              <w:jc w:val="center"/>
              <w:rPr>
                <w:color w:themeColor="text1" w:val="000000"/>
                <w:sz w:val="22"/>
                <w:szCs w:val="22"/>
              </w:rPr>
            </w:pPr>
            <w:r>
              <w:rPr>
                <w:rFonts w:eastAsia="SimSun"/>
                <w:color w:themeColor="text1" w:val="000000"/>
                <w:sz w:val="22"/>
                <w:szCs w:val="22"/>
              </w:rPr>
              <w:t>д. 9, стр.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17.08.2018 № 207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 Ципулина, кон. XIX в.,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Подвойского,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429 от 13.12.2018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Главный дом, кон.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Подвойского,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13.12.2018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429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Западный флигель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Подвойского,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13.12.2018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429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Восточный флигель кон.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Подвойского,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13.12.2018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429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Ограда с воротами кон.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Подвойского,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13.12.2018</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429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trHeight w:val="71" w:hRule="atLeast"/>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Конюшня, каретная и погреб усадьбы Сухозанет 1870 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Кропоткина, д. 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07.02.2019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XVIII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Салтыкова-Щедрина, д. 55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15.02.2019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Книжная лавка купца Грудакова»,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Ленина, д. 123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04.03.2019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нач.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Московская, д. 19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11.03.2019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лавками, XIX в., 1950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 121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02.08.2019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220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казенного винного склада и завода, 1900- 1903 гг., 1928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Билибина, д. 33, стр. 1, 2, 3, 5, 7, ул. Ленина, д. 18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01.07.2019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18.04.2024 № 37</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склада, 1903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Билибина, д. 33, стр. 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01.07.2019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18.04.2024 № 37</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цистерн, 1901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Билибина,</w:t>
            </w:r>
          </w:p>
          <w:p>
            <w:pPr>
              <w:pStyle w:val="Normal"/>
              <w:widowControl w:val="false"/>
              <w:spacing w:before="0" w:after="0"/>
              <w:jc w:val="center"/>
              <w:rPr>
                <w:color w:themeColor="text1" w:val="000000"/>
                <w:sz w:val="22"/>
                <w:szCs w:val="22"/>
              </w:rPr>
            </w:pPr>
            <w:r>
              <w:rPr>
                <w:rFonts w:eastAsia="SimSun"/>
                <w:color w:themeColor="text1" w:val="000000"/>
                <w:sz w:val="22"/>
                <w:szCs w:val="22"/>
              </w:rPr>
              <w:t>д. 33, стр.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174 от 01.07.2019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18.04.2024 № 37</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цехов ректификации спирта, водоочистки и котельной, 1901-1903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Билибина,</w:t>
            </w:r>
          </w:p>
          <w:p>
            <w:pPr>
              <w:pStyle w:val="Normal"/>
              <w:widowControl w:val="false"/>
              <w:spacing w:before="0" w:after="0"/>
              <w:jc w:val="center"/>
              <w:rPr>
                <w:color w:themeColor="text1" w:val="000000"/>
                <w:sz w:val="22"/>
                <w:szCs w:val="22"/>
              </w:rPr>
            </w:pPr>
            <w:r>
              <w:rPr>
                <w:rFonts w:eastAsia="SimSun"/>
                <w:color w:themeColor="text1" w:val="000000"/>
                <w:sz w:val="22"/>
                <w:szCs w:val="22"/>
              </w:rPr>
              <w:t>д. 33, стр. 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01.07.2019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18.04.2024 № 37</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Сторожка с приемным покоем, 1900-1903 гг., 1928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Билибина, д. 33, стр. 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01.07.2019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18.04.2024 № 37</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заводоуправления, 1900-1903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Билибина, д. 33,</w:t>
            </w:r>
          </w:p>
          <w:p>
            <w:pPr>
              <w:pStyle w:val="Normal"/>
              <w:widowControl w:val="false"/>
              <w:spacing w:before="0" w:after="0"/>
              <w:jc w:val="center"/>
              <w:rPr>
                <w:color w:themeColor="text1" w:val="000000"/>
                <w:sz w:val="22"/>
                <w:szCs w:val="22"/>
              </w:rPr>
            </w:pPr>
            <w:r>
              <w:rPr>
                <w:rFonts w:eastAsia="SimSun"/>
                <w:color w:themeColor="text1" w:val="000000"/>
                <w:sz w:val="22"/>
                <w:szCs w:val="22"/>
              </w:rPr>
              <w:t>стр. 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01.07.2019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18.04.2024 № 37</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1900- 1903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 18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01.07.2019</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174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18.04.2024 № 37</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Андреевых», 3-я четверть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 д. 31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10.03.2020 № 54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А.И. Кирпичникова», кон. XVIII - нач. XIX вв.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 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Достоевского, 43/Театральная, д. 21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Унковских», конец XIX в., нач. XX в.</w:t>
            </w:r>
          </w:p>
        </w:tc>
        <w:tc>
          <w:tcPr>
            <w:tcW w:w="2334" w:type="dxa"/>
            <w:tcBorders/>
            <w:shd w:fill="auto" w:val="clear"/>
            <w:vAlign w:val="center"/>
          </w:tcPr>
          <w:p>
            <w:pPr>
              <w:pStyle w:val="Normal"/>
              <w:widowControl w:val="false"/>
              <w:spacing w:before="0" w:after="0"/>
              <w:jc w:val="center"/>
              <w:rPr/>
            </w:pPr>
            <w:r>
              <w:rPr>
                <w:rFonts w:eastAsia="SimSun"/>
                <w:iCs/>
                <w:color w:themeColor="text1" w:val="000000"/>
                <w:sz w:val="22"/>
                <w:szCs w:val="22"/>
              </w:rPr>
              <w:t>Калужская область,</w:t>
            </w:r>
          </w:p>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Академика Королева, д. 25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04.02.2021 № 10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 Козловых, 2-я пол. XVIII в., 1870-е – 1880-е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 xml:space="preserve">г. Калуга, </w:t>
              <w:br/>
              <w:t>ул. Кутузова,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09.07.2021 № 122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Главный дом, 2-я пол.</w:t>
              <w:br/>
              <w:t>XVIII, 1870-е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 xml:space="preserve">г. Калуга, </w:t>
              <w:br/>
              <w:t>ул. Кутузова,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09.07.2021 № 122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Хозяйственная постройка, 1870-е – 1880-е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 xml:space="preserve">г. Калуга, </w:t>
              <w:br/>
              <w:t>ул. Кутузова, д.7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09.07.2021 № 122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«Архиерейское подворье: архиерейский дом, здание домовой церкви и певческой школы, ворота», 1 пол. XIX в., 1880-е – 1910-е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 xml:space="preserve">г. Калуга, </w:t>
              <w:br/>
              <w:t>ул. Кутузова, д.24, д.26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09.12.2021 № 222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Архиерейский дом, 1900-е – 1910-е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 xml:space="preserve">г. Калуга, </w:t>
              <w:br/>
              <w:t>ул. Кутузова, д.26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09.12.2021 № 222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Ворота, 1900-е –</w:t>
              <w:br/>
              <w:t>1910-е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 xml:space="preserve">г. Калуга, </w:t>
              <w:br/>
              <w:t>ул. Кутузова, д.26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09.12.2021 № 222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ListParagraph"/>
              <w:widowControl w:val="false"/>
              <w:spacing w:before="0" w:after="0"/>
              <w:ind w:hanging="0" w:left="786"/>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домовой церкви и певческой школы», 1890-е – 1910-е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 xml:space="preserve">г. Калуга, </w:t>
              <w:br/>
              <w:t>ул. Кутузова, д.24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06.05.2022 № 47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усадьбы Игнатовых, 1900-е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д.103, д.103, стр.1, д.103, стр. 2, д.103, стр. 3, д.103, стр. 4, д.103, стр. 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30.05.2022 № 49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Хозяйственный флигель, сер. 1900-х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Калужская область, </w:t>
              <w:br/>
              <w:t>г. Калуга, ул. Ленина, д.103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30.05.2022 № 49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склада, сер. 1900-х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д.103, стр.1, д.103, стр. 2, д.103, стр. 3, д.103, стр. 4, д.103, стр. 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30.05.2022 № 49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Хозяйственный комплекс дома Гражданского губернатора, XIX – нач.</w:t>
            </w:r>
          </w:p>
          <w:p>
            <w:pPr>
              <w:pStyle w:val="Normal"/>
              <w:widowControl w:val="false"/>
              <w:spacing w:before="0" w:after="0"/>
              <w:rPr>
                <w:color w:themeColor="text1" w:val="000000"/>
                <w:sz w:val="22"/>
                <w:szCs w:val="22"/>
              </w:rPr>
            </w:pPr>
            <w:r>
              <w:rPr>
                <w:rFonts w:eastAsia="SimSun"/>
                <w:color w:themeColor="text1" w:val="000000"/>
                <w:sz w:val="22"/>
                <w:szCs w:val="22"/>
              </w:rPr>
              <w:t>XX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Карла Маркса, д.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30.05.2022 № 50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Хозяйственный флигель, XIX – нач.- XX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Карла Маркса, д.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30.05.2022 № 50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Кухонный флигель, 2-я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Карла Маркса, д.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30.05.2022 № 50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«Домовая церковь св. Гурия», 1903-1904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 д.33/13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15.06.2022 № 62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«Погреб», конец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 д.33/13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15.06.2022 № 63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«Флигель», начало XIX в., конец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 д.33/13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15.06.2022 № 64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«Хозяйственная постройка», начало XIX в., конец XIX – начало XX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Театральная, д.33/13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15.06.2022 № 65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Глуховых», нач.</w:t>
            </w:r>
          </w:p>
          <w:p>
            <w:pPr>
              <w:pStyle w:val="Normal"/>
              <w:widowControl w:val="false"/>
              <w:spacing w:before="0" w:after="0"/>
              <w:rPr/>
            </w:pPr>
            <w:r>
              <w:rPr>
                <w:rFonts w:eastAsia="SimSun"/>
                <w:color w:themeColor="text1" w:val="000000"/>
                <w:sz w:val="22"/>
                <w:szCs w:val="22"/>
              </w:rPr>
              <w:t>XIX в., 1870-е гг.</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Калужская область,</w:t>
            </w:r>
          </w:p>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Ленина, д. 111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01.08.2022 № 111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 Барута»</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Калужская область,</w:t>
            </w:r>
          </w:p>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Ленина, д. 109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16.01.2023 № 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Рябчиковых-Завериных», начало 1830-х гг., конец XIX в.</w:t>
            </w:r>
          </w:p>
        </w:tc>
        <w:tc>
          <w:tcPr>
            <w:tcW w:w="2334" w:type="dxa"/>
            <w:tcBorders/>
            <w:shd w:fill="auto" w:val="clear"/>
            <w:vAlign w:val="center"/>
          </w:tcPr>
          <w:p>
            <w:pPr>
              <w:pStyle w:val="Normal"/>
              <w:widowControl w:val="false"/>
              <w:spacing w:before="0" w:after="0"/>
              <w:jc w:val="center"/>
              <w:rPr>
                <w:iCs/>
                <w:color w:themeColor="text1" w:val="000000"/>
                <w:sz w:val="22"/>
                <w:szCs w:val="22"/>
              </w:rPr>
            </w:pPr>
            <w:r>
              <w:rPr>
                <w:rFonts w:eastAsia="SimSun"/>
                <w:iCs/>
                <w:color w:themeColor="text1" w:val="000000"/>
                <w:sz w:val="22"/>
                <w:szCs w:val="22"/>
              </w:rPr>
              <w:t>Калужская область,</w:t>
            </w:r>
          </w:p>
          <w:p>
            <w:pPr>
              <w:pStyle w:val="Normal"/>
              <w:widowControl w:val="false"/>
              <w:spacing w:before="0" w:after="0"/>
              <w:jc w:val="center"/>
              <w:rPr>
                <w:iCs/>
                <w:color w:themeColor="text1" w:val="000000"/>
                <w:sz w:val="22"/>
                <w:szCs w:val="22"/>
              </w:rPr>
            </w:pPr>
            <w:r>
              <w:rPr>
                <w:rFonts w:eastAsia="SimSun"/>
                <w:iCs/>
                <w:color w:themeColor="text1" w:val="000000"/>
                <w:sz w:val="22"/>
                <w:szCs w:val="22"/>
              </w:rPr>
              <w:t>г. Калуга, ул. Воробьевская, д. 26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26.04.2023 № 39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restart"/>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зданий консистории, сер. XVIII в. –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 105,</w:t>
            </w:r>
          </w:p>
          <w:p>
            <w:pPr>
              <w:pStyle w:val="Normal"/>
              <w:widowControl w:val="false"/>
              <w:spacing w:before="0" w:after="0"/>
              <w:jc w:val="center"/>
              <w:rPr>
                <w:color w:themeColor="text1" w:val="000000"/>
                <w:sz w:val="22"/>
                <w:szCs w:val="22"/>
              </w:rPr>
            </w:pPr>
            <w:r>
              <w:rPr>
                <w:rFonts w:eastAsia="SimSun"/>
                <w:color w:themeColor="text1" w:val="000000"/>
                <w:sz w:val="22"/>
                <w:szCs w:val="22"/>
              </w:rPr>
              <w:t>д. 107, д. 107а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30.06.2023 № 58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Главное здание с торговой лавкой, руб. XVIII – XIX вв.,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 107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30.06.2023 № 58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Уличный флигель с воротами, 1850-е – 1860-е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w:t>
              <w:br/>
              <w:t>Ленина, д. 105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30.06.2023 № 58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vMerge w:val="continue"/>
            <w:tcBorders/>
            <w:shd w:fill="auto" w:val="clear"/>
            <w:vAlign w:val="center"/>
          </w:tcPr>
          <w:p>
            <w:pPr>
              <w:pStyle w:val="Normal"/>
              <w:widowControl w:val="false"/>
              <w:spacing w:before="0" w:after="0"/>
              <w:ind w:hanging="0" w:left="426"/>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Дворовый флигель, сер. - 3-я четв.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Ленина, д. 107а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30.06.2023 № 58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9870" w:type="dxa"/>
            <w:gridSpan w:val="5"/>
            <w:tcBorders/>
            <w:shd w:fill="auto" w:val="clear"/>
            <w:vAlign w:val="center"/>
          </w:tcPr>
          <w:p>
            <w:pPr>
              <w:pStyle w:val="Normal"/>
              <w:widowControl w:val="false"/>
              <w:spacing w:before="0" w:after="0"/>
              <w:jc w:val="center"/>
              <w:rPr>
                <w:b/>
                <w:color w:themeColor="text1" w:val="000000"/>
                <w:sz w:val="22"/>
                <w:szCs w:val="22"/>
              </w:rPr>
            </w:pPr>
            <w:r>
              <w:rPr>
                <w:rFonts w:eastAsia="SimSun"/>
                <w:b/>
                <w:bCs/>
                <w:color w:themeColor="text1" w:val="000000"/>
                <w:sz w:val="22"/>
                <w:szCs w:val="22"/>
              </w:rPr>
              <w:t>Объекты культурного наследия местного значения</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Чеховых</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ул. Набережная, д. 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06.07.2016 № 89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Александровского училища</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Луначарского, д. 16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06.07.2016 № 90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Сорокиных, 1-я, посл. четверти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Академика Королева, д. 43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24.01.2018 № 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Вощина,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Никитина, д. 20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24.01.2018 № 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Билибиных», 1-я четв, 2-я пол.  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Кутузова, д. 19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63 от 30.03.2018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Носовых,</w:t>
            </w:r>
          </w:p>
          <w:p>
            <w:pPr>
              <w:pStyle w:val="Normal"/>
              <w:widowControl w:val="false"/>
              <w:spacing w:before="0" w:after="0"/>
              <w:rPr>
                <w:color w:themeColor="text1" w:val="000000"/>
                <w:sz w:val="22"/>
                <w:szCs w:val="22"/>
              </w:rPr>
            </w:pPr>
            <w:r>
              <w:rPr>
                <w:rFonts w:eastAsia="SimSun"/>
                <w:color w:themeColor="text1" w:val="000000"/>
                <w:sz w:val="22"/>
                <w:szCs w:val="22"/>
              </w:rPr>
              <w:t>кон. XVIII–1-я пол. XIX вв.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Баумана, д. 30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17.05.2018 № 82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Цуриковых, кон. XVIII–1-я пол. 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 32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17.05.2018 № 81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Неокладнова», кон. XVIII – нач. XIX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Кирова, д. 52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11.12.2018 № 418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магазина»,</w:t>
            </w:r>
          </w:p>
          <w:p>
            <w:pPr>
              <w:pStyle w:val="Normal"/>
              <w:widowControl w:val="false"/>
              <w:spacing w:before="0" w:after="0"/>
              <w:rPr>
                <w:color w:themeColor="text1" w:val="000000"/>
                <w:sz w:val="22"/>
                <w:szCs w:val="22"/>
              </w:rPr>
            </w:pPr>
            <w:r>
              <w:rPr>
                <w:rFonts w:eastAsia="SimSun"/>
                <w:color w:themeColor="text1" w:val="000000"/>
                <w:sz w:val="22"/>
                <w:szCs w:val="22"/>
              </w:rPr>
              <w:t>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Плеханова, д. 74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10.06.2019 № 160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Главный дом городской усадьбы Шляпиных», сер.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Театральная,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17.07.2019 № 199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3-я четв.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Театральная, д.5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17.07.2019 № 200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Барановых»,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Дзержинского,</w:t>
            </w:r>
          </w:p>
          <w:p>
            <w:pPr>
              <w:pStyle w:val="Normal"/>
              <w:widowControl w:val="false"/>
              <w:spacing w:before="0" w:after="0"/>
              <w:jc w:val="center"/>
              <w:rPr>
                <w:color w:themeColor="text1" w:val="000000"/>
                <w:sz w:val="22"/>
                <w:szCs w:val="22"/>
              </w:rPr>
            </w:pPr>
            <w:r>
              <w:rPr>
                <w:rFonts w:eastAsia="SimSun"/>
                <w:color w:themeColor="text1" w:val="000000"/>
                <w:sz w:val="22"/>
                <w:szCs w:val="22"/>
              </w:rPr>
              <w:t>д. 31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28.01.2020 № 26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П.А. Гусевой», кон. 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Академика Королева, д. 59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28.01.2020 № 27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Горбуновых», нач., посл. треть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Вилонова, д. 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28.01.2020 № 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«Жилой дом</w:t>
            </w:r>
          </w:p>
          <w:p>
            <w:pPr>
              <w:pStyle w:val="Normal"/>
              <w:widowControl w:val="false"/>
              <w:spacing w:before="0" w:after="0"/>
              <w:rPr>
                <w:color w:themeColor="text1" w:val="000000"/>
                <w:sz w:val="22"/>
                <w:szCs w:val="22"/>
              </w:rPr>
            </w:pPr>
            <w:r>
              <w:rPr>
                <w:rFonts w:eastAsia="SimSun"/>
                <w:color w:themeColor="text1" w:val="000000"/>
                <w:sz w:val="22"/>
                <w:szCs w:val="22"/>
              </w:rPr>
              <w:t>К.Ф. Торубаева», 1794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Луначарского,</w:t>
            </w:r>
          </w:p>
          <w:p>
            <w:pPr>
              <w:pStyle w:val="Normal"/>
              <w:widowControl w:val="false"/>
              <w:spacing w:before="0" w:after="0"/>
              <w:jc w:val="center"/>
              <w:rPr>
                <w:color w:themeColor="text1" w:val="000000"/>
                <w:sz w:val="22"/>
                <w:szCs w:val="22"/>
              </w:rPr>
            </w:pPr>
            <w:r>
              <w:rPr>
                <w:rFonts w:eastAsia="SimSun"/>
                <w:color w:themeColor="text1" w:val="000000"/>
                <w:sz w:val="22"/>
                <w:szCs w:val="22"/>
              </w:rPr>
              <w:t>д. 24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28.01.2020 № 25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П.Д. Можакина», кон.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Суворова, д.14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28.01.2020 № 23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лавками купцов Шляпиных», 1-я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4а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17.02.2020 № 38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лавками И.И. Борисова», 1-я треть XIX в.,                 кон. XIX – нач. XX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17.02.2020 № 39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магазином купцов Сафроновых», 1875 г.,               1910-е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17.02.2020 № 40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лавкой Н.С. Шарустиной», посл. четв.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12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17.02.2020 № 42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Кувшинниковых («Лихвинское подворье»)», 1880-е гг.,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д.13/</w:t>
            </w:r>
          </w:p>
          <w:p>
            <w:pPr>
              <w:pStyle w:val="Normal"/>
              <w:widowControl w:val="false"/>
              <w:spacing w:before="0" w:after="0"/>
              <w:jc w:val="center"/>
              <w:rPr>
                <w:color w:themeColor="text1" w:val="000000"/>
                <w:sz w:val="22"/>
                <w:szCs w:val="22"/>
              </w:rPr>
            </w:pPr>
            <w:r>
              <w:rPr>
                <w:rFonts w:eastAsia="SimSun"/>
                <w:color w:themeColor="text1" w:val="000000"/>
                <w:sz w:val="22"/>
                <w:szCs w:val="22"/>
              </w:rPr>
              <w:t>Дзержинского, д.47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17.02.2020 № 43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с лавкой</w:t>
            </w:r>
          </w:p>
          <w:p>
            <w:pPr>
              <w:pStyle w:val="Normal"/>
              <w:widowControl w:val="false"/>
              <w:spacing w:before="0" w:after="0"/>
              <w:rPr>
                <w:color w:themeColor="text1" w:val="000000"/>
                <w:sz w:val="22"/>
                <w:szCs w:val="22"/>
              </w:rPr>
            </w:pPr>
            <w:r>
              <w:rPr>
                <w:rFonts w:eastAsia="SimSun"/>
                <w:color w:themeColor="text1" w:val="000000"/>
                <w:sz w:val="22"/>
                <w:szCs w:val="22"/>
              </w:rPr>
              <w:t>У.К. Ивановой, П.С. Ракова»,</w:t>
            </w:r>
          </w:p>
          <w:p>
            <w:pPr>
              <w:pStyle w:val="Normal"/>
              <w:widowControl w:val="false"/>
              <w:spacing w:before="0" w:after="0"/>
              <w:rPr>
                <w:color w:themeColor="text1" w:val="000000"/>
                <w:sz w:val="22"/>
                <w:szCs w:val="22"/>
              </w:rPr>
            </w:pPr>
            <w:r>
              <w:rPr>
                <w:rFonts w:eastAsia="SimSun"/>
                <w:color w:themeColor="text1" w:val="000000"/>
                <w:sz w:val="22"/>
                <w:szCs w:val="22"/>
              </w:rPr>
              <w:t>1781-1794 гг., 1900-е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17.02.2020 № 41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Капыриных», 2-я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Воронина, д.14 /Пролетарская, д.103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28.01.2020 № 24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А.Н. Саниной,</w:t>
            </w:r>
          </w:p>
          <w:p>
            <w:pPr>
              <w:pStyle w:val="Normal"/>
              <w:widowControl w:val="false"/>
              <w:spacing w:before="0" w:after="0"/>
              <w:rPr>
                <w:color w:themeColor="text1" w:val="000000"/>
                <w:sz w:val="22"/>
                <w:szCs w:val="22"/>
              </w:rPr>
            </w:pPr>
            <w:r>
              <w:rPr>
                <w:rFonts w:eastAsia="SimSun"/>
                <w:color w:themeColor="text1" w:val="000000"/>
                <w:sz w:val="22"/>
                <w:szCs w:val="22"/>
              </w:rPr>
              <w:t>В.И. Кобелева», посл. четв. XIX в.,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14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магазинами Шмаковых», 1880-е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д.15/Дзержинского, д. 56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Г.П. Кувшинникова», 1-я, посл. четверти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16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лавкой А.Я. Блиновой», 1820-е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w:t>
            </w:r>
            <w:r>
              <w:rPr>
                <w:rFonts w:eastAsia="SimSun"/>
                <w:color w:themeColor="text1" w:val="000000"/>
                <w:sz w:val="22"/>
                <w:szCs w:val="22"/>
                <w:lang w:val="en-US"/>
              </w:rPr>
              <w:t> </w:t>
            </w:r>
            <w:r>
              <w:rPr>
                <w:rFonts w:eastAsia="SimSun"/>
                <w:color w:themeColor="text1" w:val="000000"/>
                <w:sz w:val="22"/>
                <w:szCs w:val="22"/>
              </w:rPr>
              <w:t>Калуга, ул. Театральная, д. 18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Рыбниковых»,</w:t>
            </w:r>
          </w:p>
          <w:p>
            <w:pPr>
              <w:pStyle w:val="Normal"/>
              <w:widowControl w:val="false"/>
              <w:spacing w:before="0" w:after="0"/>
              <w:rPr>
                <w:color w:themeColor="text1" w:val="000000"/>
                <w:sz w:val="22"/>
                <w:szCs w:val="22"/>
              </w:rPr>
            </w:pPr>
            <w:r>
              <w:rPr>
                <w:rFonts w:eastAsia="SimSun"/>
                <w:color w:themeColor="text1" w:val="000000"/>
                <w:sz w:val="22"/>
                <w:szCs w:val="22"/>
              </w:rPr>
              <w:t>1820-е гг., нач. XX в., нач. XXI вв.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 г. Калуга,</w:t>
            </w:r>
          </w:p>
          <w:p>
            <w:pPr>
              <w:pStyle w:val="Normal"/>
              <w:widowControl w:val="false"/>
              <w:spacing w:before="0" w:after="0"/>
              <w:jc w:val="center"/>
              <w:rPr/>
            </w:pPr>
            <w:r>
              <w:rPr>
                <w:rFonts w:eastAsia="SimSun"/>
                <w:color w:themeColor="text1" w:val="000000"/>
                <w:sz w:val="22"/>
                <w:szCs w:val="22"/>
              </w:rPr>
              <w:t>ул.  Театральная, д. 20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А.Г. Кушинникова»,  1-я треть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w:t>
            </w:r>
            <w:r>
              <w:rPr>
                <w:rFonts w:eastAsia="SimSun"/>
                <w:color w:themeColor="text1" w:val="000000"/>
                <w:sz w:val="22"/>
                <w:szCs w:val="22"/>
                <w:lang w:val="en-US"/>
              </w:rPr>
              <w:t> </w:t>
            </w:r>
            <w:r>
              <w:rPr>
                <w:rFonts w:eastAsia="SimSun"/>
                <w:color w:themeColor="text1" w:val="000000"/>
                <w:sz w:val="22"/>
                <w:szCs w:val="22"/>
              </w:rPr>
              <w:t>Калуга, ул. Театральная, д.</w:t>
            </w:r>
            <w:r>
              <w:rPr>
                <w:rFonts w:eastAsia="SimSun"/>
                <w:color w:themeColor="text1" w:val="000000"/>
                <w:sz w:val="22"/>
                <w:szCs w:val="22"/>
                <w:lang w:val="en-US"/>
              </w:rPr>
              <w:t> </w:t>
            </w:r>
            <w:r>
              <w:rPr>
                <w:rFonts w:eastAsia="SimSun"/>
                <w:color w:themeColor="text1" w:val="000000"/>
                <w:sz w:val="22"/>
                <w:szCs w:val="22"/>
              </w:rPr>
              <w:t>21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И.Я. Борисова», нач., 2-я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4/ ул. Достоевского, д.36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(красильная мастерская)</w:t>
            </w:r>
          </w:p>
          <w:p>
            <w:pPr>
              <w:pStyle w:val="Normal"/>
              <w:widowControl w:val="false"/>
              <w:spacing w:before="0" w:after="0"/>
              <w:rPr>
                <w:color w:themeColor="text1" w:val="000000"/>
                <w:sz w:val="22"/>
                <w:szCs w:val="22"/>
              </w:rPr>
            </w:pPr>
            <w:r>
              <w:rPr>
                <w:rFonts w:eastAsia="SimSun"/>
                <w:color w:themeColor="text1" w:val="000000"/>
                <w:sz w:val="22"/>
                <w:szCs w:val="22"/>
              </w:rPr>
              <w:t>А.С. Пестриковой», 3-я четверть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w:t>
            </w:r>
            <w:r>
              <w:rPr>
                <w:rFonts w:eastAsia="SimSun"/>
                <w:color w:themeColor="text1" w:val="000000"/>
                <w:sz w:val="22"/>
                <w:szCs w:val="22"/>
                <w:lang w:val="en-US"/>
              </w:rPr>
              <w:t> </w:t>
            </w:r>
            <w:r>
              <w:rPr>
                <w:rFonts w:eastAsia="SimSun"/>
                <w:color w:themeColor="text1" w:val="000000"/>
                <w:sz w:val="22"/>
                <w:szCs w:val="22"/>
              </w:rPr>
              <w:t>Театральная, д. 26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20.02.2020 № 46/8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лавкой М.А. Кадминой», 2-я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11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 59/24 от 13.03.2020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А.С. Семенова»,</w:t>
            </w:r>
          </w:p>
          <w:p>
            <w:pPr>
              <w:pStyle w:val="Normal"/>
              <w:widowControl w:val="false"/>
              <w:spacing w:before="0" w:after="0"/>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3-я четверть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28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Ф.И. Мешкова», 1-я пол. 1870-х гг., кон. XIX в.,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30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Пестриковых», 3-я четверть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32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59/27 от</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М.Ф. Пестрикова», 1 четверть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Театральная, д. 39/9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П.Н. Дехтерева с воротами и оградой»,</w:t>
            </w:r>
          </w:p>
          <w:p>
            <w:pPr>
              <w:pStyle w:val="Normal"/>
              <w:widowControl w:val="false"/>
              <w:spacing w:before="0" w:after="0"/>
              <w:rPr>
                <w:color w:themeColor="text1" w:val="000000"/>
                <w:sz w:val="22"/>
                <w:szCs w:val="22"/>
              </w:rPr>
            </w:pPr>
            <w:r>
              <w:rPr>
                <w:rFonts w:eastAsia="SimSun"/>
                <w:color w:themeColor="text1" w:val="000000"/>
                <w:sz w:val="22"/>
                <w:szCs w:val="22"/>
              </w:rPr>
              <w:t>нач.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w:t>
            </w:r>
            <w:r>
              <w:rPr>
                <w:rFonts w:eastAsia="SimSun"/>
                <w:color w:themeColor="text1" w:val="000000"/>
                <w:sz w:val="22"/>
                <w:szCs w:val="22"/>
                <w:lang w:val="en-US"/>
              </w:rPr>
              <w:t> </w:t>
            </w:r>
            <w:r>
              <w:rPr>
                <w:rFonts w:eastAsia="SimSun"/>
                <w:color w:themeColor="text1" w:val="000000"/>
                <w:sz w:val="22"/>
                <w:szCs w:val="22"/>
              </w:rPr>
              <w:t>Калуга, ул. Баумана, д.13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С.Б. Мусатова»,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Баумана, д.18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К.В. Кулешова и</w:t>
            </w:r>
          </w:p>
          <w:p>
            <w:pPr>
              <w:pStyle w:val="Normal"/>
              <w:widowControl w:val="false"/>
              <w:spacing w:before="0" w:after="0"/>
              <w:rPr>
                <w:color w:themeColor="text1" w:val="000000"/>
                <w:sz w:val="22"/>
                <w:szCs w:val="22"/>
              </w:rPr>
            </w:pPr>
            <w:r>
              <w:rPr>
                <w:rFonts w:eastAsia="SimSun"/>
                <w:color w:themeColor="text1" w:val="000000"/>
                <w:sz w:val="22"/>
                <w:szCs w:val="22"/>
              </w:rPr>
              <w:t>М.И. Платонова», 1-я треть, кон. XIX в.,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Воскресенская, д. 3-5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А.И. Холщевникова», руб. XVIII -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Воскресенская, д. 4/25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В.И. Соколова»,</w:t>
            </w:r>
          </w:p>
          <w:p>
            <w:pPr>
              <w:pStyle w:val="Normal"/>
              <w:widowControl w:val="false"/>
              <w:spacing w:before="0" w:after="0"/>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посл. треть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Воскресенская, д.</w:t>
            </w:r>
            <w:r>
              <w:rPr>
                <w:rFonts w:eastAsia="SimSun"/>
                <w:color w:themeColor="text1" w:val="000000"/>
                <w:sz w:val="22"/>
                <w:szCs w:val="22"/>
                <w:lang w:val="en-US"/>
              </w:rPr>
              <w:t> </w:t>
            </w:r>
            <w:r>
              <w:rPr>
                <w:rFonts w:eastAsia="SimSun"/>
                <w:color w:themeColor="text1" w:val="000000"/>
                <w:sz w:val="22"/>
                <w:szCs w:val="22"/>
              </w:rPr>
              <w:t>19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А.П. Садыкова»,</w:t>
            </w:r>
          </w:p>
          <w:p>
            <w:pPr>
              <w:pStyle w:val="Normal"/>
              <w:widowControl w:val="false"/>
              <w:spacing w:before="0" w:after="0"/>
              <w:rPr>
                <w:color w:themeColor="text1" w:val="000000"/>
                <w:sz w:val="22"/>
                <w:szCs w:val="22"/>
              </w:rPr>
            </w:pPr>
            <w:r>
              <w:rPr>
                <w:rFonts w:eastAsia="SimSun"/>
                <w:color w:themeColor="text1" w:val="000000"/>
                <w:sz w:val="22"/>
                <w:szCs w:val="22"/>
              </w:rPr>
              <w:t>1820-е гг., кон.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Воскресенская, д. 23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А.Н. Фонина», нач. XIX в., 1880-е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Воскресенская, д. 24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Плотникова», 1801 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Воскресенская, д. 27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 № 59/90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П.И. Мешкова», 1-я четв.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Воскресенская, д. 28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А.А. Беляева», 1-я треть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пер. Воскресенский, д. 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13.03.2020 № 59/11 от</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Г.Я. Масленникова»,</w:t>
            </w:r>
          </w:p>
          <w:p>
            <w:pPr>
              <w:pStyle w:val="Normal"/>
              <w:widowControl w:val="false"/>
              <w:spacing w:before="0" w:after="0"/>
              <w:rPr>
                <w:color w:themeColor="text1" w:val="000000"/>
                <w:sz w:val="22"/>
                <w:szCs w:val="22"/>
              </w:rPr>
            </w:pPr>
            <w:r>
              <w:rPr>
                <w:rFonts w:eastAsia="SimSun"/>
                <w:color w:themeColor="text1" w:val="000000"/>
                <w:sz w:val="22"/>
                <w:szCs w:val="22"/>
              </w:rPr>
              <w:t>1-я треть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пер. Воскресенский, д. 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О.К. Гончаровой»,</w:t>
            </w:r>
          </w:p>
          <w:p>
            <w:pPr>
              <w:pStyle w:val="Normal"/>
              <w:widowControl w:val="false"/>
              <w:spacing w:before="0" w:after="0"/>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нач. XIX в., руб. 1880-х – 1890-х гг., сер. 1900-х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Георгиевская, д.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Фалеевых-Гончаровых: флигель (здание народной библиотеки-читальни)», 1890-е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Георгиевская, д. 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Е.В. Лариной», нач. XX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Георгиевская, д. 21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 № 59/15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Сахаровых», нач. XIX в., 1-я пол. 1870-х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Георгиевская, д. 25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«Здание усадебных флигелей А.И. Кирпичникова и</w:t>
            </w:r>
          </w:p>
          <w:p>
            <w:pPr>
              <w:pStyle w:val="Normal"/>
              <w:widowControl w:val="false"/>
              <w:spacing w:before="0" w:after="0"/>
              <w:rPr>
                <w:color w:themeColor="text1" w:val="000000"/>
                <w:sz w:val="22"/>
                <w:szCs w:val="22"/>
              </w:rPr>
            </w:pPr>
            <w:r>
              <w:rPr>
                <w:rFonts w:eastAsia="SimSun"/>
                <w:color w:themeColor="text1" w:val="000000"/>
                <w:sz w:val="22"/>
                <w:szCs w:val="22"/>
              </w:rPr>
              <w:t>Д.А. Акимова», нач., 2-я пол.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Достоевского, д. 45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«Главный дом усадьбы</w:t>
            </w:r>
          </w:p>
          <w:p>
            <w:pPr>
              <w:pStyle w:val="Normal"/>
              <w:widowControl w:val="false"/>
              <w:spacing w:before="0" w:after="0"/>
              <w:rPr>
                <w:color w:themeColor="text1" w:val="000000"/>
                <w:sz w:val="22"/>
                <w:szCs w:val="22"/>
              </w:rPr>
            </w:pPr>
            <w:r>
              <w:rPr>
                <w:rFonts w:eastAsia="SimSun"/>
                <w:color w:themeColor="text1" w:val="000000"/>
                <w:sz w:val="22"/>
                <w:szCs w:val="22"/>
              </w:rPr>
              <w:t>Д.А. Акимова»,</w:t>
            </w:r>
          </w:p>
          <w:p>
            <w:pPr>
              <w:pStyle w:val="Normal"/>
              <w:widowControl w:val="false"/>
              <w:spacing w:before="0" w:after="0"/>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1-я, 3-я четверти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Достоевского, д. 47</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Антипиных»,</w:t>
            </w:r>
          </w:p>
          <w:p>
            <w:pPr>
              <w:pStyle w:val="Normal"/>
              <w:widowControl w:val="false"/>
              <w:spacing w:before="0" w:after="0"/>
              <w:rPr>
                <w:color w:themeColor="text1" w:val="000000"/>
                <w:sz w:val="22"/>
                <w:szCs w:val="22"/>
              </w:rPr>
            </w:pPr>
            <w:r>
              <w:rPr>
                <w:rFonts w:eastAsia="SimSun"/>
                <w:color w:themeColor="text1" w:val="000000"/>
                <w:sz w:val="22"/>
                <w:szCs w:val="22"/>
              </w:rPr>
              <w:t>нач.,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Достоевского, д. 49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59/19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«Главный дом городской усадьбы», кон. XVIII в.,</w:t>
            </w:r>
          </w:p>
          <w:p>
            <w:pPr>
              <w:pStyle w:val="Normal"/>
              <w:widowControl w:val="false"/>
              <w:spacing w:before="0" w:after="0"/>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1830-е – 1840-е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Монастырская, д. 4б</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«Флигель городской усадьбы», кон. XIX – нач. XX вв.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Монастырская, д. 4, стр. 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Вашковых», 3-я четв.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Подвойского, д. 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А.К. Алтынникова», нач., 3-я четв. XIX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 г. Калуга, ул. Подвойского, д. 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13.03.2020</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59/23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XVIII в.</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 37/ул. Космонавта Комарова, д. 39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11.03.2021 № 30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«Флигель усадьбы Бореевых-Слесаревых», 1-я треть, кон. XIX века</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пер. Григоров, д. 9Ж</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11.03.2021 № 31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заводчика Фишера», 1896-1899 гг.</w:t>
            </w:r>
          </w:p>
        </w:tc>
        <w:tc>
          <w:tcPr>
            <w:tcW w:w="2334"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Московская,</w:t>
            </w:r>
          </w:p>
          <w:p>
            <w:pPr>
              <w:pStyle w:val="Normal"/>
              <w:widowControl w:val="false"/>
              <w:spacing w:before="0" w:after="0"/>
              <w:jc w:val="center"/>
              <w:rPr/>
            </w:pPr>
            <w:r>
              <w:rPr>
                <w:rFonts w:eastAsia="SimSun"/>
                <w:color w:themeColor="text1" w:val="000000"/>
                <w:sz w:val="22"/>
                <w:szCs w:val="22"/>
              </w:rPr>
              <w:t>д. 18 /</w:t>
            </w:r>
          </w:p>
          <w:p>
            <w:pPr>
              <w:pStyle w:val="Normal"/>
              <w:widowControl w:val="false"/>
              <w:spacing w:before="0" w:after="0"/>
              <w:jc w:val="center"/>
              <w:rPr/>
            </w:pPr>
            <w:r>
              <w:rPr>
                <w:rFonts w:eastAsia="SimSun"/>
                <w:color w:themeColor="text1" w:val="000000"/>
                <w:sz w:val="22"/>
                <w:szCs w:val="22"/>
              </w:rPr>
              <w:t>ул. Дзержинского,</w:t>
            </w:r>
          </w:p>
          <w:p>
            <w:pPr>
              <w:pStyle w:val="Normal"/>
              <w:widowControl w:val="false"/>
              <w:spacing w:before="0" w:after="0"/>
              <w:jc w:val="center"/>
              <w:rPr>
                <w:color w:themeColor="text1" w:val="000000"/>
                <w:sz w:val="22"/>
                <w:szCs w:val="22"/>
              </w:rPr>
            </w:pPr>
            <w:r>
              <w:rPr>
                <w:rFonts w:eastAsia="SimSun"/>
                <w:color w:themeColor="text1" w:val="000000"/>
                <w:sz w:val="22"/>
                <w:szCs w:val="22"/>
              </w:rPr>
              <w:t>д. 64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11.03.2021 № 32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Козляинова», руб. 1900-х – 1910-х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Никитина, д. 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11.03.2021 № 33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«Лютеранская кирха с оградой», сер. - 3-я четверть XVIII в, около 1860 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г. Калуга, ул. Вилонова, д. 9</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11.03.2021 № 29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Жуковца», 1890-е – 1900-е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Воронина, д. 24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17.08.2021 № 150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Макарова с воротами», 1-я четверть XIX в.,</w:t>
            </w:r>
          </w:p>
          <w:p>
            <w:pPr>
              <w:pStyle w:val="Normal"/>
              <w:widowControl w:val="false"/>
              <w:spacing w:before="0" w:after="0"/>
              <w:rPr>
                <w:color w:themeColor="text1" w:val="000000"/>
                <w:sz w:val="22"/>
                <w:szCs w:val="22"/>
              </w:rPr>
            </w:pPr>
            <w:r>
              <w:rPr>
                <w:rFonts w:eastAsia="SimSun"/>
                <w:color w:themeColor="text1" w:val="000000"/>
                <w:sz w:val="22"/>
                <w:szCs w:val="22"/>
              </w:rPr>
              <w:t>1880-е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г. Калуга, ул. Чебышева, д. 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07.04.2022 № 35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Пестриковых», 3-я четверть XIX в., 1-я пол. 1900-х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Чебышева, д. 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07.04.2022 № 36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Макаровых - Низяевых», нач. 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 24</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85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Носовых»,</w:t>
            </w:r>
          </w:p>
          <w:p>
            <w:pPr>
              <w:pStyle w:val="Normal"/>
              <w:widowControl w:val="false"/>
              <w:spacing w:before="0" w:after="0"/>
              <w:rPr>
                <w:color w:themeColor="text1" w:val="000000"/>
                <w:sz w:val="22"/>
                <w:szCs w:val="22"/>
              </w:rPr>
            </w:pPr>
            <w:r>
              <w:rPr>
                <w:rFonts w:eastAsia="SimSun"/>
                <w:color w:themeColor="text1" w:val="000000"/>
                <w:sz w:val="22"/>
                <w:szCs w:val="22"/>
              </w:rPr>
              <w:t>кон. XVIII в., 1880-е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Баумана, д. 35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86</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Воронина, д. 10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87</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pPr>
            <w:r>
              <w:rPr>
                <w:rFonts w:eastAsia="SimSun"/>
                <w:color w:themeColor="text1" w:val="000000"/>
                <w:sz w:val="22"/>
                <w:szCs w:val="22"/>
              </w:rPr>
              <w:t>«Дом с магазином», кон.</w:t>
            </w:r>
          </w:p>
          <w:p>
            <w:pPr>
              <w:pStyle w:val="Normal"/>
              <w:widowControl w:val="false"/>
              <w:spacing w:before="0" w:after="0"/>
              <w:rPr>
                <w:color w:themeColor="text1" w:val="000000"/>
                <w:sz w:val="22"/>
                <w:szCs w:val="22"/>
              </w:rPr>
            </w:pPr>
            <w:r>
              <w:rPr>
                <w:rFonts w:eastAsia="SimSun"/>
                <w:color w:themeColor="text1" w:val="000000"/>
                <w:sz w:val="22"/>
                <w:szCs w:val="22"/>
              </w:rPr>
              <w:t>XIX – нач. XIX вв., нач. XIX вв. – 1917 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Воронина, д. 23</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88</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XIX – нач. XX вв.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Воронина, д. 23а</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89</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XIX – нач. XX вв.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Воронина, д. 25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90</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Билибина-Щелкановцевых-Уланова», 1799 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Карпова, д. 18</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91</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И.Х. Билибина», 1799 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Карпова, д. 20</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92</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Гостева-Цыплакова», 1876 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pPr>
            <w:r>
              <w:rPr>
                <w:rFonts w:eastAsia="SimSun"/>
                <w:color w:themeColor="text1" w:val="000000"/>
                <w:sz w:val="22"/>
                <w:szCs w:val="22"/>
              </w:rPr>
              <w:t>г. Калуга, ул. Кирова,</w:t>
            </w:r>
          </w:p>
          <w:p>
            <w:pPr>
              <w:pStyle w:val="Normal"/>
              <w:widowControl w:val="false"/>
              <w:spacing w:before="0" w:after="0"/>
              <w:jc w:val="center"/>
              <w:rPr>
                <w:color w:themeColor="text1" w:val="000000"/>
                <w:sz w:val="22"/>
                <w:szCs w:val="22"/>
              </w:rPr>
            </w:pPr>
            <w:r>
              <w:rPr>
                <w:rFonts w:eastAsia="SimSun"/>
                <w:color w:themeColor="text1" w:val="000000"/>
                <w:sz w:val="22"/>
                <w:szCs w:val="22"/>
              </w:rPr>
              <w:t>д. 45/16</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93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XIX в., 1944-1950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Воронина, д. 6/ул. Баррикад, д. 112</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94</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кон. XIX – нач. XX вв., 1910-е гг.</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pPr>
            <w:r>
              <w:rPr>
                <w:rFonts w:eastAsia="SimSun"/>
                <w:color w:themeColor="text1" w:val="000000"/>
                <w:sz w:val="22"/>
                <w:szCs w:val="22"/>
              </w:rPr>
              <w:t>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Воронина, д. 21</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04.07.2022 № 95</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r>
        <w:trPr>
          <w:cantSplit w:val="true"/>
        </w:trPr>
        <w:tc>
          <w:tcPr>
            <w:tcW w:w="835" w:type="dxa"/>
            <w:tcBorders/>
            <w:shd w:fill="auto" w:val="clear"/>
            <w:vAlign w:val="center"/>
          </w:tcPr>
          <w:p>
            <w:pPr>
              <w:pStyle w:val="ListParagraph"/>
              <w:widowControl w:val="false"/>
              <w:numPr>
                <w:ilvl w:val="0"/>
                <w:numId w:val="4"/>
              </w:numPr>
              <w:suppressAutoHyphens w:val="false"/>
              <w:spacing w:before="0" w:after="0"/>
              <w:contextualSpacing/>
              <w:jc w:val="center"/>
              <w:rPr>
                <w:color w:themeColor="text1" w:val="000000"/>
                <w:sz w:val="22"/>
                <w:szCs w:val="22"/>
              </w:rPr>
            </w:pPr>
            <w:r>
              <w:rPr>
                <w:color w:themeColor="text1" w:val="000000"/>
                <w:sz w:val="22"/>
                <w:szCs w:val="22"/>
              </w:rPr>
            </w:r>
          </w:p>
        </w:tc>
        <w:tc>
          <w:tcPr>
            <w:tcW w:w="3003"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Одоевцева», 1-я четверть XIX в.</w:t>
            </w:r>
          </w:p>
        </w:tc>
        <w:tc>
          <w:tcPr>
            <w:tcW w:w="2334" w:type="dxa"/>
            <w:tcBorders/>
            <w:shd w:fill="auto" w:val="clear"/>
            <w:vAlign w:val="center"/>
          </w:tcPr>
          <w:p>
            <w:pPr>
              <w:pStyle w:val="Normal"/>
              <w:widowControl w:val="false"/>
              <w:spacing w:before="0" w:after="0"/>
              <w:jc w:val="center"/>
              <w:rPr/>
            </w:pPr>
            <w:r>
              <w:rPr>
                <w:rFonts w:eastAsia="SimSun"/>
                <w:color w:themeColor="text1" w:val="000000"/>
                <w:sz w:val="22"/>
                <w:szCs w:val="22"/>
              </w:rPr>
              <w:t>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Достоевского, д. 55</w:t>
            </w:r>
          </w:p>
        </w:tc>
        <w:tc>
          <w:tcPr>
            <w:tcW w:w="2267"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28.08.2023 № 73</w:t>
            </w:r>
          </w:p>
        </w:tc>
        <w:tc>
          <w:tcPr>
            <w:tcW w:w="143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r>
    </w:tbl>
    <w:p>
      <w:pPr>
        <w:sectPr>
          <w:headerReference w:type="default" r:id="rId97"/>
          <w:headerReference w:type="first" r:id="rId98"/>
          <w:footerReference w:type="default" r:id="rId99"/>
          <w:footerReference w:type="first" r:id="rId100"/>
          <w:footnotePr>
            <w:numFmt w:val="decimal"/>
          </w:footnotePr>
          <w:type w:val="nextPage"/>
          <w:pgSz w:w="11906" w:h="16838"/>
          <w:pgMar w:left="1417" w:right="707" w:gutter="0" w:header="567" w:top="1126" w:footer="0" w:bottom="709"/>
          <w:pgNumType w:fmt="decimal"/>
          <w:formProt w:val="false"/>
          <w:textDirection w:val="lrTb"/>
          <w:docGrid w:type="default" w:linePitch="360" w:charSpace="0"/>
        </w:sectPr>
      </w:pPr>
    </w:p>
    <w:p>
      <w:pPr>
        <w:pStyle w:val="Style78"/>
        <w:jc w:val="center"/>
        <w:rPr>
          <w:color w:themeColor="text1" w:val="000000"/>
        </w:rPr>
      </w:pPr>
      <w:r>
        <w:rPr>
          <w:color w:themeColor="text1" w:val="000000"/>
        </w:rPr>
        <w:t>Перечень выявленных объекты культурного наследия,</w:t>
      </w:r>
    </w:p>
    <w:p>
      <w:pPr>
        <w:pStyle w:val="Style78"/>
        <w:jc w:val="center"/>
        <w:rPr>
          <w:color w:themeColor="text1" w:val="000000"/>
        </w:rPr>
      </w:pPr>
      <w:r>
        <w:rPr>
          <w:color w:themeColor="text1" w:val="000000"/>
        </w:rPr>
        <w:t>расположенных на территории городского округа</w:t>
      </w:r>
    </w:p>
    <w:tbl>
      <w:tblPr>
        <w:tblStyle w:val="afffffffffffc"/>
        <w:tblW w:w="973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9"/>
        <w:gridCol w:w="2839"/>
        <w:gridCol w:w="1809"/>
        <w:gridCol w:w="2098"/>
        <w:gridCol w:w="2032"/>
      </w:tblGrid>
      <w:tr>
        <w:trPr>
          <w:tblHeader w:val="true"/>
          <w:trHeight w:val="1133" w:hRule="atLeast"/>
        </w:trPr>
        <w:tc>
          <w:tcPr>
            <w:tcW w:w="959" w:type="dxa"/>
            <w:tcBorders/>
            <w:shd w:color="auto" w:fill="EDEDED" w:themeFill="accent3" w:themeFillTint="33" w:val="clear"/>
            <w:vAlign w:val="center"/>
          </w:tcPr>
          <w:p>
            <w:pPr>
              <w:pStyle w:val="Normal"/>
              <w:widowControl w:val="false"/>
              <w:spacing w:before="0" w:after="0"/>
              <w:jc w:val="center"/>
              <w:rPr>
                <w:b/>
                <w:color w:themeColor="text1" w:val="000000"/>
                <w:sz w:val="22"/>
                <w:szCs w:val="22"/>
                <w:lang w:val="en-US"/>
              </w:rPr>
            </w:pPr>
            <w:r>
              <w:rPr>
                <w:rFonts w:eastAsia="SimSun"/>
                <w:b/>
                <w:color w:themeColor="text1" w:val="000000"/>
                <w:sz w:val="22"/>
                <w:szCs w:val="22"/>
                <w:lang w:val="en-US"/>
              </w:rPr>
              <w:t xml:space="preserve">№ </w:t>
            </w:r>
            <w:r>
              <w:rPr>
                <w:rFonts w:eastAsia="SimSun"/>
                <w:b/>
                <w:color w:themeColor="text1" w:val="000000"/>
                <w:sz w:val="22"/>
                <w:szCs w:val="22"/>
                <w:lang w:val="en-US"/>
              </w:rPr>
              <w:t>п/п</w:t>
            </w:r>
          </w:p>
        </w:tc>
        <w:tc>
          <w:tcPr>
            <w:tcW w:w="2839"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Наименование ОКН</w:t>
            </w:r>
          </w:p>
        </w:tc>
        <w:tc>
          <w:tcPr>
            <w:tcW w:w="1809"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Датировка, автор</w:t>
            </w:r>
          </w:p>
        </w:tc>
        <w:tc>
          <w:tcPr>
            <w:tcW w:w="2098"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Местонахождение объекта культурного наследия</w:t>
            </w:r>
          </w:p>
        </w:tc>
        <w:tc>
          <w:tcPr>
            <w:tcW w:w="2032"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Документ о постановке на государственную охрану</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1-й Берендяковский пер., д.5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1-й Берендяковский пер.,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1-й Берендяковский пер., д.9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pPr>
            <w:r>
              <w:rPr>
                <w:rFonts w:eastAsia="SimSun"/>
                <w:color w:themeColor="text1" w:val="000000"/>
                <w:sz w:val="22"/>
                <w:szCs w:val="22"/>
              </w:rPr>
              <w:t>Академика Королева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д.12/32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Академика Королева ул., д.55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Баррикад ул., 129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Фалеевых-Гончаровых: сторожка; хозяйственный флигель (деревянный); ворота и ограда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д.11а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 №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церкви Георгия «за верхом»: часовня; ограда с воротами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д.14 / Георгиевская ул., д.12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купца Морозова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- 1-я пол.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д.26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 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д.26а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 жилой дом, конюшня</w:t>
            </w:r>
          </w:p>
        </w:tc>
        <w:tc>
          <w:tcPr>
            <w:tcW w:w="1809" w:type="dxa"/>
            <w:tcBorders/>
            <w:shd w:fill="auto" w:val="clear"/>
            <w:vAlign w:val="center"/>
          </w:tcPr>
          <w:p>
            <w:pPr>
              <w:pStyle w:val="Normal"/>
              <w:widowControl w:val="false"/>
              <w:spacing w:before="0" w:after="0"/>
              <w:jc w:val="center"/>
              <w:rPr/>
            </w:pPr>
            <w:r>
              <w:rPr>
                <w:rFonts w:eastAsia="SimSun"/>
                <w:color w:themeColor="text1" w:val="000000"/>
                <w:sz w:val="22"/>
                <w:szCs w:val="22"/>
              </w:rPr>
              <w:t>перв.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в.-1873г.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д.28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 №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д.34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70-е гг.</w:t>
            </w:r>
          </w:p>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д.36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(Яновской)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Баумана ул., д.48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Артиллерийская (Кричевская) казарма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Беляева ул. д.1/ Первомайская ул., д.48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послед.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Вилонова ул., д.17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Воробьевская ул., д.3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Воробъевская ул., д.19/1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д.1/ Баррикад ул., д.114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учительского института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1913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д.16 / Пролетарская ул., д.92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д.18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д.22 / Огарева ул., д.50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д.26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д.32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д.34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Воронина ул., д.36/ Суворова ул., д.119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Дворовый корпус, ворота и ограда здания Пестряковской богадельни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w:t>
            </w:r>
          </w:p>
          <w:p>
            <w:pPr>
              <w:pStyle w:val="Normal"/>
              <w:widowControl w:val="false"/>
              <w:spacing w:before="0" w:after="0"/>
              <w:jc w:val="center"/>
              <w:rPr>
                <w:color w:themeColor="text1" w:val="000000"/>
                <w:sz w:val="22"/>
                <w:szCs w:val="22"/>
              </w:rPr>
            </w:pPr>
            <w:r>
              <w:rPr>
                <w:rFonts w:eastAsia="SimSun"/>
                <w:color w:themeColor="text1" w:val="000000"/>
                <w:sz w:val="22"/>
                <w:szCs w:val="22"/>
              </w:rPr>
              <w:t>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Воскресенская ул.,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городская (Яновских): северный флигель; южный флигель; ограда и ворота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Воскресенская ул., д.9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губернского землемера Шолца фон Ашерслебена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Воскресенский пер., д.27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3-я четв.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Воскресенский пер., д.31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Георгиевская ул., д.32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Госпиталь (Ансамбль миткальной фабрики Одоевцева: главный дом; северный корпус; восточный корпус; корпус во дворе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Герцена ул., д.18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 № 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Григоров пер., д.12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1506, 76</w:t>
            </w:r>
          </w:p>
          <w:p>
            <w:pPr>
              <w:pStyle w:val="Normal"/>
              <w:widowControl w:val="false"/>
              <w:spacing w:before="0" w:after="0"/>
              <w:jc w:val="center"/>
              <w:rPr>
                <w:color w:themeColor="text1" w:val="000000"/>
                <w:sz w:val="22"/>
                <w:szCs w:val="22"/>
              </w:rPr>
            </w:pPr>
            <w:r>
              <w:rPr>
                <w:rFonts w:eastAsia="SimSun"/>
                <w:color w:themeColor="text1" w:val="000000"/>
                <w:sz w:val="22"/>
                <w:szCs w:val="22"/>
              </w:rPr>
              <w:t>(В. Засулич)</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Гостинорядский пер., д.4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Дарвина ул., д.11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Флигель дом Архангельской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кон.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Дарвина ул., д.12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Дарвина ул., д.14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Дарвина ул., д.15а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А.А. Гончарова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кон., XVIII -</w:t>
            </w:r>
          </w:p>
          <w:p>
            <w:pPr>
              <w:pStyle w:val="Normal"/>
              <w:widowControl w:val="false"/>
              <w:spacing w:before="0" w:after="0"/>
              <w:jc w:val="center"/>
              <w:rPr>
                <w:color w:themeColor="text1" w:val="000000"/>
                <w:sz w:val="22"/>
                <w:szCs w:val="22"/>
              </w:rPr>
            </w:pPr>
            <w:r>
              <w:rPr>
                <w:rFonts w:eastAsia="SimSun"/>
                <w:color w:themeColor="text1" w:val="000000"/>
                <w:sz w:val="22"/>
                <w:szCs w:val="22"/>
              </w:rPr>
              <w:t>нач.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Декабристов ул., д.3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Декабристов ул., д.11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Декабристов ул., д.14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Дзержинского ул., д.33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Синагога, иудейская, приходская, зимняя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1912-</w:t>
            </w:r>
          </w:p>
          <w:p>
            <w:pPr>
              <w:pStyle w:val="Normal"/>
              <w:widowControl w:val="false"/>
              <w:spacing w:before="0" w:after="0"/>
              <w:jc w:val="center"/>
              <w:rPr>
                <w:color w:themeColor="text1" w:val="000000"/>
                <w:sz w:val="22"/>
                <w:szCs w:val="22"/>
              </w:rPr>
            </w:pPr>
            <w:r>
              <w:rPr>
                <w:rFonts w:eastAsia="SimSun"/>
                <w:color w:themeColor="text1" w:val="000000"/>
                <w:sz w:val="22"/>
                <w:szCs w:val="22"/>
              </w:rPr>
              <w:t>1913 гг.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Дзержинского ул., д.41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Дзержинского ул., д.42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Дзержинского ул., д.51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Дзержинского ул., д.62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Купеческая усадьба: главный дом; флигель</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Дзержинского ул., д.74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д.10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 нач.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д.21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Бокова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 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д.30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ХVIII в. - 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д.32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Пастуховых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д.33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Почтовая станция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д.41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д.42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Жилье, кооп. маг. 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д.44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rHeight w:val="386"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Мешкова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д.46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Мешковых: северный флигель; южный флигель; ограда с воротами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вт. пол. XIX в. -нач.</w:t>
            </w:r>
          </w:p>
          <w:p>
            <w:pPr>
              <w:pStyle w:val="Normal"/>
              <w:widowControl w:val="false"/>
              <w:spacing w:before="0" w:after="0"/>
              <w:jc w:val="center"/>
              <w:rPr>
                <w:color w:themeColor="text1" w:val="000000"/>
                <w:sz w:val="22"/>
                <w:szCs w:val="22"/>
              </w:rPr>
            </w:pPr>
            <w:r>
              <w:rPr>
                <w:rFonts w:eastAsia="SimSun"/>
                <w:color w:themeColor="text1" w:val="000000"/>
                <w:sz w:val="22"/>
                <w:szCs w:val="22"/>
              </w:rPr>
              <w:t>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д.48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ремесленного ссудосберегательного общества: здание ремесленного ссудосберегательного банка; ограда с воротами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д.48 /Московская ул., д.4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w:t>
            </w:r>
          </w:p>
          <w:p>
            <w:pPr>
              <w:pStyle w:val="Normal"/>
              <w:widowControl w:val="false"/>
              <w:spacing w:before="0" w:after="0"/>
              <w:jc w:val="center"/>
              <w:rPr>
                <w:color w:themeColor="text1" w:val="000000"/>
                <w:sz w:val="22"/>
                <w:szCs w:val="22"/>
              </w:rPr>
            </w:pPr>
            <w:r>
              <w:rPr>
                <w:rFonts w:eastAsia="SimSun"/>
                <w:color w:themeColor="text1" w:val="000000"/>
                <w:sz w:val="22"/>
                <w:szCs w:val="22"/>
              </w:rPr>
              <w:t>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Достоевского ул., д.55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Баня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Зеленый крупец ул., д.28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Знаменская ул., д.1/ Луначарского ул., д.67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 перв. треть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Знаменская ул., д.2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перв.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Знаменская ул., д.44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Управление Сызрано-Вяземской железной дороги: ледник и ограда с воротами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1894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Карла Маркса ул., д.4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«Свешниковского подворья»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- 3-я четв.</w:t>
            </w:r>
          </w:p>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пер., д.5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четв.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пер., д.7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управляющего Калужским госпиталем И.И. Гиппенрейтера (Главный дом усадьбы Дехтерева); флигель усадьбы Дехтерева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 (2-я тр. XVIII - сер. XIX вв.); сер. XIX - нач. ХХ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ул., д.2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 №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Фалеева-Сухозанет: ворота и ограда; кухонный флигель; конюшня, каретная и погреб; хозяйственная постройка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 посл. треть XIX в. Архитекторы И.Д. Ясныгин, П.И. Гусев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ул., д.4; Кропоткина ул., д.1;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 № 2-с; №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послед.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ул., д.11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ул., д.15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1801г.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ул., д.17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с августа 1917 г. по июнь 1918 г. размещалась типография 1-ой Калужской большевистской газеты «Рассвет»</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пер. пол. XIX в.; 1917-1918 гг.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ул., д.25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 №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Карпова ул., д.25а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Здания застройки середины XX века: административное здание; жилое здание; жилое здание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p>
            <w:pPr>
              <w:pStyle w:val="Normal"/>
              <w:widowControl w:val="false"/>
              <w:spacing w:before="0" w:after="0"/>
              <w:jc w:val="center"/>
              <w:rPr>
                <w:color w:themeColor="text1" w:val="000000"/>
                <w:sz w:val="22"/>
                <w:szCs w:val="22"/>
              </w:rPr>
            </w:pPr>
            <w:r>
              <w:rPr>
                <w:rFonts w:eastAsia="SimSun"/>
                <w:color w:themeColor="text1" w:val="000000"/>
                <w:sz w:val="22"/>
                <w:szCs w:val="22"/>
              </w:rPr>
              <w:t>сер.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д.7; Кирова ул., д.11; Кирова ул., д.13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Комплекс 1-й полицейской и 1-й пожарной части города: главное здание, здание пожарного обоза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четв. XIX в., рубеж XIX в. -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д.9; Кирова ул., д.9а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 №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Вяземского Г.И.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д.22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Кожевникова: главный дом, жилой флигель; хозяйственная постройка; ворота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 - нач.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д.40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служба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 .</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д.52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Снежкина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1780г., перв.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д.57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д.61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жила народная артистка СССР В.И. Никитина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Кирова ул., д.96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Комарова ул., д.47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Космонавта Волкова ул., 5 «б»</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Космонавта Пацаева ул.,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купцов Торубаевых: южный флигель; северный флигель; ограда с воротами</w:t>
            </w:r>
          </w:p>
        </w:tc>
        <w:tc>
          <w:tcPr>
            <w:tcW w:w="1809" w:type="dxa"/>
            <w:tcBorders/>
            <w:shd w:fill="auto" w:val="clear"/>
            <w:vAlign w:val="center"/>
          </w:tcPr>
          <w:p>
            <w:pPr>
              <w:pStyle w:val="Normal"/>
              <w:widowControl w:val="false"/>
              <w:spacing w:before="0" w:after="0"/>
              <w:jc w:val="center"/>
              <w:rPr/>
            </w:pPr>
            <w:r>
              <w:rPr>
                <w:rFonts w:eastAsia="SimSun"/>
                <w:color w:themeColor="text1" w:val="000000"/>
                <w:sz w:val="22"/>
                <w:szCs w:val="22"/>
              </w:rPr>
              <w:t>3-я четв.</w:t>
            </w:r>
          </w:p>
          <w:p>
            <w:pPr>
              <w:pStyle w:val="Normal"/>
              <w:widowControl w:val="false"/>
              <w:spacing w:before="0" w:after="0"/>
              <w:jc w:val="center"/>
              <w:rPr>
                <w:color w:themeColor="text1" w:val="000000"/>
                <w:sz w:val="22"/>
                <w:szCs w:val="22"/>
              </w:rPr>
            </w:pPr>
            <w:r>
              <w:rPr>
                <w:rFonts w:eastAsia="SimSun"/>
                <w:color w:themeColor="text1" w:val="000000"/>
                <w:sz w:val="22"/>
                <w:szCs w:val="22"/>
              </w:rPr>
              <w:t>XVIII в., 1-я треть XIX в., 1864 -</w:t>
            </w:r>
          </w:p>
          <w:p>
            <w:pPr>
              <w:pStyle w:val="Normal"/>
              <w:widowControl w:val="false"/>
              <w:spacing w:before="0" w:after="0"/>
              <w:jc w:val="center"/>
              <w:rPr>
                <w:color w:themeColor="text1" w:val="000000"/>
                <w:sz w:val="22"/>
                <w:szCs w:val="22"/>
              </w:rPr>
            </w:pPr>
            <w:r>
              <w:rPr>
                <w:rFonts w:eastAsia="SimSun"/>
                <w:color w:themeColor="text1" w:val="000000"/>
                <w:sz w:val="22"/>
                <w:szCs w:val="22"/>
              </w:rPr>
              <w:t>1902 гг.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Космонавта Пацаева ул., д.4,</w:t>
            </w:r>
          </w:p>
          <w:p>
            <w:pPr>
              <w:pStyle w:val="Normal"/>
              <w:widowControl w:val="false"/>
              <w:spacing w:before="0" w:after="0"/>
              <w:jc w:val="center"/>
              <w:rPr>
                <w:color w:themeColor="text1" w:val="000000"/>
                <w:sz w:val="22"/>
                <w:szCs w:val="22"/>
              </w:rPr>
            </w:pPr>
            <w:r>
              <w:rPr>
                <w:rFonts w:eastAsia="SimSun"/>
                <w:color w:themeColor="text1" w:val="000000"/>
                <w:sz w:val="22"/>
                <w:szCs w:val="22"/>
              </w:rPr>
              <w:t>4 фл.</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Кольцовых: флигель</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 1-я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Космонавта Пацаева ул., д.5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Космонавта Пацаева ул., д.10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Казанской церкви: угловая башня (северо-восточная часовня); дом причта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1707-1719 гг., 1726 г., 1-я четв. XIX в., 1823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Красная Гора ул., д.20, д.20а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почтмейстера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ХХ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Кропоткина ул., д.2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Флигель жилого дома Носовых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 д.2/1, строение 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 д.3-5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w:t>
            </w:r>
          </w:p>
          <w:p>
            <w:pPr>
              <w:pStyle w:val="Normal"/>
              <w:widowControl w:val="false"/>
              <w:spacing w:before="0" w:after="0"/>
              <w:jc w:val="center"/>
              <w:rPr>
                <w:color w:themeColor="text1" w:val="000000"/>
                <w:sz w:val="22"/>
                <w:szCs w:val="22"/>
              </w:rPr>
            </w:pPr>
            <w:r>
              <w:rPr>
                <w:rFonts w:eastAsia="SimSun"/>
                <w:color w:themeColor="text1" w:val="000000"/>
                <w:sz w:val="22"/>
                <w:szCs w:val="22"/>
              </w:rPr>
              <w:t>д.14-16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Усадебный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 нач.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 д.18 (2-этажное строение)</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реального училища Шахмагонова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1914г.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 д.18 (3-этажное строение)</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(причта)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четв.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 д.25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Никитина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 д.28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Ченцова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XVIII-нач.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Кутузова ул., д.30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Высшее начальное железнодорожное училище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Фалеевых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78/Кирова ул., д.66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д.86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д.86а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жилой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 пол. – кон. XIX</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д.87</w:t>
            </w:r>
          </w:p>
        </w:tc>
        <w:tc>
          <w:tcPr>
            <w:tcW w:w="2032" w:type="dxa"/>
            <w:tcBorders/>
            <w:shd w:fill="auto" w:val="clear"/>
            <w:vAlign w:val="center"/>
          </w:tcPr>
          <w:p>
            <w:pPr>
              <w:pStyle w:val="Normal"/>
              <w:widowControl w:val="false"/>
              <w:spacing w:before="0" w:after="0"/>
              <w:jc w:val="center"/>
              <w:rPr/>
            </w:pPr>
            <w:r>
              <w:rPr>
                <w:rFonts w:eastAsia="SimSun"/>
                <w:color w:themeColor="text1" w:val="000000"/>
                <w:sz w:val="22"/>
                <w:szCs w:val="22"/>
              </w:rPr>
              <w:t>Приказ  министерства культуры и туризма Калужской области № 238 от 29.04.2015</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д.88/1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купчихи Крыцыной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д.92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д.94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д.95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д.96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Кашириных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д.97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д.98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купца А.Ф. Горбунова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99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д.100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1870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д.102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Билибиных: юго-западный флигель; южный флигель; северный флигель; конюшня; ворота и ограда</w:t>
            </w:r>
          </w:p>
        </w:tc>
        <w:tc>
          <w:tcPr>
            <w:tcW w:w="1809" w:type="dxa"/>
            <w:tcBorders/>
            <w:shd w:fill="auto" w:val="clear"/>
            <w:vAlign w:val="center"/>
          </w:tcPr>
          <w:p>
            <w:pPr>
              <w:pStyle w:val="Normal"/>
              <w:widowControl w:val="false"/>
              <w:spacing w:before="0" w:after="0"/>
              <w:jc w:val="center"/>
              <w:rPr/>
            </w:pPr>
            <w:r>
              <w:rPr>
                <w:rFonts w:eastAsia="SimSun"/>
                <w:color w:themeColor="text1" w:val="000000"/>
                <w:sz w:val="22"/>
                <w:szCs w:val="22"/>
              </w:rPr>
              <w:t>1880-е гг.;</w:t>
            </w:r>
          </w:p>
          <w:p>
            <w:pPr>
              <w:pStyle w:val="Normal"/>
              <w:widowControl w:val="false"/>
              <w:spacing w:before="0" w:after="0"/>
              <w:jc w:val="center"/>
              <w:rPr>
                <w:color w:themeColor="text1" w:val="000000"/>
                <w:sz w:val="22"/>
                <w:szCs w:val="22"/>
              </w:rPr>
            </w:pPr>
            <w:r>
              <w:rPr>
                <w:rFonts w:eastAsia="SimSun"/>
                <w:color w:themeColor="text1" w:val="000000"/>
                <w:sz w:val="22"/>
                <w:szCs w:val="22"/>
              </w:rPr>
              <w:t>XIX в.; 1809-10-е гг.; 1820-е гг.;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д.104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д.105а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Товарищество сбережения «Подспорье»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д.107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д.107а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д.113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сер.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д.117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Гостиница «Кулон»</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сер.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д.119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Ленина ул., д.125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д.10/ Старичков пер., д.16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драматурга Н. Я. Соловьева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 г. Калуга,</w:t>
            </w:r>
          </w:p>
          <w:p>
            <w:pPr>
              <w:pStyle w:val="Normal"/>
              <w:widowControl w:val="false"/>
              <w:spacing w:before="0" w:after="0"/>
              <w:jc w:val="center"/>
              <w:rPr>
                <w:color w:themeColor="text1" w:val="000000"/>
                <w:sz w:val="22"/>
                <w:szCs w:val="22"/>
              </w:rPr>
            </w:pPr>
            <w:r>
              <w:rPr>
                <w:rFonts w:eastAsia="SimSun"/>
                <w:color w:themeColor="text1" w:val="000000"/>
                <w:sz w:val="22"/>
                <w:szCs w:val="22"/>
              </w:rPr>
              <w:t>ул. Луначарского, д. 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31.07.2020 № 180</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д.12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д.18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д.20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д.22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XVIII-кон.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д.28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д.30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Зайцева (главный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д.31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служба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д.33 / Воскресенский пер., д.12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Черновых-Фалеевых: северный флигель; южный флигель; ограда с воротами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сер.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д.36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д.38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вт. треть</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д.43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pPr>
            <w:r>
              <w:rPr>
                <w:rFonts w:eastAsia="SimSun"/>
                <w:color w:themeColor="text1" w:val="000000"/>
                <w:sz w:val="22"/>
                <w:szCs w:val="22"/>
              </w:rPr>
              <w:t>посл. треть</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Луначарского ул., д.44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в котором в 1952 году проживал Булат Окуджава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1949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Максима Горького, д.35/ Маршала Жукова, д.14а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72</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 главный дом; хозяйственный флигель; хозяйственная постройка            Переименован «Дом Ципулина, нач.,</w:t>
            </w:r>
          </w:p>
          <w:p>
            <w:pPr>
              <w:pStyle w:val="Normal"/>
              <w:widowControl w:val="false"/>
              <w:spacing w:before="0" w:after="0"/>
              <w:rPr>
                <w:color w:themeColor="text1" w:val="000000"/>
                <w:sz w:val="22"/>
                <w:szCs w:val="22"/>
              </w:rPr>
            </w:pPr>
            <w:r>
              <w:rPr>
                <w:rFonts w:eastAsia="SimSun"/>
                <w:color w:themeColor="text1" w:val="000000"/>
                <w:sz w:val="22"/>
                <w:szCs w:val="22"/>
              </w:rPr>
              <w:t>кон. XIX в.»</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четв. XIX в., 2-я треть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Московская ул., д.8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треть</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Московская ул., д.19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купцов Карасевых (старая аптека)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Московская ул., д.19/2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духовного училища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Московская ул., д.34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Екатеринского смешанного приходского училища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1913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Московская ул., д.79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четв. - сер.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Набережная ул., д.3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Набережная ул., д.5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Набережная ул., д.7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четв. - сер.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Набережная ул., д.11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Посядо</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посл. четв.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Набережная ул., д.15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Фалеевых (Ансамбль Общины сестер милосердия общества Красного Креста)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Никитина ул., д.3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Фалеевых с флигелем (общежитие епархиального женского училища)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Никитина ул., д.4; Никитина ул., д.2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 историко-архивные материалы</w:t>
            </w:r>
          </w:p>
          <w:p>
            <w:pPr>
              <w:pStyle w:val="Normal"/>
              <w:widowControl w:val="false"/>
              <w:spacing w:before="0" w:after="0"/>
              <w:jc w:val="center"/>
              <w:rPr>
                <w:color w:themeColor="text1" w:val="000000"/>
                <w:sz w:val="22"/>
                <w:szCs w:val="22"/>
              </w:rPr>
            </w:pPr>
            <w:r>
              <w:rPr>
                <w:rFonts w:eastAsia="SimSun"/>
                <w:color w:themeColor="text1" w:val="000000"/>
                <w:sz w:val="22"/>
                <w:szCs w:val="22"/>
              </w:rPr>
              <w:t>Г.М. Морозовой</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1991 г.</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(Здание епархиального женского училища)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Никитина ул.,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 № 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Никитина ул., д.22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Никитина ул., д.26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Малаховская казарма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 -нач.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Никитина ул., д.79/ М. Горького ул., д.62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тюрьмы</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Николо-Козинская ул., д.112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Польский костел</w:t>
            </w:r>
          </w:p>
        </w:tc>
        <w:tc>
          <w:tcPr>
            <w:tcW w:w="1809" w:type="dxa"/>
            <w:tcBorders/>
            <w:shd w:fill="auto" w:val="clear"/>
            <w:vAlign w:val="center"/>
          </w:tcPr>
          <w:p>
            <w:pPr>
              <w:pStyle w:val="Normal"/>
              <w:widowControl w:val="false"/>
              <w:spacing w:before="0" w:after="0"/>
              <w:jc w:val="center"/>
              <w:rPr/>
            </w:pPr>
            <w:r>
              <w:rPr>
                <w:rFonts w:eastAsia="SimSun"/>
                <w:color w:themeColor="text1" w:val="000000"/>
                <w:sz w:val="22"/>
                <w:szCs w:val="22"/>
              </w:rPr>
              <w:t>50-60е гг.</w:t>
            </w:r>
          </w:p>
          <w:p>
            <w:pPr>
              <w:pStyle w:val="Normal"/>
              <w:widowControl w:val="false"/>
              <w:spacing w:before="0" w:after="0"/>
              <w:jc w:val="center"/>
              <w:rPr>
                <w:color w:themeColor="text1" w:val="000000"/>
                <w:sz w:val="22"/>
                <w:szCs w:val="22"/>
              </w:rPr>
            </w:pPr>
            <w:r>
              <w:rPr>
                <w:rFonts w:eastAsia="SimSun"/>
                <w:color w:themeColor="text1" w:val="000000"/>
                <w:sz w:val="22"/>
                <w:szCs w:val="22"/>
              </w:rPr>
              <w:t>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Первомайская ул.,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Первомайская ул., д.7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Административное здание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сер.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Первомайская ул., д.19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 главный дом; флигель; ограда с воротами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посл. треть XVIII - 1-я пол.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Первомайская ул., д.31, д.33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Сперанских-Реутовых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Плеханова ул., д.19/ Огарева ул., д.2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Плеханова ул., д.77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Подвойского ул., д.10а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Подвойского ул., д.15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Подвойского ул., д.16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Подвойского ул., д.18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Сухотиных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в., 2-я треть XIX в., 1856-1865 гг.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Пушкина ул., д.9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Золотаревых-Кологривовых: западные ворота; восточные ворота; жилой флигель; каретный сарай; колоннада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1805-1808 гг.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Пушкина ул., д.14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XVIII, кон. XIX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Пушкина ул., д.16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посл. четв. XIX - нач. ХХ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Рылеева ул., д.14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rHeight w:val="681"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Рылеева ул., д.58/ Достоевского ул., д.14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rHeight w:val="543"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Рылеева ул., д.60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3-я четв.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д.18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заводчиков Малаховых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1829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д.21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посл. треть</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д.39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д.41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Здание госпиталя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1783 г., кон. 1940-х - нач. 1950-х гг.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д.91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кожевенного завода: кожевенный цех; здание склада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Салтыкова-Щедрина ул., д.137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Купеческая усадьба: главный дом; флигель</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д.2; Баумана ул., д.39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w:t>
            </w:r>
          </w:p>
          <w:p>
            <w:pPr>
              <w:pStyle w:val="Normal"/>
              <w:widowControl w:val="false"/>
              <w:spacing w:before="0" w:after="0"/>
              <w:jc w:val="center"/>
              <w:rPr>
                <w:color w:themeColor="text1" w:val="000000"/>
                <w:sz w:val="22"/>
                <w:szCs w:val="22"/>
              </w:rPr>
            </w:pPr>
            <w:r>
              <w:rPr>
                <w:rFonts w:eastAsia="SimSun"/>
                <w:color w:themeColor="text1" w:val="000000"/>
                <w:sz w:val="22"/>
                <w:szCs w:val="22"/>
              </w:rPr>
              <w:t>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д.4а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д.13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Городская усадьба: главный дом; флигель</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 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д.15, д.15а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д.17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Смоленская ул., д.21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купца Теренина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 Разина ул., д.1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Старичков пер., д.4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Старичков пер., д.14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городская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Старообрядческий пер., д.3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Сиротского дома: флигель</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1834-1836 гг., сер. XIX в., арх. Н.Ф. Соколов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Старообрядческий пер., д.4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Старообрядческий пер.,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церкви Сошествия Святого Духа: церковь приходская, с трапезной; западный дом причта; восточный дом причта; ворота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1823 г.,</w:t>
            </w:r>
          </w:p>
          <w:p>
            <w:pPr>
              <w:pStyle w:val="Normal"/>
              <w:widowControl w:val="false"/>
              <w:spacing w:before="0" w:after="0"/>
              <w:jc w:val="center"/>
              <w:rPr>
                <w:color w:themeColor="text1" w:val="000000"/>
                <w:sz w:val="22"/>
                <w:szCs w:val="22"/>
              </w:rPr>
            </w:pPr>
            <w:r>
              <w:rPr>
                <w:rFonts w:eastAsia="SimSun"/>
                <w:color w:themeColor="text1" w:val="000000"/>
                <w:sz w:val="22"/>
                <w:szCs w:val="22"/>
              </w:rPr>
              <w:t>1820-е гг.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Старообрядческий пер., д.6, д.8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Щепетова-Самгина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Старообрядческий пер., д.7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Административное здание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Старый торг пл.,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усадьбы Рыжечкина: хозяйственная постройка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Старый торг пл., д.9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д.20</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д.24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д.51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д.96, корп.2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Тимченко (Демидовых): флигель; корпус служб; ограда с воротами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вт. четв.</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д.102/ Герцена ул., д.25</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служба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д.112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д.113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Малютинский приют: восточный флигель; западный флигель; баня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вт. четв. XIX в.-нач. ХХ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д.117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1506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(флигель городской усадьбы)</w:t>
            </w:r>
          </w:p>
        </w:tc>
        <w:tc>
          <w:tcPr>
            <w:tcW w:w="1809" w:type="dxa"/>
            <w:tcBorders/>
            <w:shd w:fill="auto" w:val="clear"/>
            <w:vAlign w:val="center"/>
          </w:tcPr>
          <w:p>
            <w:pPr>
              <w:pStyle w:val="Normal"/>
              <w:widowControl w:val="false"/>
              <w:spacing w:before="0" w:after="0"/>
              <w:jc w:val="center"/>
              <w:rPr/>
            </w:pPr>
            <w:r>
              <w:rPr>
                <w:rFonts w:eastAsia="SimSun"/>
                <w:color w:themeColor="text1" w:val="000000"/>
                <w:sz w:val="22"/>
                <w:szCs w:val="22"/>
              </w:rPr>
              <w:t>посл. четв.</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д.128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 (Угрюмовых)</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д.153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Суворова ул., д.154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с магазином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Театральная ул., д.1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Жилые дома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Театральная ул., д.35 / Дарвина ул., д.8; Дарвина ул., д.8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Доходные дома Власова с кинотеатром (Здание гостиницы «Крым»)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XIX в.-нач.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Театральная ул., д.36; Театральная ул. д.36/8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церкви Петра и Павла: здание богадельни</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д.1 (Пятницкое кладбище)</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Работный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д.7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Тульская ул., д.13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Дом купчихи Чешихиной</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посл. треть</w:t>
            </w:r>
          </w:p>
          <w:p>
            <w:pPr>
              <w:pStyle w:val="Normal"/>
              <w:widowControl w:val="false"/>
              <w:spacing w:before="0" w:after="0"/>
              <w:jc w:val="center"/>
              <w:rPr>
                <w:color w:themeColor="text1" w:val="000000"/>
                <w:sz w:val="22"/>
                <w:szCs w:val="22"/>
              </w:rPr>
            </w:pPr>
            <w:r>
              <w:rPr>
                <w:rFonts w:eastAsia="SimSun"/>
                <w:color w:themeColor="text1" w:val="000000"/>
                <w:sz w:val="22"/>
                <w:szCs w:val="22"/>
              </w:rPr>
              <w:t>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Тульская ул., д.47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Купеческий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 нач. XX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Тульский пер., д.42</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Тульский пер., д.49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Усадьба Яновских: хозяйственная постройка; парк</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3-я четв.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Учхоз пос., д.8б</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Фридриха Энгельса ул., д.14</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2-я пол.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Циолковского, ул., д.77</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1-я четв.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Чебышева ул., д.3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Дома Трудолюбия: Дом Трудолюбия; Церковь Равноапостольного кн. Владимира; ворота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1840-1900-е гг.: 1840г.; 1900г. /Арх. Е.И.Григорьев, инж. А.М. Кулаевский</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Чебышева ул., д.6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Лаврентьевского монастыря: ограда с остатками угловых башен</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XVI-XVIII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Широкая ул., д.49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3-с</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«на поляне»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1777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Доможирово</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Рождества Богородицы</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1760</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Ждамирово</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Вознесенская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Каменка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Рождества Христова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1859 г.</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Рождественно</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Ансамбль бывшего Нижне-Вырковского Молотовского завода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3 км шоссе Калуга-Перемышль</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ХХ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ст. Тихонова Пустынь</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2-с</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Церковь Никольская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нач. XVIII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Чижовка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454"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Жилой дом»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 XIX 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ул. Пушкина, д. 18.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03.08.2016</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111</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 Чижовка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н.э., XI-XIII вв.</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Калужская область, городской округ город Калуга</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МКиТ РФ</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43 от 13.01.2022</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9</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Амедова 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8</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Беркута А.Н.</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Гаврилова М.М.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Громова Н.М.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Звигинцева Н.М.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Лоухина И.С.</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Ляха В.А.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Макеева В.С.</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Маслова И.Е.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Моженко А.Я.</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Петухова И.Е.</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Питченко</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11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Полковника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6</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Салтыкова Н.М.</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Слесарчука В.В.</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Теплова В.С.</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Индивидуальная могила Хайдукова П.А.</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3</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Индивидуальные могилы</w:t>
            </w:r>
          </w:p>
        </w:tc>
        <w:tc>
          <w:tcPr>
            <w:tcW w:w="1809"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Труда ул., гор. кладбище, участок 11</w:t>
            </w:r>
          </w:p>
        </w:tc>
        <w:tc>
          <w:tcPr>
            <w:tcW w:w="203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Индивидуальные могилы</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Труда ул., гор. кладбище, участок 11</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759"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Индивидуальная могила</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Бор городской, на террит. дома инвалидов</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pPr>
            <w:r>
              <w:rPr>
                <w:rFonts w:eastAsia="SimSun"/>
                <w:color w:themeColor="text1" w:val="000000"/>
                <w:sz w:val="22"/>
                <w:szCs w:val="22"/>
              </w:rPr>
              <w:t>в/ч 42702</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pPr>
            <w:r>
              <w:rPr>
                <w:rFonts w:eastAsia="SimSun"/>
                <w:color w:themeColor="text1" w:val="000000"/>
                <w:sz w:val="22"/>
                <w:szCs w:val="22"/>
              </w:rPr>
              <w:t>ж/д «Калуга-Москва» 173км</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Братская могила</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д. Вырка</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Братская могила</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д. Ждамирово</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Муратовский щебзавод</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Братские могилы</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пос. Новый</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Индивидуальная могила</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д. Некрасово</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Индивидуальная могила</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pPr>
            <w:r>
              <w:rPr>
                <w:rFonts w:eastAsia="SimSun"/>
                <w:color w:themeColor="text1" w:val="000000"/>
                <w:sz w:val="22"/>
                <w:szCs w:val="22"/>
              </w:rPr>
              <w:t>п. Турынино</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567"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color w:themeColor="text1" w:val="000000"/>
                <w:sz w:val="22"/>
                <w:szCs w:val="22"/>
              </w:rPr>
            </w:pPr>
            <w:r>
              <w:rPr>
                <w:color w:themeColor="text1" w:val="000000"/>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themeColor="text1" w:val="000000"/>
                <w:sz w:val="22"/>
                <w:szCs w:val="22"/>
              </w:rPr>
              <w:t>Братская могила</w:t>
            </w:r>
          </w:p>
        </w:tc>
        <w:tc>
          <w:tcPr>
            <w:tcW w:w="1809"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w:t>
            </w:r>
          </w:p>
        </w:tc>
        <w:tc>
          <w:tcPr>
            <w:tcW w:w="2098"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д. Шопино</w:t>
            </w:r>
          </w:p>
        </w:tc>
        <w:tc>
          <w:tcPr>
            <w:tcW w:w="2032" w:type="dxa"/>
            <w:tcBorders/>
            <w:shd w:fill="auto" w:val="clear"/>
            <w:vAlign w:val="center"/>
          </w:tcPr>
          <w:p>
            <w:pPr>
              <w:pStyle w:val="Normal"/>
              <w:widowControl w:val="false"/>
              <w:spacing w:before="0" w:after="0"/>
              <w:jc w:val="center"/>
              <w:rPr>
                <w:sz w:val="22"/>
                <w:szCs w:val="22"/>
              </w:rPr>
            </w:pPr>
            <w:r>
              <w:rPr>
                <w:rFonts w:eastAsia="SimSun"/>
                <w:color w:themeColor="text1" w:val="000000"/>
                <w:sz w:val="22"/>
                <w:szCs w:val="22"/>
              </w:rPr>
              <w:t xml:space="preserve">№ </w:t>
            </w:r>
            <w:r>
              <w:rPr>
                <w:rFonts w:eastAsia="SimSun"/>
                <w:color w:themeColor="text1" w:val="000000"/>
                <w:sz w:val="22"/>
                <w:szCs w:val="22"/>
              </w:rPr>
              <w:t>76</w:t>
            </w:r>
          </w:p>
        </w:tc>
      </w:tr>
      <w:tr>
        <w:trPr>
          <w:trHeight w:val="759"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sz w:val="22"/>
                <w:szCs w:val="22"/>
              </w:rPr>
            </w:pPr>
            <w:r>
              <w:rPr>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sz w:val="22"/>
                <w:szCs w:val="22"/>
              </w:rPr>
              <w:t>«Флигель ансамбля зданий консистории»</w:t>
            </w:r>
          </w:p>
        </w:tc>
        <w:tc>
          <w:tcPr>
            <w:tcW w:w="1809" w:type="dxa"/>
            <w:tcBorders/>
            <w:shd w:fill="auto" w:val="clear"/>
            <w:vAlign w:val="center"/>
          </w:tcPr>
          <w:p>
            <w:pPr>
              <w:pStyle w:val="Normal"/>
              <w:widowControl w:val="false"/>
              <w:spacing w:before="0" w:after="0"/>
              <w:jc w:val="center"/>
              <w:rPr>
                <w:sz w:val="22"/>
                <w:szCs w:val="22"/>
              </w:rPr>
            </w:pPr>
            <w:r>
              <w:rPr>
                <w:rFonts w:eastAsia="SimSun"/>
                <w:sz w:val="22"/>
                <w:szCs w:val="22"/>
              </w:rPr>
              <w:t>1850-е –</w:t>
            </w:r>
          </w:p>
          <w:p>
            <w:pPr>
              <w:pStyle w:val="Normal"/>
              <w:widowControl w:val="false"/>
              <w:spacing w:before="0" w:after="0"/>
              <w:jc w:val="center"/>
              <w:rPr>
                <w:sz w:val="22"/>
                <w:szCs w:val="22"/>
              </w:rPr>
            </w:pPr>
            <w:r>
              <w:rPr>
                <w:rFonts w:eastAsia="SimSun"/>
                <w:sz w:val="22"/>
                <w:szCs w:val="22"/>
              </w:rPr>
              <w:t>1860-е гг.</w:t>
            </w:r>
          </w:p>
          <w:p>
            <w:pPr>
              <w:pStyle w:val="Normal"/>
              <w:widowControl w:val="false"/>
              <w:spacing w:before="0" w:after="0"/>
              <w:jc w:val="center"/>
              <w:rPr>
                <w:sz w:val="22"/>
                <w:szCs w:val="22"/>
              </w:rPr>
            </w:pPr>
            <w:r>
              <w:rPr>
                <w:sz w:val="22"/>
                <w:szCs w:val="22"/>
              </w:rPr>
            </w:r>
          </w:p>
        </w:tc>
        <w:tc>
          <w:tcPr>
            <w:tcW w:w="2098" w:type="dxa"/>
            <w:tcBorders/>
            <w:shd w:fill="auto" w:val="clear"/>
            <w:vAlign w:val="center"/>
          </w:tcPr>
          <w:p>
            <w:pPr>
              <w:pStyle w:val="Normal"/>
              <w:widowControl w:val="false"/>
              <w:spacing w:before="0" w:after="0"/>
              <w:jc w:val="center"/>
              <w:rPr>
                <w:sz w:val="22"/>
                <w:szCs w:val="22"/>
              </w:rPr>
            </w:pPr>
            <w:r>
              <w:rPr>
                <w:rFonts w:eastAsia="SimSun"/>
                <w:sz w:val="22"/>
                <w:szCs w:val="22"/>
              </w:rPr>
              <w:t>Калужская область, г. Калуга,</w:t>
            </w:r>
          </w:p>
          <w:p>
            <w:pPr>
              <w:pStyle w:val="Normal"/>
              <w:widowControl w:val="false"/>
              <w:spacing w:before="0" w:after="0"/>
              <w:jc w:val="center"/>
              <w:rPr>
                <w:sz w:val="22"/>
                <w:szCs w:val="22"/>
              </w:rPr>
            </w:pPr>
            <w:r>
              <w:rPr>
                <w:rFonts w:eastAsia="SimSun"/>
                <w:sz w:val="22"/>
                <w:szCs w:val="22"/>
              </w:rPr>
              <w:t>ул. Ленина, д. 105</w:t>
            </w:r>
          </w:p>
        </w:tc>
        <w:tc>
          <w:tcPr>
            <w:tcW w:w="2032" w:type="dxa"/>
            <w:tcBorders/>
            <w:shd w:fill="auto" w:val="clear"/>
            <w:vAlign w:val="center"/>
          </w:tcPr>
          <w:p>
            <w:pPr>
              <w:pStyle w:val="Normal"/>
              <w:widowControl w:val="false"/>
              <w:spacing w:before="0" w:after="0"/>
              <w:jc w:val="center"/>
              <w:rPr>
                <w:sz w:val="22"/>
                <w:szCs w:val="22"/>
              </w:rPr>
            </w:pPr>
            <w:r>
              <w:rPr>
                <w:rFonts w:eastAsia="SimSun"/>
                <w:sz w:val="22"/>
                <w:szCs w:val="22"/>
              </w:rPr>
              <w:t>Приказ управления от 02.05.2023 № 42</w:t>
            </w:r>
          </w:p>
        </w:tc>
      </w:tr>
      <w:tr>
        <w:trPr>
          <w:trHeight w:val="759"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sz w:val="22"/>
                <w:szCs w:val="22"/>
              </w:rPr>
            </w:pPr>
            <w:r>
              <w:rPr>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val="000000"/>
                <w:sz w:val="22"/>
                <w:szCs w:val="22"/>
                <w:shd w:fill="FFFFFF" w:val="clear"/>
              </w:rPr>
              <w:t>«Водопроводно-насосная станция «Железнодорожная»</w:t>
            </w:r>
          </w:p>
        </w:tc>
        <w:tc>
          <w:tcPr>
            <w:tcW w:w="1809"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кон. XIX в</w:t>
            </w:r>
          </w:p>
        </w:tc>
        <w:tc>
          <w:tcPr>
            <w:tcW w:w="2098"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ул. Яченская, стр. 1</w:t>
            </w:r>
          </w:p>
        </w:tc>
        <w:tc>
          <w:tcPr>
            <w:tcW w:w="2032"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Приказ управления от 25.07.2025 № 13</w:t>
            </w:r>
          </w:p>
        </w:tc>
      </w:tr>
      <w:tr>
        <w:trPr>
          <w:trHeight w:val="759"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sz w:val="22"/>
                <w:szCs w:val="22"/>
              </w:rPr>
            </w:pPr>
            <w:r>
              <w:rPr>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val="000000"/>
                <w:sz w:val="22"/>
                <w:szCs w:val="22"/>
                <w:shd w:fill="FFFFFF" w:val="clear"/>
              </w:rPr>
              <w:t>«Доходный дом Шмаковых»</w:t>
            </w:r>
          </w:p>
        </w:tc>
        <w:tc>
          <w:tcPr>
            <w:tcW w:w="1809"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сер. XIX в</w:t>
            </w:r>
          </w:p>
        </w:tc>
        <w:tc>
          <w:tcPr>
            <w:tcW w:w="2098" w:type="dxa"/>
            <w:tcBorders/>
            <w:shd w:fill="auto" w:val="clear"/>
            <w:vAlign w:val="center"/>
          </w:tcPr>
          <w:p>
            <w:pPr>
              <w:pStyle w:val="Normal"/>
              <w:widowControl w:val="false"/>
              <w:spacing w:before="0" w:after="0"/>
              <w:jc w:val="center"/>
              <w:rPr>
                <w:sz w:val="22"/>
                <w:szCs w:val="22"/>
              </w:rPr>
            </w:pPr>
            <w:r>
              <w:rPr>
                <w:rFonts w:eastAsia="SimSun"/>
                <w:sz w:val="22"/>
                <w:szCs w:val="22"/>
                <w:lang w:eastAsia="ru-RU"/>
              </w:rPr>
              <w:t>ул. Декабристов,</w:t>
            </w:r>
          </w:p>
          <w:p>
            <w:pPr>
              <w:pStyle w:val="Normal"/>
              <w:widowControl w:val="false"/>
              <w:spacing w:before="0" w:after="0"/>
              <w:jc w:val="center"/>
              <w:rPr>
                <w:sz w:val="22"/>
                <w:szCs w:val="22"/>
              </w:rPr>
            </w:pPr>
            <w:r>
              <w:rPr>
                <w:rFonts w:eastAsia="SimSun"/>
                <w:sz w:val="22"/>
                <w:szCs w:val="22"/>
                <w:lang w:eastAsia="ru-RU"/>
              </w:rPr>
              <w:t>д. 18</w:t>
            </w:r>
          </w:p>
        </w:tc>
        <w:tc>
          <w:tcPr>
            <w:tcW w:w="2032"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Приказ управления от 22.12.2025 № 242</w:t>
            </w:r>
          </w:p>
        </w:tc>
      </w:tr>
      <w:tr>
        <w:trPr>
          <w:trHeight w:val="759"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sz w:val="22"/>
                <w:szCs w:val="22"/>
              </w:rPr>
            </w:pPr>
            <w:r>
              <w:rPr>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val="000000"/>
                <w:sz w:val="22"/>
                <w:szCs w:val="22"/>
                <w:shd w:fill="FFFFFF" w:val="clear"/>
              </w:rPr>
              <w:t>«Дом жилой»</w:t>
            </w:r>
          </w:p>
        </w:tc>
        <w:tc>
          <w:tcPr>
            <w:tcW w:w="1809"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XIX в</w:t>
            </w:r>
          </w:p>
        </w:tc>
        <w:tc>
          <w:tcPr>
            <w:tcW w:w="2098" w:type="dxa"/>
            <w:tcBorders/>
            <w:shd w:fill="auto" w:val="clear"/>
            <w:vAlign w:val="center"/>
          </w:tcPr>
          <w:p>
            <w:pPr>
              <w:pStyle w:val="Normal"/>
              <w:widowControl w:val="false"/>
              <w:spacing w:before="0" w:after="0"/>
              <w:jc w:val="center"/>
              <w:rPr>
                <w:sz w:val="22"/>
                <w:szCs w:val="22"/>
              </w:rPr>
            </w:pPr>
            <w:r>
              <w:rPr>
                <w:rFonts w:eastAsia="SimSun"/>
                <w:sz w:val="22"/>
                <w:szCs w:val="22"/>
                <w:lang w:eastAsia="ru-RU"/>
              </w:rPr>
              <w:t>ул. Чебышева,</w:t>
            </w:r>
          </w:p>
          <w:p>
            <w:pPr>
              <w:pStyle w:val="Normal"/>
              <w:widowControl w:val="false"/>
              <w:spacing w:before="0" w:after="0"/>
              <w:jc w:val="center"/>
              <w:rPr>
                <w:sz w:val="22"/>
                <w:szCs w:val="22"/>
              </w:rPr>
            </w:pPr>
            <w:r>
              <w:rPr>
                <w:rFonts w:eastAsia="SimSun"/>
                <w:sz w:val="22"/>
                <w:szCs w:val="22"/>
                <w:lang w:eastAsia="ru-RU"/>
              </w:rPr>
              <w:t>д. 12/15</w:t>
            </w:r>
          </w:p>
        </w:tc>
        <w:tc>
          <w:tcPr>
            <w:tcW w:w="2032"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приказ управления от 22.12.2025</w:t>
            </w:r>
          </w:p>
          <w:p>
            <w:pPr>
              <w:pStyle w:val="Normal"/>
              <w:widowControl w:val="false"/>
              <w:spacing w:before="0" w:after="0"/>
              <w:jc w:val="center"/>
              <w:rPr>
                <w:sz w:val="22"/>
                <w:szCs w:val="22"/>
              </w:rPr>
            </w:pPr>
            <w:r>
              <w:rPr>
                <w:rFonts w:eastAsia="SimSun"/>
                <w:color w:val="000000"/>
                <w:sz w:val="22"/>
                <w:szCs w:val="22"/>
                <w:shd w:fill="FFFFFF" w:val="clear"/>
              </w:rPr>
              <w:t xml:space="preserve">№ </w:t>
            </w:r>
            <w:r>
              <w:rPr>
                <w:rFonts w:eastAsia="SimSun"/>
                <w:color w:val="000000"/>
                <w:sz w:val="22"/>
                <w:szCs w:val="22"/>
                <w:shd w:fill="FFFFFF" w:val="clear"/>
              </w:rPr>
              <w:t>243</w:t>
            </w:r>
          </w:p>
        </w:tc>
      </w:tr>
      <w:tr>
        <w:trPr>
          <w:trHeight w:val="759" w:hRule="atLeast"/>
        </w:trPr>
        <w:tc>
          <w:tcPr>
            <w:tcW w:w="959" w:type="dxa"/>
            <w:tcBorders/>
            <w:shd w:fill="auto" w:val="clear"/>
            <w:vAlign w:val="center"/>
          </w:tcPr>
          <w:p>
            <w:pPr>
              <w:pStyle w:val="ListParagraph"/>
              <w:widowControl w:val="false"/>
              <w:numPr>
                <w:ilvl w:val="0"/>
                <w:numId w:val="6"/>
              </w:numPr>
              <w:suppressAutoHyphens w:val="false"/>
              <w:spacing w:before="0" w:after="0"/>
              <w:contextualSpacing/>
              <w:jc w:val="center"/>
              <w:rPr>
                <w:sz w:val="22"/>
                <w:szCs w:val="22"/>
              </w:rPr>
            </w:pPr>
            <w:r>
              <w:rPr>
                <w:sz w:val="22"/>
                <w:szCs w:val="22"/>
              </w:rPr>
            </w:r>
          </w:p>
        </w:tc>
        <w:tc>
          <w:tcPr>
            <w:tcW w:w="2839" w:type="dxa"/>
            <w:tcBorders/>
            <w:shd w:fill="auto" w:val="clear"/>
            <w:vAlign w:val="center"/>
          </w:tcPr>
          <w:p>
            <w:pPr>
              <w:pStyle w:val="Normal"/>
              <w:widowControl w:val="false"/>
              <w:spacing w:before="0" w:after="0"/>
              <w:rPr>
                <w:sz w:val="22"/>
                <w:szCs w:val="22"/>
              </w:rPr>
            </w:pPr>
            <w:r>
              <w:rPr>
                <w:rFonts w:eastAsia="SimSun"/>
                <w:color w:val="000000"/>
                <w:sz w:val="22"/>
                <w:szCs w:val="22"/>
                <w:shd w:fill="FFFFFF" w:val="clear"/>
              </w:rPr>
              <w:t>«Дом жилой с лавкой купца Билибина»</w:t>
            </w:r>
          </w:p>
        </w:tc>
        <w:tc>
          <w:tcPr>
            <w:tcW w:w="1809"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XIX в.</w:t>
            </w:r>
          </w:p>
        </w:tc>
        <w:tc>
          <w:tcPr>
            <w:tcW w:w="2098" w:type="dxa"/>
            <w:tcBorders/>
            <w:shd w:fill="auto" w:val="clear"/>
            <w:vAlign w:val="center"/>
          </w:tcPr>
          <w:p>
            <w:pPr>
              <w:pStyle w:val="Normal"/>
              <w:widowControl w:val="false"/>
              <w:spacing w:before="0" w:after="0"/>
              <w:jc w:val="center"/>
              <w:rPr/>
            </w:pPr>
            <w:r>
              <w:rPr>
                <w:rFonts w:eastAsia="SimSun"/>
                <w:color w:val="000000"/>
                <w:sz w:val="22"/>
                <w:szCs w:val="22"/>
                <w:shd w:fill="FFFFFF" w:val="clear"/>
              </w:rPr>
              <w:t>ул. Плеханова,</w:t>
            </w:r>
          </w:p>
          <w:p>
            <w:pPr>
              <w:pStyle w:val="Normal"/>
              <w:widowControl w:val="false"/>
              <w:spacing w:before="0" w:after="0"/>
              <w:jc w:val="center"/>
              <w:rPr>
                <w:sz w:val="22"/>
                <w:szCs w:val="22"/>
              </w:rPr>
            </w:pPr>
            <w:r>
              <w:rPr>
                <w:rFonts w:eastAsia="SimSun"/>
                <w:color w:val="000000"/>
                <w:sz w:val="22"/>
                <w:szCs w:val="22"/>
                <w:shd w:fill="FFFFFF" w:val="clear"/>
              </w:rPr>
              <w:t>д. 42</w:t>
            </w:r>
          </w:p>
        </w:tc>
        <w:tc>
          <w:tcPr>
            <w:tcW w:w="2032" w:type="dxa"/>
            <w:tcBorders/>
            <w:shd w:fill="auto" w:val="clear"/>
            <w:vAlign w:val="center"/>
          </w:tcPr>
          <w:p>
            <w:pPr>
              <w:pStyle w:val="Normal"/>
              <w:widowControl w:val="false"/>
              <w:spacing w:before="0" w:after="0"/>
              <w:jc w:val="center"/>
              <w:rPr>
                <w:sz w:val="22"/>
                <w:szCs w:val="22"/>
              </w:rPr>
            </w:pPr>
            <w:r>
              <w:rPr>
                <w:rFonts w:eastAsia="SimSun"/>
                <w:color w:val="000000"/>
                <w:sz w:val="22"/>
                <w:szCs w:val="22"/>
                <w:shd w:fill="FFFFFF" w:val="clear"/>
              </w:rPr>
              <w:t>приказ управления от 22.12.2025</w:t>
            </w:r>
          </w:p>
          <w:p>
            <w:pPr>
              <w:pStyle w:val="Normal"/>
              <w:widowControl w:val="false"/>
              <w:spacing w:before="0" w:after="0"/>
              <w:jc w:val="center"/>
              <w:rPr>
                <w:sz w:val="22"/>
                <w:szCs w:val="22"/>
              </w:rPr>
            </w:pPr>
            <w:r>
              <w:rPr>
                <w:rFonts w:eastAsia="SimSun"/>
                <w:color w:val="000000"/>
                <w:sz w:val="22"/>
                <w:szCs w:val="22"/>
                <w:shd w:fill="FFFFFF" w:val="clear"/>
              </w:rPr>
              <w:t xml:space="preserve">№ </w:t>
            </w:r>
            <w:r>
              <w:rPr>
                <w:rFonts w:eastAsia="SimSun"/>
                <w:color w:val="000000"/>
                <w:sz w:val="22"/>
                <w:szCs w:val="22"/>
                <w:shd w:fill="FFFFFF" w:val="clear"/>
              </w:rPr>
              <w:t>244</w:t>
            </w:r>
          </w:p>
        </w:tc>
      </w:tr>
    </w:tbl>
    <w:p>
      <w:pPr>
        <w:sectPr>
          <w:headerReference w:type="default" r:id="rId101"/>
          <w:headerReference w:type="first" r:id="rId102"/>
          <w:footerReference w:type="default" r:id="rId103"/>
          <w:footerReference w:type="first" r:id="rId104"/>
          <w:footnotePr>
            <w:numFmt w:val="decimal"/>
          </w:footnotePr>
          <w:type w:val="nextPage"/>
          <w:pgSz w:w="11906" w:h="16838"/>
          <w:pgMar w:left="1418" w:right="1134" w:gutter="0" w:header="1134" w:top="1695" w:footer="0" w:bottom="709"/>
          <w:pgNumType w:fmt="decimal"/>
          <w:formProt w:val="false"/>
          <w:textDirection w:val="lrTb"/>
          <w:docGrid w:type="default" w:linePitch="360" w:charSpace="0"/>
        </w:sectPr>
      </w:pPr>
    </w:p>
    <w:p>
      <w:pPr>
        <w:pStyle w:val="Style78"/>
        <w:jc w:val="center"/>
        <w:rPr>
          <w:color w:themeColor="text1" w:val="000000"/>
        </w:rPr>
      </w:pPr>
      <w:r>
        <w:rPr>
          <w:color w:themeColor="text1" w:val="000000"/>
        </w:rPr>
        <w:t>Перечень объекты археологического наследия,</w:t>
      </w:r>
    </w:p>
    <w:p>
      <w:pPr>
        <w:pStyle w:val="Style78"/>
        <w:jc w:val="center"/>
        <w:rPr>
          <w:color w:themeColor="text1" w:val="000000"/>
        </w:rPr>
      </w:pPr>
      <w:r>
        <w:rPr>
          <w:color w:themeColor="text1" w:val="000000"/>
        </w:rPr>
        <w:t>расположенных на территории городского округа</w:t>
      </w:r>
    </w:p>
    <w:tbl>
      <w:tblPr>
        <w:tblStyle w:val="afffffffffffc"/>
        <w:tblW w:w="972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9"/>
        <w:gridCol w:w="2047"/>
        <w:gridCol w:w="1411"/>
        <w:gridCol w:w="2041"/>
        <w:gridCol w:w="3272"/>
      </w:tblGrid>
      <w:tr>
        <w:trPr>
          <w:tblHeader w:val="true"/>
          <w:cantSplit w:val="true"/>
        </w:trPr>
        <w:tc>
          <w:tcPr>
            <w:tcW w:w="949"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lang w:val="en-US"/>
              </w:rPr>
              <w:t xml:space="preserve">№ </w:t>
            </w:r>
            <w:r>
              <w:rPr>
                <w:rFonts w:eastAsia="SimSun"/>
                <w:b/>
                <w:color w:themeColor="text1" w:val="000000"/>
                <w:sz w:val="22"/>
                <w:szCs w:val="22"/>
                <w:lang w:val="en-US"/>
              </w:rPr>
              <w:t>п/п</w:t>
            </w:r>
          </w:p>
        </w:tc>
        <w:tc>
          <w:tcPr>
            <w:tcW w:w="204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lang w:val="en-US"/>
              </w:rPr>
            </w:pPr>
            <w:r>
              <w:rPr>
                <w:rFonts w:eastAsia="SimSun"/>
                <w:b/>
                <w:color w:themeColor="text1" w:val="000000"/>
                <w:sz w:val="22"/>
                <w:szCs w:val="22"/>
              </w:rPr>
              <w:t>Наименование ОКН</w:t>
            </w:r>
          </w:p>
        </w:tc>
        <w:tc>
          <w:tcPr>
            <w:tcW w:w="1411"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Датировка автор</w:t>
            </w:r>
          </w:p>
        </w:tc>
        <w:tc>
          <w:tcPr>
            <w:tcW w:w="2041"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Местонахождение объекта культурного наследия</w:t>
            </w:r>
          </w:p>
        </w:tc>
        <w:tc>
          <w:tcPr>
            <w:tcW w:w="3272"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Постановка на охрану</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Анненки</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VIII-VII тыс. 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Анненки</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Анненки</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Андреевское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Боровая (Воровая)</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Желыбино,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сер I тыс. н.э., XII-</w:t>
            </w:r>
          </w:p>
          <w:p>
            <w:pPr>
              <w:pStyle w:val="Normal"/>
              <w:widowControl w:val="false"/>
              <w:spacing w:before="0" w:after="0"/>
              <w:jc w:val="center"/>
              <w:rPr>
                <w:color w:themeColor="text1" w:val="000000"/>
                <w:sz w:val="22"/>
                <w:szCs w:val="22"/>
              </w:rPr>
            </w:pPr>
            <w:r>
              <w:rPr>
                <w:rFonts w:eastAsia="SimSun"/>
                <w:color w:themeColor="text1" w:val="000000"/>
                <w:sz w:val="22"/>
                <w:szCs w:val="22"/>
              </w:rPr>
              <w:t>XV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Ждамирово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Квань</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IV-III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pPr>
            <w:r>
              <w:rPr>
                <w:rFonts w:eastAsia="SimSun"/>
                <w:color w:themeColor="text1" w:val="000000"/>
                <w:sz w:val="22"/>
                <w:szCs w:val="22"/>
              </w:rPr>
              <w:t>г. Калуга, ул. Зеленый крупец</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Кремнеобрабаты-вающая мастерская</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color w:themeColor="text1" w:val="000000"/>
                <w:sz w:val="22"/>
                <w:szCs w:val="22"/>
              </w:rPr>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 ул. Революции</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 «Калужское»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 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На лев. берегу р. Оки</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Курганный могильник</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Некрасово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Некрасово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кон.VI тыс. 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Некрасово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2 четв.</w:t>
            </w:r>
          </w:p>
          <w:p>
            <w:pPr>
              <w:pStyle w:val="Normal"/>
              <w:widowControl w:val="false"/>
              <w:spacing w:before="0" w:after="0"/>
              <w:jc w:val="center"/>
              <w:rPr>
                <w:color w:themeColor="text1" w:val="000000"/>
                <w:sz w:val="22"/>
                <w:szCs w:val="22"/>
              </w:rPr>
            </w:pPr>
            <w:r>
              <w:rPr>
                <w:rFonts w:eastAsia="SimSun"/>
                <w:color w:themeColor="text1" w:val="000000"/>
                <w:sz w:val="22"/>
                <w:szCs w:val="22"/>
              </w:rPr>
              <w:t>I тыс.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Николо-Лапиносово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Курганный могильник</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Николо-Лапиносово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Пучково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Кремнеобрабатывающая мастерская</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VII-VI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Пучково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 тыс.</w:t>
            </w:r>
          </w:p>
          <w:p>
            <w:pPr>
              <w:pStyle w:val="Normal"/>
              <w:widowControl w:val="false"/>
              <w:spacing w:before="0" w:after="0"/>
              <w:jc w:val="center"/>
              <w:rPr>
                <w:color w:themeColor="text1" w:val="000000"/>
                <w:sz w:val="22"/>
                <w:szCs w:val="22"/>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Ромодановские дворики</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V-IV тыс.</w:t>
            </w:r>
          </w:p>
          <w:p>
            <w:pPr>
              <w:pStyle w:val="Normal"/>
              <w:widowControl w:val="false"/>
              <w:spacing w:before="0" w:after="0"/>
              <w:jc w:val="center"/>
              <w:rPr/>
            </w:pPr>
            <w:r>
              <w:rPr>
                <w:rFonts w:eastAsia="SimSun"/>
                <w:color w:themeColor="text1" w:val="000000"/>
                <w:sz w:val="22"/>
                <w:szCs w:val="22"/>
              </w:rPr>
              <w:t>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Сивково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XIV-XVI вв.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Спас</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XIII-XV вв.</w:t>
            </w:r>
          </w:p>
          <w:p>
            <w:pPr>
              <w:pStyle w:val="Normal"/>
              <w:widowControl w:val="false"/>
              <w:spacing w:before="0" w:after="0"/>
              <w:jc w:val="center"/>
              <w:rPr>
                <w:color w:themeColor="text1" w:val="000000"/>
                <w:sz w:val="22"/>
                <w:szCs w:val="22"/>
              </w:rPr>
            </w:pPr>
            <w:r>
              <w:rPr>
                <w:rFonts w:eastAsia="SimSun"/>
                <w:color w:themeColor="text1" w:val="000000"/>
                <w:sz w:val="22"/>
                <w:szCs w:val="22"/>
              </w:rPr>
              <w:t>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Спас</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селище</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мезолит, неолит,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 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 Турынино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XIV-XVI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пос. Турынино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 1 четв. I тыс. н.э.,</w:t>
            </w:r>
          </w:p>
          <w:p>
            <w:pPr>
              <w:pStyle w:val="Normal"/>
              <w:widowControl w:val="false"/>
              <w:spacing w:before="0" w:after="0"/>
              <w:jc w:val="center"/>
              <w:rPr>
                <w:color w:themeColor="text1" w:val="000000"/>
                <w:sz w:val="22"/>
                <w:szCs w:val="22"/>
              </w:rPr>
            </w:pPr>
            <w:r>
              <w:rPr>
                <w:rFonts w:eastAsia="SimSun"/>
                <w:color w:themeColor="text1" w:val="000000"/>
                <w:sz w:val="22"/>
                <w:szCs w:val="22"/>
              </w:rPr>
              <w:t>XI-XIV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Росва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 1 четв. I тыс. н.э.,</w:t>
            </w:r>
          </w:p>
          <w:p>
            <w:pPr>
              <w:pStyle w:val="Normal"/>
              <w:widowControl w:val="false"/>
              <w:spacing w:before="0" w:after="0"/>
              <w:jc w:val="center"/>
              <w:rPr>
                <w:color w:themeColor="text1" w:val="000000"/>
                <w:sz w:val="22"/>
                <w:szCs w:val="22"/>
              </w:rPr>
            </w:pPr>
            <w:r>
              <w:rPr>
                <w:rFonts w:eastAsia="SimSun"/>
                <w:color w:themeColor="text1" w:val="000000"/>
                <w:sz w:val="22"/>
                <w:szCs w:val="22"/>
              </w:rPr>
              <w:t>XIII-XIV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Росва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XIV-XV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Росва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XIV-XV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Росва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2 пол. I тыс.</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Росва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 и 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VI-VII вв.,</w:t>
            </w:r>
          </w:p>
          <w:p>
            <w:pPr>
              <w:pStyle w:val="Normal"/>
              <w:widowControl w:val="false"/>
              <w:spacing w:before="0" w:after="0"/>
              <w:jc w:val="center"/>
              <w:rPr>
                <w:color w:themeColor="text1" w:val="000000"/>
                <w:sz w:val="22"/>
                <w:szCs w:val="22"/>
              </w:rPr>
            </w:pPr>
            <w:r>
              <w:rPr>
                <w:rFonts w:eastAsia="SimSun"/>
                <w:color w:themeColor="text1" w:val="000000"/>
                <w:sz w:val="22"/>
                <w:szCs w:val="22"/>
              </w:rPr>
              <w:t>XI-XIV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Спас на Угре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 пол. I тыс. до н.э.</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Уварово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2 четв. </w:t>
            </w:r>
            <w:r>
              <w:rPr>
                <w:rFonts w:eastAsia="SimSun"/>
                <w:color w:themeColor="text1" w:val="000000"/>
                <w:sz w:val="22"/>
                <w:szCs w:val="22"/>
                <w:lang w:val="en-US"/>
              </w:rPr>
              <w:t>I</w:t>
            </w:r>
            <w:r>
              <w:rPr>
                <w:rFonts w:eastAsia="SimSun"/>
                <w:color w:themeColor="text1" w:val="000000"/>
                <w:sz w:val="22"/>
                <w:szCs w:val="22"/>
              </w:rPr>
              <w:t xml:space="preserve"> тыс. н.э., </w:t>
            </w:r>
            <w:r>
              <w:rPr>
                <w:rFonts w:eastAsia="SimSun"/>
                <w:color w:themeColor="text1" w:val="000000"/>
                <w:sz w:val="22"/>
                <w:szCs w:val="22"/>
                <w:lang w:val="en-US"/>
              </w:rPr>
              <w:t>XIII</w:t>
            </w:r>
            <w:r>
              <w:rPr>
                <w:rFonts w:eastAsia="SimSun"/>
                <w:color w:themeColor="text1" w:val="000000"/>
                <w:sz w:val="22"/>
                <w:szCs w:val="22"/>
              </w:rPr>
              <w:t>-</w:t>
            </w:r>
          </w:p>
          <w:p>
            <w:pPr>
              <w:pStyle w:val="Normal"/>
              <w:widowControl w:val="false"/>
              <w:spacing w:before="0" w:after="0"/>
              <w:jc w:val="center"/>
              <w:rPr>
                <w:color w:themeColor="text1" w:val="000000"/>
                <w:sz w:val="22"/>
                <w:szCs w:val="22"/>
                <w:lang w:val="en-US"/>
              </w:rPr>
            </w:pPr>
            <w:r>
              <w:rPr>
                <w:rFonts w:eastAsia="SimSun"/>
                <w:color w:themeColor="text1" w:val="000000"/>
                <w:sz w:val="22"/>
                <w:szCs w:val="22"/>
                <w:lang w:val="en-US"/>
              </w:rPr>
              <w:t xml:space="preserve">XVII </w:t>
            </w:r>
            <w:r>
              <w:rPr>
                <w:rFonts w:eastAsia="SimSun"/>
                <w:color w:themeColor="text1" w:val="000000"/>
                <w:sz w:val="22"/>
                <w:szCs w:val="22"/>
              </w:rPr>
              <w:t>вв</w:t>
            </w:r>
            <w:r>
              <w:rPr>
                <w:rFonts w:eastAsia="SimSun"/>
                <w:color w:themeColor="text1" w:val="000000"/>
                <w:sz w:val="22"/>
                <w:szCs w:val="22"/>
                <w:lang w:val="en-US"/>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Угра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2 четв. </w:t>
            </w:r>
            <w:r>
              <w:rPr>
                <w:rFonts w:eastAsia="SimSun"/>
                <w:color w:themeColor="text1" w:val="000000"/>
                <w:sz w:val="22"/>
                <w:szCs w:val="22"/>
                <w:lang w:val="en-US"/>
              </w:rPr>
              <w:t>I</w:t>
            </w:r>
            <w:r>
              <w:rPr>
                <w:rFonts w:eastAsia="SimSun"/>
                <w:color w:themeColor="text1" w:val="000000"/>
                <w:sz w:val="22"/>
                <w:szCs w:val="22"/>
              </w:rPr>
              <w:t xml:space="preserve"> тыс. н.э., </w:t>
            </w:r>
            <w:r>
              <w:rPr>
                <w:rFonts w:eastAsia="SimSun"/>
                <w:color w:themeColor="text1" w:val="000000"/>
                <w:sz w:val="22"/>
                <w:szCs w:val="22"/>
                <w:lang w:val="en-US"/>
              </w:rPr>
              <w:t>XIII</w:t>
            </w:r>
            <w:r>
              <w:rPr>
                <w:rFonts w:eastAsia="SimSun"/>
                <w:color w:themeColor="text1" w:val="000000"/>
                <w:sz w:val="22"/>
                <w:szCs w:val="22"/>
              </w:rPr>
              <w:t>-</w:t>
            </w:r>
            <w:r>
              <w:rPr>
                <w:rFonts w:eastAsia="SimSun"/>
                <w:color w:themeColor="text1" w:val="000000"/>
                <w:sz w:val="22"/>
                <w:szCs w:val="22"/>
                <w:lang w:val="en-US"/>
              </w:rPr>
              <w:t>XVII</w:t>
            </w:r>
            <w:r>
              <w:rPr>
                <w:rFonts w:eastAsia="SimSun"/>
                <w:color w:themeColor="text1" w:val="000000"/>
                <w:sz w:val="22"/>
                <w:szCs w:val="22"/>
              </w:rPr>
              <w:t xml:space="preserve">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Угра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Курганный могильник</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Угра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2 четв. </w:t>
            </w:r>
            <w:r>
              <w:rPr>
                <w:rFonts w:eastAsia="SimSun"/>
                <w:color w:themeColor="text1" w:val="000000"/>
                <w:sz w:val="22"/>
                <w:szCs w:val="22"/>
                <w:lang w:val="en-US"/>
              </w:rPr>
              <w:t>I</w:t>
            </w:r>
            <w:r>
              <w:rPr>
                <w:rFonts w:eastAsia="SimSun"/>
                <w:color w:themeColor="text1" w:val="000000"/>
                <w:sz w:val="22"/>
                <w:szCs w:val="22"/>
              </w:rPr>
              <w:t xml:space="preserve"> тыс. н.э., </w:t>
            </w:r>
            <w:r>
              <w:rPr>
                <w:rFonts w:eastAsia="SimSun"/>
                <w:color w:themeColor="text1" w:val="000000"/>
                <w:sz w:val="22"/>
                <w:szCs w:val="22"/>
                <w:lang w:val="en-US"/>
              </w:rPr>
              <w:t>XIII</w:t>
            </w:r>
            <w:r>
              <w:rPr>
                <w:rFonts w:eastAsia="SimSun"/>
                <w:color w:themeColor="text1" w:val="000000"/>
                <w:sz w:val="22"/>
                <w:szCs w:val="22"/>
              </w:rPr>
              <w:t>-</w:t>
            </w:r>
          </w:p>
          <w:p>
            <w:pPr>
              <w:pStyle w:val="Normal"/>
              <w:widowControl w:val="false"/>
              <w:spacing w:before="0" w:after="0"/>
              <w:jc w:val="center"/>
              <w:rPr>
                <w:color w:themeColor="text1" w:val="000000"/>
                <w:sz w:val="22"/>
                <w:szCs w:val="22"/>
                <w:lang w:val="en-US"/>
              </w:rPr>
            </w:pPr>
            <w:r>
              <w:rPr>
                <w:rFonts w:eastAsia="SimSun"/>
                <w:color w:themeColor="text1" w:val="000000"/>
                <w:sz w:val="22"/>
                <w:szCs w:val="22"/>
                <w:lang w:val="en-US"/>
              </w:rPr>
              <w:t>XVII</w:t>
            </w:r>
            <w:r>
              <w:rPr>
                <w:rFonts w:eastAsia="SimSun"/>
                <w:color w:themeColor="text1" w:val="000000"/>
                <w:sz w:val="22"/>
                <w:szCs w:val="22"/>
              </w:rPr>
              <w:t xml:space="preserve"> вв</w:t>
            </w:r>
            <w:r>
              <w:rPr>
                <w:rFonts w:eastAsia="SimSun"/>
                <w:color w:themeColor="text1" w:val="000000"/>
                <w:sz w:val="22"/>
                <w:szCs w:val="22"/>
                <w:lang w:val="en-US"/>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Угра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Решение малого Совета Калужского областного Совета народных депутатов от 22.05.1992. № 76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р.ж.в.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Николо-Лапиносово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241. Арх. ИА.: № 19684. Л. 32</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XI-XIII 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Спас</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127. Арх. ИА.: №6714. Л. 19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XI-XIII 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Спас</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129. Арх. ИА.: №6714.</w:t>
            </w:r>
          </w:p>
          <w:p>
            <w:pPr>
              <w:pStyle w:val="Normal"/>
              <w:widowControl w:val="false"/>
              <w:spacing w:before="0" w:after="0"/>
              <w:jc w:val="center"/>
              <w:rPr>
                <w:color w:themeColor="text1" w:val="000000"/>
                <w:sz w:val="22"/>
                <w:szCs w:val="22"/>
              </w:rPr>
            </w:pPr>
            <w:r>
              <w:rPr>
                <w:rFonts w:eastAsia="SimSun"/>
                <w:color w:themeColor="text1" w:val="000000"/>
                <w:sz w:val="22"/>
                <w:szCs w:val="22"/>
              </w:rPr>
              <w:t>Л. 19, 20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(торговая пристань)</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эпоха бронзы, р.ж.в.,</w:t>
            </w:r>
          </w:p>
          <w:p>
            <w:pPr>
              <w:pStyle w:val="Normal"/>
              <w:widowControl w:val="false"/>
              <w:spacing w:before="0" w:after="0"/>
              <w:jc w:val="center"/>
              <w:rPr/>
            </w:pPr>
            <w:r>
              <w:rPr>
                <w:rFonts w:eastAsia="SimSun"/>
                <w:color w:themeColor="text1" w:val="000000"/>
                <w:sz w:val="22"/>
                <w:szCs w:val="22"/>
              </w:rPr>
              <w:t>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w:t>
            </w:r>
          </w:p>
          <w:p>
            <w:pPr>
              <w:pStyle w:val="Normal"/>
              <w:widowControl w:val="false"/>
              <w:spacing w:before="0" w:after="0"/>
              <w:jc w:val="center"/>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4. Археология Калужской области. С. 312-314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 2 (Ромоданово)</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р.ж.в., III-</w:t>
            </w:r>
          </w:p>
          <w:p>
            <w:pPr>
              <w:pStyle w:val="Normal"/>
              <w:widowControl w:val="false"/>
              <w:spacing w:before="0" w:after="0"/>
              <w:jc w:val="center"/>
              <w:rPr>
                <w:color w:themeColor="text1" w:val="000000"/>
                <w:sz w:val="22"/>
                <w:szCs w:val="22"/>
              </w:rPr>
            </w:pPr>
            <w:r>
              <w:rPr>
                <w:rFonts w:eastAsia="SimSun"/>
                <w:color w:themeColor="text1" w:val="000000"/>
                <w:sz w:val="22"/>
                <w:szCs w:val="22"/>
              </w:rPr>
              <w:t>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2521. Л. 28-30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Грунтовый могильник</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XV-XIX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8.</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10761. Л. 28-33, № 11017. Л. 8-10, № 12492. Л. 3-20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Культурный исторический слой</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9.</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11807, № 13236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 III-V вв.,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Андреевское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11. Арх. ИА.: № 19684. Л, 39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неолит,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Андреевское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12.</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Андреевское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13.</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38</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Андреевское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14.</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39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Андреевское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15.</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4</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Андреевское</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16.</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мезолит, р.ж.в.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Белая</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20.</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20303. Л. 5,6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Боровая</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22.</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 Л. 51</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Боровая</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23.</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 Л. 52</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4</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Боровая</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24.</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 Л. 52</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Верховая</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25.</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 Л. 52</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мезолит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Галкино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26. Арх .ИА.: № 20303. Л. 9,10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верхний палеолит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Городок</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27. Арх. ИА.: № 19684. Л. 28</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XI-XIII вв.,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Городок</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28. Арх. ИА.: № 19684. Л. 28</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Желыбино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30. Арх. ИА.: № 19684. Л. 50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Желыбино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31. Арх. ИА.: № 19684. Л. 51</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Желыбино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32. Арх. ИА.: № 19684. Л. 51</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Желыбино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33. Арх. ИА.: № 19684. Л. 49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Желыбино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34. Арх. ИА.: № 19684. Л. 49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Желыбино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35. Арх. ИА.: № 19684. Л. 49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Козлово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37. Арх. ИА.: № 19684. Л. 30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Козлово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38. Арх. ИА.: № 19684. Л. 30, 31</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3</w:t>
            </w:r>
          </w:p>
        </w:tc>
        <w:tc>
          <w:tcPr>
            <w:tcW w:w="1411" w:type="dxa"/>
            <w:tcBorders/>
            <w:shd w:fill="auto" w:val="clear"/>
            <w:vAlign w:val="center"/>
          </w:tcPr>
          <w:p>
            <w:pPr>
              <w:pStyle w:val="Normal"/>
              <w:widowControl w:val="false"/>
              <w:spacing w:before="0" w:after="0"/>
              <w:jc w:val="center"/>
              <w:rPr>
                <w:color w:themeColor="text1" w:val="000000"/>
                <w:sz w:val="22"/>
                <w:szCs w:val="22"/>
                <w:lang w:val="en-US"/>
              </w:rPr>
            </w:pPr>
            <w:r>
              <w:rPr>
                <w:rFonts w:eastAsia="SimSun"/>
                <w:color w:themeColor="text1" w:val="000000"/>
                <w:sz w:val="22"/>
                <w:szCs w:val="22"/>
                <w:lang w:val="en-US"/>
              </w:rPr>
              <w:t xml:space="preserve">I </w:t>
            </w:r>
            <w:r>
              <w:rPr>
                <w:rFonts w:eastAsia="SimSun"/>
                <w:color w:themeColor="text1" w:val="000000"/>
                <w:sz w:val="22"/>
                <w:szCs w:val="22"/>
              </w:rPr>
              <w:t>пол</w:t>
            </w:r>
            <w:r>
              <w:rPr>
                <w:rFonts w:eastAsia="SimSun"/>
                <w:color w:themeColor="text1" w:val="000000"/>
                <w:sz w:val="22"/>
                <w:szCs w:val="22"/>
                <w:lang w:val="en-US"/>
              </w:rPr>
              <w:t xml:space="preserve">. I </w:t>
            </w:r>
            <w:r>
              <w:rPr>
                <w:rFonts w:eastAsia="SimSun"/>
                <w:color w:themeColor="text1" w:val="000000"/>
                <w:sz w:val="22"/>
                <w:szCs w:val="22"/>
              </w:rPr>
              <w:t>тыс</w:t>
            </w:r>
            <w:r>
              <w:rPr>
                <w:rFonts w:eastAsia="SimSun"/>
                <w:color w:themeColor="text1" w:val="000000"/>
                <w:sz w:val="22"/>
                <w:szCs w:val="22"/>
                <w:lang w:val="en-US"/>
              </w:rPr>
              <w:t xml:space="preserve">. </w:t>
            </w:r>
            <w:r>
              <w:rPr>
                <w:rFonts w:eastAsia="SimSun"/>
                <w:color w:themeColor="text1" w:val="000000"/>
                <w:sz w:val="22"/>
                <w:szCs w:val="22"/>
              </w:rPr>
              <w:t>н</w:t>
            </w:r>
            <w:r>
              <w:rPr>
                <w:rFonts w:eastAsia="SimSun"/>
                <w:color w:themeColor="text1" w:val="000000"/>
                <w:sz w:val="22"/>
                <w:szCs w:val="22"/>
                <w:lang w:val="en-US"/>
              </w:rPr>
              <w:t>.</w:t>
            </w:r>
            <w:r>
              <w:rPr>
                <w:rFonts w:eastAsia="SimSun"/>
                <w:color w:themeColor="text1" w:val="000000"/>
                <w:sz w:val="22"/>
                <w:szCs w:val="22"/>
              </w:rPr>
              <w:t>э</w:t>
            </w:r>
            <w:r>
              <w:rPr>
                <w:rFonts w:eastAsia="SimSun"/>
                <w:color w:themeColor="text1" w:val="000000"/>
                <w:sz w:val="22"/>
                <w:szCs w:val="22"/>
                <w:lang w:val="en-US"/>
              </w:rPr>
              <w:t>., XV-</w:t>
            </w:r>
          </w:p>
          <w:p>
            <w:pPr>
              <w:pStyle w:val="Normal"/>
              <w:widowControl w:val="false"/>
              <w:spacing w:before="0" w:after="0"/>
              <w:jc w:val="center"/>
              <w:rPr>
                <w:color w:themeColor="text1" w:val="000000"/>
                <w:sz w:val="22"/>
                <w:szCs w:val="22"/>
                <w:lang w:val="en-US"/>
              </w:rPr>
            </w:pPr>
            <w:r>
              <w:rPr>
                <w:rFonts w:eastAsia="SimSun"/>
                <w:color w:themeColor="text1" w:val="000000"/>
                <w:sz w:val="22"/>
                <w:szCs w:val="22"/>
                <w:lang w:val="en-US"/>
              </w:rPr>
              <w:t xml:space="preserve">XVII </w:t>
            </w:r>
            <w:r>
              <w:rPr>
                <w:rFonts w:eastAsia="SimSun"/>
                <w:color w:themeColor="text1" w:val="000000"/>
                <w:sz w:val="22"/>
                <w:szCs w:val="22"/>
              </w:rPr>
              <w:t>вв</w:t>
            </w:r>
            <w:r>
              <w:rPr>
                <w:rFonts w:eastAsia="SimSun"/>
                <w:color w:themeColor="text1" w:val="000000"/>
                <w:sz w:val="22"/>
                <w:szCs w:val="22"/>
                <w:lang w:val="en-US"/>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Козлово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Отчет Прошкина О.Л.</w:t>
            </w:r>
          </w:p>
          <w:p>
            <w:pPr>
              <w:pStyle w:val="Normal"/>
              <w:widowControl w:val="false"/>
              <w:spacing w:before="0" w:after="0"/>
              <w:jc w:val="center"/>
              <w:rPr>
                <w:color w:themeColor="text1" w:val="000000"/>
                <w:sz w:val="22"/>
                <w:szCs w:val="22"/>
              </w:rPr>
            </w:pPr>
            <w:r>
              <w:rPr>
                <w:rFonts w:eastAsia="SimSun"/>
                <w:color w:themeColor="text1" w:val="000000"/>
                <w:sz w:val="22"/>
                <w:szCs w:val="22"/>
              </w:rPr>
              <w:t>за 2008 год</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4</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Козлово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Отчет Прошкина О.Л. з</w:t>
            </w:r>
          </w:p>
          <w:p>
            <w:pPr>
              <w:pStyle w:val="Normal"/>
              <w:widowControl w:val="false"/>
              <w:spacing w:before="0" w:after="0"/>
              <w:jc w:val="center"/>
              <w:rPr>
                <w:color w:themeColor="text1" w:val="000000"/>
                <w:sz w:val="22"/>
                <w:szCs w:val="22"/>
              </w:rPr>
            </w:pPr>
            <w:r>
              <w:rPr>
                <w:rFonts w:eastAsia="SimSun"/>
                <w:color w:themeColor="text1" w:val="000000"/>
                <w:sz w:val="22"/>
                <w:szCs w:val="22"/>
              </w:rPr>
              <w:t>а 2008 год</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5</w:t>
            </w:r>
          </w:p>
        </w:tc>
        <w:tc>
          <w:tcPr>
            <w:tcW w:w="1411" w:type="dxa"/>
            <w:tcBorders/>
            <w:shd w:fill="auto" w:val="clear"/>
            <w:vAlign w:val="center"/>
          </w:tcPr>
          <w:p>
            <w:pPr>
              <w:pStyle w:val="Normal"/>
              <w:widowControl w:val="false"/>
              <w:spacing w:before="0" w:after="0"/>
              <w:jc w:val="center"/>
              <w:rPr>
                <w:color w:themeColor="text1" w:val="000000"/>
                <w:sz w:val="22"/>
                <w:szCs w:val="22"/>
                <w:lang w:val="en-US"/>
              </w:rPr>
            </w:pPr>
            <w:r>
              <w:rPr>
                <w:rFonts w:eastAsia="SimSun"/>
                <w:color w:themeColor="text1" w:val="000000"/>
                <w:sz w:val="22"/>
                <w:szCs w:val="22"/>
                <w:lang w:val="en-US"/>
              </w:rPr>
              <w:t xml:space="preserve">I </w:t>
            </w:r>
            <w:r>
              <w:rPr>
                <w:rFonts w:eastAsia="SimSun"/>
                <w:color w:themeColor="text1" w:val="000000"/>
                <w:sz w:val="22"/>
                <w:szCs w:val="22"/>
              </w:rPr>
              <w:t>пол</w:t>
            </w:r>
            <w:r>
              <w:rPr>
                <w:rFonts w:eastAsia="SimSun"/>
                <w:color w:themeColor="text1" w:val="000000"/>
                <w:sz w:val="22"/>
                <w:szCs w:val="22"/>
                <w:lang w:val="en-US"/>
              </w:rPr>
              <w:t xml:space="preserve">. I </w:t>
            </w:r>
            <w:r>
              <w:rPr>
                <w:rFonts w:eastAsia="SimSun"/>
                <w:color w:themeColor="text1" w:val="000000"/>
                <w:sz w:val="22"/>
                <w:szCs w:val="22"/>
              </w:rPr>
              <w:t>тыс</w:t>
            </w:r>
            <w:r>
              <w:rPr>
                <w:rFonts w:eastAsia="SimSun"/>
                <w:color w:themeColor="text1" w:val="000000"/>
                <w:sz w:val="22"/>
                <w:szCs w:val="22"/>
                <w:lang w:val="en-US"/>
              </w:rPr>
              <w:t xml:space="preserve">. </w:t>
            </w:r>
            <w:r>
              <w:rPr>
                <w:rFonts w:eastAsia="SimSun"/>
                <w:color w:themeColor="text1" w:val="000000"/>
                <w:sz w:val="22"/>
                <w:szCs w:val="22"/>
              </w:rPr>
              <w:t>н</w:t>
            </w:r>
            <w:r>
              <w:rPr>
                <w:rFonts w:eastAsia="SimSun"/>
                <w:color w:themeColor="text1" w:val="000000"/>
                <w:sz w:val="22"/>
                <w:szCs w:val="22"/>
                <w:lang w:val="en-US"/>
              </w:rPr>
              <w:t>.</w:t>
            </w:r>
            <w:r>
              <w:rPr>
                <w:rFonts w:eastAsia="SimSun"/>
                <w:color w:themeColor="text1" w:val="000000"/>
                <w:sz w:val="22"/>
                <w:szCs w:val="22"/>
              </w:rPr>
              <w:t>э</w:t>
            </w:r>
            <w:r>
              <w:rPr>
                <w:rFonts w:eastAsia="SimSun"/>
                <w:color w:themeColor="text1" w:val="000000"/>
                <w:sz w:val="22"/>
                <w:szCs w:val="22"/>
                <w:lang w:val="en-US"/>
              </w:rPr>
              <w:t>., XV-</w:t>
            </w:r>
          </w:p>
          <w:p>
            <w:pPr>
              <w:pStyle w:val="Normal"/>
              <w:widowControl w:val="false"/>
              <w:spacing w:before="0" w:after="0"/>
              <w:jc w:val="center"/>
              <w:rPr>
                <w:color w:themeColor="text1" w:val="000000"/>
                <w:sz w:val="22"/>
                <w:szCs w:val="22"/>
              </w:rPr>
            </w:pPr>
            <w:r>
              <w:rPr>
                <w:rFonts w:eastAsia="SimSun"/>
                <w:color w:themeColor="text1" w:val="000000"/>
                <w:sz w:val="22"/>
                <w:szCs w:val="22"/>
                <w:lang w:val="en-US"/>
              </w:rPr>
              <w:t>XVII</w:t>
            </w:r>
            <w:r>
              <w:rPr>
                <w:rFonts w:eastAsia="SimSun"/>
                <w:color w:themeColor="text1" w:val="000000"/>
                <w:sz w:val="22"/>
                <w:szCs w:val="22"/>
              </w:rPr>
              <w:t xml:space="preserve">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Козлово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Отчет Прошкина О.Л.</w:t>
            </w:r>
          </w:p>
          <w:p>
            <w:pPr>
              <w:pStyle w:val="Normal"/>
              <w:widowControl w:val="false"/>
              <w:spacing w:before="0" w:after="0"/>
              <w:jc w:val="center"/>
              <w:rPr>
                <w:color w:themeColor="text1" w:val="000000"/>
                <w:sz w:val="22"/>
                <w:szCs w:val="22"/>
              </w:rPr>
            </w:pPr>
            <w:r>
              <w:rPr>
                <w:rFonts w:eastAsia="SimSun"/>
                <w:color w:themeColor="text1" w:val="000000"/>
                <w:sz w:val="22"/>
                <w:szCs w:val="22"/>
              </w:rPr>
              <w:t>за 2008 год</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р.ж.в.,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Лобаново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43.</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20303. Л. 18,19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р.ж.в.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Лобаново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44. Арх .ИА.: № 20303. Л. 19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р.ж.в.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Лобаново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45. Арх .ИА.: № 20303. Л. 19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Городище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Матюнино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50. Арх .ИА.: № 1760.</w:t>
            </w:r>
          </w:p>
          <w:p>
            <w:pPr>
              <w:pStyle w:val="Normal"/>
              <w:widowControl w:val="false"/>
              <w:spacing w:before="0" w:after="0"/>
              <w:jc w:val="center"/>
              <w:rPr>
                <w:color w:themeColor="text1" w:val="000000"/>
                <w:sz w:val="22"/>
                <w:szCs w:val="22"/>
              </w:rPr>
            </w:pPr>
            <w:r>
              <w:rPr>
                <w:rFonts w:eastAsia="SimSun"/>
                <w:color w:themeColor="text1" w:val="000000"/>
                <w:sz w:val="22"/>
                <w:szCs w:val="22"/>
              </w:rPr>
              <w:t>Л, 1,2,№ 6714. Л. 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53.</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54.</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55.</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45</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4</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56.</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45</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5</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57.</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45,46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р.ж.в.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58.</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8788. Л. 1,2</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59. Арх. ИА.: № 8788. Л. 2,3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60. Арх. ИА.: № 19684. Л. 47</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4</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61.</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45, 46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Курганный могильник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62.</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1769 Л. 4; № 8788. Л. 12,13; № 19684. Л. 44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Курганный могильник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63.</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1769 Л. 5; № 8788. Л. 12,13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Курган</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Нижняя Вырка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64.</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11820. Рис.13; № 19684. Л. 58</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Стоянка (Резвань)</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мезолит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Плетеневка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65.</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 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Плетеневка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66.</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 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Плетеневка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67.</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3</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неолит,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Плетеневка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68.</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Плетеневка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69.</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Л.32,33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Плетеневка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70.</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3</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Плетеневка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71.</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Л.33, 34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1</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мезолит, XIV-</w:t>
            </w:r>
          </w:p>
          <w:p>
            <w:pPr>
              <w:pStyle w:val="Normal"/>
              <w:widowControl w:val="false"/>
              <w:spacing w:before="0" w:after="0"/>
              <w:jc w:val="center"/>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Резвань,1,0 км к югу от поселка, 0,7 км от русла р. Ока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74.</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мезолит, XIV-</w:t>
            </w:r>
          </w:p>
          <w:p>
            <w:pPr>
              <w:pStyle w:val="Normal"/>
              <w:widowControl w:val="false"/>
              <w:spacing w:before="0" w:after="0"/>
              <w:jc w:val="center"/>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Резвань</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75.</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3</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 III-V вв.,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Резвань</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76.</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Л.37</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 4</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неолит, III-V вв., XIV-XVII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Резвань</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77.</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Л.37,38</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Резвань</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78.</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Л.36,37</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неолит, р.ж.в., XI-XIII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Резвань</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79. Арх.ИА.: № 10655. Л. 36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4</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IX-X вв., XI-XIII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Росва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83. Арх.ИА.: № 10655. Л. 36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5</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Росва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84.</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29</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Сивково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86.</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42</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Сивково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87.</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3</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Сивково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88.</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Местонахождение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палеолит</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Спас</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89. Болдин и др. 1999. С. 64,65</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Поселение</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неолит,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Спас</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90.</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 Л. 31</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с. Спас</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93.</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 Л. 32</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Тинино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94.</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 Л. 53</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 Угра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97.</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865. Л. 13, № 10655. Л. 36</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1</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 XIV-</w:t>
            </w:r>
          </w:p>
          <w:p>
            <w:pPr>
              <w:pStyle w:val="Normal"/>
              <w:widowControl w:val="false"/>
              <w:spacing w:before="0" w:after="0"/>
              <w:jc w:val="center"/>
              <w:rPr>
                <w:color w:themeColor="text1" w:val="000000"/>
                <w:sz w:val="22"/>
                <w:szCs w:val="22"/>
              </w:rPr>
            </w:pPr>
            <w:r>
              <w:rPr>
                <w:rFonts w:eastAsia="SimSun"/>
                <w:color w:themeColor="text1" w:val="000000"/>
                <w:sz w:val="22"/>
                <w:szCs w:val="22"/>
              </w:rPr>
              <w:t>XVII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Шопино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100.</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48</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 2</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III-V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Шопино</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Археологическая карта России. Калужская область № 101.</w:t>
            </w:r>
          </w:p>
          <w:p>
            <w:pPr>
              <w:pStyle w:val="Normal"/>
              <w:widowControl w:val="false"/>
              <w:spacing w:before="0" w:after="0"/>
              <w:jc w:val="center"/>
              <w:rPr>
                <w:color w:themeColor="text1" w:val="000000"/>
                <w:sz w:val="22"/>
                <w:szCs w:val="22"/>
              </w:rPr>
            </w:pPr>
            <w:r>
              <w:rPr>
                <w:rFonts w:eastAsia="SimSun"/>
                <w:color w:themeColor="text1" w:val="000000"/>
                <w:sz w:val="22"/>
                <w:szCs w:val="22"/>
              </w:rPr>
              <w:t>Арх. ИА.: № 19684. Л. 47</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Селище</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11-16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д. Городок</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Арх. ИА.:.№ 19684.</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Участок исторического культурного слоя № 1»,</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XVII – начало</w:t>
            </w:r>
          </w:p>
          <w:p>
            <w:pPr>
              <w:pStyle w:val="Normal"/>
              <w:widowControl w:val="false"/>
              <w:spacing w:before="0" w:after="0"/>
              <w:jc w:val="center"/>
              <w:rPr>
                <w:color w:themeColor="text1" w:val="000000"/>
                <w:sz w:val="22"/>
                <w:szCs w:val="22"/>
              </w:rPr>
            </w:pPr>
            <w:r>
              <w:rPr>
                <w:rFonts w:eastAsia="SimSun"/>
                <w:color w:themeColor="text1" w:val="000000"/>
                <w:sz w:val="22"/>
                <w:szCs w:val="22"/>
              </w:rPr>
              <w:t>XX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16.03.2022 № 20</w:t>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Участок исторического культурного слоя № 2»,</w:t>
            </w:r>
          </w:p>
        </w:tc>
        <w:tc>
          <w:tcPr>
            <w:tcW w:w="1411" w:type="dxa"/>
            <w:tcBorders/>
            <w:shd w:fill="auto" w:val="clear"/>
            <w:vAlign w:val="center"/>
          </w:tcPr>
          <w:p>
            <w:pPr>
              <w:pStyle w:val="Normal"/>
              <w:widowControl w:val="false"/>
              <w:spacing w:before="0" w:after="0"/>
              <w:jc w:val="center"/>
              <w:rPr/>
            </w:pPr>
            <w:r>
              <w:rPr>
                <w:rFonts w:eastAsia="SimSun"/>
                <w:color w:themeColor="text1" w:val="000000"/>
                <w:sz w:val="22"/>
                <w:szCs w:val="22"/>
              </w:rPr>
              <w:t>XVII – начало</w:t>
            </w:r>
          </w:p>
          <w:p>
            <w:pPr>
              <w:pStyle w:val="Normal"/>
              <w:widowControl w:val="false"/>
              <w:spacing w:before="0" w:after="0"/>
              <w:jc w:val="center"/>
              <w:rPr>
                <w:color w:themeColor="text1" w:val="000000"/>
                <w:sz w:val="22"/>
                <w:szCs w:val="22"/>
              </w:rPr>
            </w:pPr>
            <w:r>
              <w:rPr>
                <w:rFonts w:eastAsia="SimSun"/>
                <w:color w:themeColor="text1" w:val="000000"/>
                <w:sz w:val="22"/>
                <w:szCs w:val="22"/>
              </w:rPr>
              <w:t>XX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w:t>
            </w:r>
          </w:p>
          <w:p>
            <w:pPr>
              <w:pStyle w:val="Normal"/>
              <w:widowControl w:val="false"/>
              <w:spacing w:before="0" w:after="0"/>
              <w:jc w:val="center"/>
              <w:rPr>
                <w:color w:themeColor="text1" w:val="000000"/>
                <w:sz w:val="22"/>
                <w:szCs w:val="22"/>
              </w:rPr>
            </w:pPr>
            <w:r>
              <w:rPr>
                <w:rFonts w:eastAsia="SimSun"/>
                <w:color w:themeColor="text1" w:val="000000"/>
                <w:sz w:val="22"/>
                <w:szCs w:val="22"/>
              </w:rPr>
              <w:t>от 06.05.2022 № 48</w:t>
            </w:r>
          </w:p>
          <w:p>
            <w:pPr>
              <w:pStyle w:val="Normal"/>
              <w:widowControl w:val="false"/>
              <w:spacing w:before="0" w:after="0"/>
              <w:jc w:val="center"/>
              <w:rPr>
                <w:color w:themeColor="text1" w:val="000000"/>
                <w:sz w:val="22"/>
                <w:szCs w:val="22"/>
              </w:rPr>
            </w:pPr>
            <w:r>
              <w:rPr>
                <w:color w:themeColor="text1" w:val="000000"/>
                <w:sz w:val="22"/>
                <w:szCs w:val="22"/>
              </w:rPr>
            </w:r>
          </w:p>
        </w:tc>
      </w:tr>
      <w:tr>
        <w:trPr>
          <w:cantSplit w:val="true"/>
        </w:trPr>
        <w:tc>
          <w:tcPr>
            <w:tcW w:w="949" w:type="dxa"/>
            <w:tcBorders/>
            <w:shd w:fill="auto" w:val="clear"/>
            <w:vAlign w:val="center"/>
          </w:tcPr>
          <w:p>
            <w:pPr>
              <w:pStyle w:val="ListParagraph"/>
              <w:widowControl w:val="false"/>
              <w:numPr>
                <w:ilvl w:val="0"/>
                <w:numId w:val="5"/>
              </w:numPr>
              <w:suppressAutoHyphens w:val="false"/>
              <w:spacing w:before="0" w:after="0"/>
              <w:contextualSpacing/>
              <w:jc w:val="center"/>
              <w:rPr>
                <w:color w:themeColor="text1" w:val="000000"/>
                <w:sz w:val="22"/>
                <w:szCs w:val="22"/>
              </w:rPr>
            </w:pPr>
            <w:r>
              <w:rPr>
                <w:color w:themeColor="text1" w:val="000000"/>
                <w:sz w:val="22"/>
                <w:szCs w:val="22"/>
              </w:rPr>
            </w:r>
          </w:p>
        </w:tc>
        <w:tc>
          <w:tcPr>
            <w:tcW w:w="2047"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г. Калуга. Участок № 3 исторического культурного слоя</w:t>
            </w:r>
          </w:p>
        </w:tc>
        <w:tc>
          <w:tcPr>
            <w:tcW w:w="141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XVI-XIX вв.</w:t>
            </w:r>
          </w:p>
        </w:tc>
        <w:tc>
          <w:tcPr>
            <w:tcW w:w="2041"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г. Калуга</w:t>
            </w:r>
          </w:p>
        </w:tc>
        <w:tc>
          <w:tcPr>
            <w:tcW w:w="3272" w:type="dxa"/>
            <w:tcBorders/>
            <w:shd w:fill="auto" w:val="clear"/>
            <w:vAlign w:val="center"/>
          </w:tcPr>
          <w:p>
            <w:pPr>
              <w:pStyle w:val="Normal"/>
              <w:widowControl w:val="false"/>
              <w:spacing w:before="0" w:after="0"/>
              <w:jc w:val="center"/>
              <w:rPr>
                <w:color w:themeColor="text1" w:val="000000"/>
                <w:sz w:val="22"/>
                <w:szCs w:val="22"/>
              </w:rPr>
            </w:pPr>
            <w:r>
              <w:rPr>
                <w:rFonts w:eastAsia="SimSun"/>
                <w:color w:themeColor="text1" w:val="000000"/>
                <w:sz w:val="22"/>
                <w:szCs w:val="22"/>
              </w:rPr>
              <w:t>Приказ Управления от 05.09.2022 № 123</w:t>
            </w:r>
          </w:p>
        </w:tc>
      </w:tr>
    </w:tbl>
    <w:p>
      <w:pPr>
        <w:sectPr>
          <w:headerReference w:type="default" r:id="rId105"/>
          <w:headerReference w:type="first" r:id="rId106"/>
          <w:footerReference w:type="default" r:id="rId107"/>
          <w:footerReference w:type="first" r:id="rId108"/>
          <w:footnotePr>
            <w:numFmt w:val="decimal"/>
          </w:footnotePr>
          <w:type w:val="nextPage"/>
          <w:pgSz w:w="11906" w:h="16838"/>
          <w:pgMar w:left="1418" w:right="1134" w:gutter="0" w:header="567" w:top="1128" w:footer="0" w:bottom="709"/>
          <w:pgNumType w:fmt="decimal"/>
          <w:formProt w:val="false"/>
          <w:titlePg/>
          <w:textDirection w:val="lrTb"/>
          <w:docGrid w:type="default" w:linePitch="360" w:charSpace="0"/>
        </w:sectPr>
      </w:pPr>
    </w:p>
    <w:p>
      <w:pPr>
        <w:pStyle w:val="Normal"/>
        <w:jc w:val="center"/>
        <w:rPr>
          <w:rFonts w:eastAsia="Calibri"/>
          <w:color w:themeColor="text1" w:val="000000"/>
          <w:lang w:eastAsia="en-US"/>
        </w:rPr>
      </w:pPr>
      <w:r>
        <w:rPr>
          <w:rFonts w:eastAsia="Calibri"/>
          <w:color w:themeColor="text1" w:val="000000"/>
          <w:lang w:eastAsia="en-US"/>
        </w:rPr>
        <w:t xml:space="preserve">Перечень объектов культурного наследия и выявленных объектов культурного наследия городского округа, по которым утверждены границы территорий </w:t>
      </w:r>
    </w:p>
    <w:tbl>
      <w:tblPr>
        <w:tblW w:w="9690"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959"/>
        <w:gridCol w:w="8730"/>
      </w:tblGrid>
      <w:tr>
        <w:trPr>
          <w:tblHeader w:val="true"/>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rFonts w:eastAsia="Calibri"/>
                <w:b/>
                <w:color w:themeColor="text1" w:val="000000"/>
                <w:sz w:val="22"/>
                <w:szCs w:val="22"/>
                <w:lang w:eastAsia="en-US"/>
              </w:rPr>
              <w:t xml:space="preserve"> </w:t>
            </w:r>
            <w:r>
              <w:rPr>
                <w:b/>
                <w:color w:themeColor="text1" w:val="000000"/>
                <w:sz w:val="22"/>
                <w:szCs w:val="22"/>
              </w:rPr>
              <w:t>№</w:t>
            </w:r>
          </w:p>
          <w:p>
            <w:pPr>
              <w:pStyle w:val="Normal"/>
              <w:widowControl w:val="false"/>
              <w:jc w:val="center"/>
              <w:rPr>
                <w:b/>
                <w:color w:themeColor="text1" w:val="000000"/>
                <w:sz w:val="22"/>
                <w:szCs w:val="22"/>
              </w:rPr>
            </w:pPr>
            <w:r>
              <w:rPr>
                <w:b/>
                <w:color w:themeColor="text1" w:val="000000"/>
                <w:sz w:val="22"/>
                <w:szCs w:val="22"/>
              </w:rPr>
              <w:t>п/п</w:t>
            </w:r>
          </w:p>
        </w:tc>
        <w:tc>
          <w:tcPr>
            <w:tcW w:w="873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объекта</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Флигель усадьбы Боряевых-Слесаревых</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Учебный корпус «Лаврентьевского монастыря», 1734 – 1735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дом жилой, сер. XVIII в. ул. Баумана, д. 40</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XVIII-XIX вв. ул. Баумана, 42/41</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Фалеевых,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Тихоновское подворье, XVIII – XX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Памятник воинам 50-й Армии, 1981 год</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Памятник военным медицинским работникам, погибшим в годы Великой Отечественной войны 1941-1945 гг., 1975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Один обелиск Московской заставы, 1785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Могила доктора медицинских наук Н.И. Кедровой, 1964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Могила Евгения Петровича Оболенского (1796-1865)</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Мастерская И.Р. Комарова,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Зона исторического ядра города Заповедный район</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Здания застройки середины XX века: административное здание, жилое здание, жилое здание, сер. XX века, ул. Кирова, 7, 9, 9а, 11, 13</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Здания застройки середины XX века: административное здание, жилое здание, жилое здание, сер. XX века, ул. Кирова, 7</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Здания застройки середины XX века: административное здание, жилое здание, жилое здание, сер. XX века, ул. Кирова, 13</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Здания застройки середины XX века: административное здание, жилое здание, жилое здание, сер. XX века, ул. Кирова, 11</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управления Сызранско–Вяземской железной дороги, 1895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магазина Игнатовых, банк,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нач. XIX в. ул. Московская, 53</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Квасникова, сер.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(1-я пол. XIX в.) ул. Ленина</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 котором в 1917-1918 гг. размещалась типография газеты «Рассвет», пер. пол. XIX в., 1917-1918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 котором в 1913-1925 гг. жил и работал профессор А.Л. Чижевский. Пер. пол. XIX века, 1917-1925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 котором в 1895-1917 гг. жил коллекционер Н.И. Васильев, в 1918-1927 гг. размещался художественный музей, в 1918-1927 гг. жил художник В.Н. Левандовский</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 магазином купца Домогацкого, 1912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нач. XIX в. пер. Гостинорядский, д. 2</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с кожевенной мастерской (дом Кувшинникова), сер. XVIII 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Чистоклетовых,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Толстых,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Толмачевых (деревянный), 1814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Сорокина Л.О. с аптекой,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Польман (деревянный), 1806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Милютинского приюта, XIX в., входящего в состав объекта культурного наследия федерального значения «Дом Милютинского приюта с воротами и церковью»,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Милютинского приюта с воротами и церковью,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Жуковца, 1890-е – 1900-е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А.Г. Кувшинникова, 1-я треть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Городище «Семеново»</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Главный дом городской усадьбы, XIX-XX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Гимназия мужская, 1782-1785 гг. –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Воинское кладбище воинов Советской Армии, погибших в боях за освобождение Калуги от немецко-фашистских захватчиков в декабре 1941 г. и умерших от ран», 1941 – 1946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Бюст дважды Героя Социалистического труда, лауреата Ленинской премии</w:t>
            </w:r>
          </w:p>
          <w:p>
            <w:pPr>
              <w:pStyle w:val="Normal"/>
              <w:widowControl w:val="false"/>
              <w:rPr>
                <w:color w:themeColor="text1" w:val="000000"/>
                <w:sz w:val="22"/>
                <w:szCs w:val="22"/>
              </w:rPr>
            </w:pPr>
            <w:r>
              <w:rPr>
                <w:color w:themeColor="text1" w:val="000000"/>
                <w:sz w:val="22"/>
                <w:szCs w:val="22"/>
              </w:rPr>
              <w:t>П.А. Воронина</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Бюст Н.Э. Баумана, 1971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Бюст Г.В. Чичерина, 1971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«Южный флигель усадьбы городской (Яновских)», сер. XIX – XX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«Часовня, 1834 г.», входящего в состав объекта культурного наследия регионального значения «Церковь Одигитрии», 1750 г., 1834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Спаса за верхом», 1700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Рождества», 1691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Рождества Богородицы», 1796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Рождества Богородицы что на площади», 1658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Покрова на рву», 1687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Параскевы Пятницы», 1780</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Одигитрии», 1750 г., 1834.</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Казанская с часовней»,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Иоанна Предтечи», 1764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Знаменская»,1720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Жен-Мироносиц», 1798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Георгиевская с колокольней за лавками», 1700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Георгиевская за верхом», XVII-1701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Введения», XVI-XVII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«Церковь Богоявления», 1735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 Рождества Христова «в кожевниках», 1797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«Ц. Никольская «На Козинке»,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«Хозяйственный корпус», сер.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«Хозяйственные постройки», нач. 1770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«Флигель дома быв. Шамиля по ул. Пушкина, 36»,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«Флигель городской усадьбы», кон. XIX – нач. XX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кон. XVII–XIX вв. ул. Дарвина, д. 15</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XVIII-XIX вв. ул. Декабристов, 7, 9</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XVIII-XIX вв. пер. Старичков, 2/1</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XVIII-XIX вв.  ул. Воскресенская, д.31/31а</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XIX – XX вв. ул. Воскресенская, 7</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XIX в. ул. Воскресенская, д. 26, объект 1</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XIX в. ул. Воскресенская, д. 18</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XIX в. ул. Воскресенская, 14, 16</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XIX в.  ул. Курсантов, 20, объект 2</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2-я пол.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1-я половина XVIII в. ул. Кирова, 17</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Урусовых (дом, сад, парк, хозяйственные постройки), начало 1770 г.», нач. 1770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Терениных»,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Кольцова»,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Грабцево (быв. Еропкина)», XVIII в.  ул. Советская, 70</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Грабцево (быв. Еропкина)», XVIII в.  ул. Курсантов, 20</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Вяземских», сер. XVIII-XIX вв. (ансамбль)</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«Трапезная», XVI-XVII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«Сторожка с приемным покоем», 1900-1903 гг., 1928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«Собор Троицы», 1786 – 1787 гг., 1804 – 1819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«Собор Спасо-Преображения», XVI-XVII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«Служба южная», нач. 1900-х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«Служба северная», нач. 1900-х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«Сад», нач. 1770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«Парк», нач. 1770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«Памятник, сооруженный в честь 600-летия г. Калуги», 1971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«Памятник К.Э. Циолковскому», 1957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«Палаты Торубаева и ворота»,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«Палаты Оболенского»,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«Палаты Макарова»,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«Ограда с воротами», кон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«Ограда XIX в.», входящего в состав объекта культурного наследия регионального значения «Церковь Одигитрии», 1750 г., 1834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«Образец жилой застройки»,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«Областной драматический театр», 1958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«Обелиск у каменного моста», 1785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«Могила Циолковского Константина Эдуардовича (1857-1935)», 1936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«Лютеранская кирха с оградой», сер. - 3-я четверть XVIII в. около 1860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«Конюшня, каретная и погреб усадьбы Сухозанет», 1870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«Комплекс почтовой станции, кон. XVIII–нач.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«Колокольня церкви Успения», 1717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«Каменный мост», 1785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где в Управлении Ряжско-Вяземской железной дороги работал писатель-демократ Успенский Г.И., 1875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где в Калужском высшем начальном училище работал Циолковский К.Э.», 1916-1917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цистерн», 1901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цехов ректификации спирта, водоочистки и котельной», 1901-1903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церковно-приходской школы при церкви «Георгия за верхом»,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училища строительно-технического низшего», 1912 г. арх. Д. В. Виноградов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склада», 1903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мастерских ж/д техникума, где работал К.Э. Циолковский, 1923–25 гг.; в 1898–1901 гг. учился революционер Н.Е. Вилонов, в 1905 г. находился штаб боевой дружины РСДРП»,1923–1925 гг.,1898–1901 гг.,1905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заводоуправления», 1900-1903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бывшего Поземельного банка», 1914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Сиротского дома»,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Пестряковской богадельни», XVIII –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Пестряковской богадельни», XVIII –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Государственного музея истории космонавтики им. К.Э. Циолковского», 1961-1967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«Западный флигель», кон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нач. XIX вв. ул. Дзержинского, д.25</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нач. XIX в. ул. Московская, д. 48</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нач. XIX в. ул. Московская, д. 19</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кон. XVIII в. ул. Салтыкова-Щедрина, д. 55</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XVIII в. ул. Баумана, д. 37/ул. Космонавта Комарова, д. 39</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XIX в., входящего в состав объекта культурного наследия федерального значения «Ансамбль жилых домов»,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3-я четв.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1900-1903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1-я треть XIX в. ул. Театральная, 43/8</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XVIII в.» ул. Декабристов, 10</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XIX в.» ул. Луначарского, 36</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учителей гимназии», нач.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купца Печенкина»,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купца Алферова»,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Унковских», конец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К.Ф. Торубаева», 1794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«Дома Горбуновых», XVII – сер. XVIII вв. ул. Московская, 24</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«Дома Горбуновых», XVII – сер. XVIII вв. ул. Московская, 22</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нач. 1770 г. с. Росва</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 котором жил Циолковский Константин Эдуардович в 1904-1933 гг. В доме – мемориальный музей К.Э. Циолковского», пер. пол.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 котором в 1933–1935 гг. жил и работал Циолковский Константин Эдуардович», начало ХХ века</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 котором в 1893 – 1902 гг. жил и работал Циолковский Константин Эдуардович», 1893–1902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 котором в 1892-1893 гг. жил и работал Циолковский Константин Эдуардович»</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«Дом, в котором в 1857-1863 гг. жил после возвращения из ссылки член Северного общества Батеньков»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 магазином купца П.С. Ракова», 1912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 лавками», XIX в., 1950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присяжного поверенного С.Е. Лиона», кон.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купца Щучкина К.Я.»,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купца Зюзина», кон. XVIII в.- нач.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заводчика Фишера», 1896-1899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сер. XVIII - нач. XIX вв. ул. Плеханова, д.86</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сер. XVIII в. ул. Карпова, 7</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кон. XVII - нач. XVIII в. ул. Плеханова, д.73</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2-я половина XVIII в. пер. Гостинорядский, д.6/9</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2-я пол. XVIII в. ул. Суворова, д.110</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2-я пол. XVIII в. ул. Суворова, д.108</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2-я пол. XVIII в. ул. Суворова, д.106</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1790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1782-1783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1-я пол. XIX в. ул. Карпова, д. 13</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1-я пол. XIX в. ул. Кирова, 36</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с рыбокоптильней», сер.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Андреевых», 1831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(деревянный)»,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(дер.),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для железнодорожных служащих», 1914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директора гимназии, 1835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дворянского собрания», 1841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аптекаря Каннинга П.П.»,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Яновского»,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Шамиля»,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Чистоклетовых», 1809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Ченцова»,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Цуриковых», кон. XVIII-1-я пол.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Хлюстина»,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Фалеевых», сер.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Фалеева с воротами»,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Унковских», 1796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Толстых,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Тимченко»,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Старичкова»,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Сорокиных», 1-я, посл. четверти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П.Д. Можакина», кон.,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Носовых», кон. XVIII-1-я пол.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Неокладнова», кон. XVIII – нач. XIX вв., 2 пол.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Купцова», 1826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Коробовых», XVII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Кологривовых», 1807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Козляинова», руб. 1900-х – 1910-х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Калашникова», нач.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Калашникова», 1825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Кадмина», 2-я четв.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Захарова», нач.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Губкиных», 1785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Графини Салиас, последняя треть XVIII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Гражданского губернатора»,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Госбанка (Мешкова)»,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Горбуновых», нач., посл. треть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Гончаровых»,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Вощина», нач.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Билибиных», 1-я четв., 2-я пол.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Билибина»,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Билибина с оградой и Павильонами»,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Билибина и ворота», XVIII -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Архангельского»,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усадьбы Ципулина», кон.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«Городская усадьба», нач.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«Главный дом», сер.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«Главный дом», кон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«Главный дом городской усадьбы Шляпиных», сер.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«Главная церковь Казанского Девичьего монастыря», XVII – XX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«Восточный флигель», кон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«Вокзал», нач. 1900-х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«Бюст дважды Героя Советского Союза А.Т. Карпова», 1949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«Бюст Маршала Советского Союза Г.К. Жукова» 1985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«Бюст В.И. Ленину, 1925 г.», 1971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«Архиерейское подворье», 1 пол. XIX в., 1900-е – 1910-е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«Ансамбль церкви Василия Блаженного, 1796-1801 гг., 1830 г., арх. Ясныгин И.Д., Соколов Н.Ф.</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«Ансамбль казенного винного склада и завода», 1900-1903 гг. 1928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«Ансамбль железнодорожного вокзала», 1900-х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«Ансамбль домов купца Афончикова с магазином», XVIII-XIX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«Ансамбль Присутственных мест с парком и собором Троицы», 1796–1819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«Ансамбль Гостиного двора», 1784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«Ансамбль Воротынского Монастыря», XVI-XVII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Усадьба Фалеевых - Гончаровых: флигель (здание народной библиотеки-читальни),</w:t>
            </w:r>
          </w:p>
          <w:p>
            <w:pPr>
              <w:pStyle w:val="Normal"/>
              <w:widowControl w:val="false"/>
              <w:rPr>
                <w:color w:themeColor="text1" w:val="000000"/>
                <w:sz w:val="22"/>
                <w:szCs w:val="22"/>
              </w:rPr>
            </w:pPr>
            <w:r>
              <w:rPr>
                <w:color w:themeColor="text1" w:val="000000"/>
                <w:sz w:val="22"/>
                <w:szCs w:val="22"/>
              </w:rPr>
              <w:t>1890-е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Книжная лавка купца Грудакова, XIX в., 1950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усадебных флигелей А.И. Кирпичникова и Д.А. Акимова, нач., 2-я пол.</w:t>
            </w:r>
          </w:p>
          <w:p>
            <w:pPr>
              <w:pStyle w:val="Normal"/>
              <w:widowControl w:val="false"/>
              <w:rPr>
                <w:color w:themeColor="text1" w:val="000000"/>
                <w:sz w:val="22"/>
                <w:szCs w:val="22"/>
              </w:rPr>
            </w:pPr>
            <w:r>
              <w:rPr>
                <w:color w:themeColor="text1" w:val="000000"/>
                <w:sz w:val="22"/>
                <w:szCs w:val="22"/>
              </w:rPr>
              <w:t>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губернской земской управы,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Здание Александровского училища, 1903-1906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Жилой дом Плотникова, 1801 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 лавкой М.А. Кадминой, 2-я пол.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 лавкой А. Я. Блиновой, 1820-е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жилой, 2-я пол.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Чеховых, 4-я четв.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Ф.И. Мешкова, 1-я пол. 1870-х гг., кон.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Сахаровых, нач. XIX в.1-я пол. 1870-x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С.Б. Мусатова, кон. XVIII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Рыбниковых, 1820-е гг., нач. XX в., нач. XXI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Пестриковых, 3-я четверть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П.Н. Дехтерева с воротами и оградой</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П.И. Мешкова, 1-я четв.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П.А. Гусевой, кон.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О.К. Гончаровой, нач. XIX в., руб. 1880-х-1890-х гг., сер.1900-х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Кувшинниковых («Лихвинское подворье»), 1880-е гг.,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К.В. Кулешова и М.И. Платонова, 1-я треть, кон.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И.Я. Борисова, нач., 2-я пол. XIX в., 3-я четверть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Е.В. Лариной,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Г.Я. Масленникова, 1-я треть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Г. П. Кувшинникова», 1-я посл. четверти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Вашковых, 3-я четв.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В.И. Соколова, посл. треть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Барановых,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Антипиных, нач.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Андреевых, 3-я четверть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А.С. Семенова, 3-я четверть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А.П. Садыкова, 1820-е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А.Н. Фонина, нач. XIX в., 1880-е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А.Н. Саниной, В.И. Кобелева, посл. четв. XIX в. нач. XX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А.К. Алтынникова, нач., 3-я четв.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А.И. Кирпичникова, кон. XVIII-нач. XIX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c магазином купцов Сафроновых, 1875 г.,1910-е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267</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c лавкой У.К. Ивановой, П.С. Ракова, 1781-1794 гг., 1900-е гг.</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268</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c лавками купцов Шляпиных, 1-я пол.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269</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c лавками И.И. Борисова, 1-я треть XIX в. кон. XIX-нач. XX вв.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270</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(красильная мастерская) А.С. Пестриковой, 3-я четверть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271</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Главный дом усадьбы Д.А. Акимова, 1-я, 3-я четверти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272</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Главный дом городской усадьбы, кон. XVIII в., 1830-е -1840-е гг., кон.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273</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Капыриных», 2-я., пол.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274</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М.Ф. Пестрикова», 1 четверть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275</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«Дом c лавкой Н.С. Шарустиной», посл. четв. XIX в.</w:t>
            </w:r>
          </w:p>
        </w:tc>
      </w:tr>
      <w:tr>
        <w:trPr>
          <w:trHeight w:val="300" w:hRule="atLeast"/>
        </w:trPr>
        <w:tc>
          <w:tcPr>
            <w:tcW w:w="9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276</w:t>
            </w:r>
          </w:p>
        </w:tc>
        <w:tc>
          <w:tcPr>
            <w:tcW w:w="8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 xml:space="preserve"> </w:t>
            </w:r>
            <w:r>
              <w:rPr>
                <w:color w:themeColor="text1" w:val="000000"/>
                <w:sz w:val="22"/>
                <w:szCs w:val="22"/>
              </w:rPr>
              <w:t>«Дом Сухозанет», XIX в.</w:t>
            </w:r>
          </w:p>
        </w:tc>
      </w:tr>
    </w:tbl>
    <w:p>
      <w:pPr>
        <w:sectPr>
          <w:headerReference w:type="default" r:id="rId109"/>
          <w:headerReference w:type="first" r:id="rId110"/>
          <w:footerReference w:type="default" r:id="rId111"/>
          <w:footerReference w:type="first" r:id="rId112"/>
          <w:footnotePr>
            <w:numFmt w:val="decimal"/>
          </w:footnotePr>
          <w:type w:val="nextPage"/>
          <w:pgSz w:w="11906" w:h="16838"/>
          <w:pgMar w:left="1418" w:right="1134" w:gutter="0" w:header="1134" w:top="1695" w:footer="0" w:bottom="709"/>
          <w:pgNumType w:fmt="decimal"/>
          <w:formProt w:val="false"/>
          <w:textDirection w:val="lrTb"/>
          <w:docGrid w:type="default" w:linePitch="360" w:charSpace="0"/>
        </w:sectPr>
        <w:pStyle w:val="154"/>
        <w:spacing w:before="0" w:after="60"/>
        <w:ind w:firstLine="709" w:left="0"/>
        <w:jc w:val="both"/>
        <w:rPr>
          <w:color w:themeColor="text1" w:val="000000"/>
          <w:szCs w:val="24"/>
        </w:rPr>
      </w:pPr>
      <w:r>
        <w:rPr>
          <w:rFonts w:eastAsia="Calibri"/>
          <w:color w:themeColor="text1" w:val="000000"/>
          <w:sz w:val="24"/>
          <w:szCs w:val="24"/>
          <w:lang w:eastAsia="en-US"/>
        </w:rPr>
        <w:t>Границы указанных объектов отражены в полном объеме на карте границ территорий объектов культурного наследия и зон охраны объектов культурного наследия и на карте зон с особыми условиями использования территории в составе картографического материала Генерального план.</w:t>
      </w:r>
    </w:p>
    <w:p>
      <w:pPr>
        <w:pStyle w:val="Normal"/>
        <w:jc w:val="center"/>
        <w:rPr>
          <w:color w:themeColor="text1" w:val="000000"/>
        </w:rPr>
      </w:pPr>
      <w:r>
        <w:rPr>
          <w:color w:themeColor="text1" w:val="000000"/>
        </w:rPr>
        <w:t xml:space="preserve">Перечень дошкольных учреждений, </w:t>
      </w:r>
    </w:p>
    <w:p>
      <w:pPr>
        <w:pStyle w:val="Normal"/>
        <w:jc w:val="center"/>
        <w:rPr>
          <w:color w:themeColor="text1" w:val="000000"/>
          <w:sz w:val="22"/>
          <w:szCs w:val="22"/>
        </w:rPr>
      </w:pPr>
      <w:r>
        <w:rPr>
          <w:color w:themeColor="text1" w:val="000000"/>
        </w:rPr>
        <w:t>расположенных на территории городского округа</w:t>
      </w:r>
    </w:p>
    <w:tbl>
      <w:tblPr>
        <w:tblW w:w="15276"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705"/>
        <w:gridCol w:w="3833"/>
        <w:gridCol w:w="2837"/>
        <w:gridCol w:w="1989"/>
        <w:gridCol w:w="2769"/>
        <w:gridCol w:w="3142"/>
      </w:tblGrid>
      <w:tr>
        <w:trPr>
          <w:tblHeader w:val="true"/>
          <w:cantSplit w:val="true"/>
        </w:trPr>
        <w:tc>
          <w:tcPr>
            <w:tcW w:w="70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18"/>
                <w:szCs w:val="18"/>
              </w:rPr>
              <w:t xml:space="preserve">№ </w:t>
            </w:r>
            <w:r>
              <w:rPr>
                <w:b/>
                <w:color w:themeColor="text1" w:val="000000"/>
                <w:sz w:val="18"/>
                <w:szCs w:val="18"/>
              </w:rPr>
              <w:t>п/п</w:t>
            </w:r>
          </w:p>
        </w:tc>
        <w:tc>
          <w:tcPr>
            <w:tcW w:w="383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образовательного объекта</w:t>
            </w:r>
          </w:p>
        </w:tc>
        <w:tc>
          <w:tcPr>
            <w:tcW w:w="283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Местоположение, адресное описание</w:t>
            </w:r>
          </w:p>
        </w:tc>
        <w:tc>
          <w:tcPr>
            <w:tcW w:w="198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 здания (комплекса зданий)</w:t>
            </w:r>
          </w:p>
        </w:tc>
        <w:tc>
          <w:tcPr>
            <w:tcW w:w="276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Общая площадь здания/количество рабочих мест</w:t>
            </w:r>
          </w:p>
        </w:tc>
        <w:tc>
          <w:tcPr>
            <w:tcW w:w="314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Кадастровый номер земельного участка, на котором расположен объект</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 города Калуги (корпус 1)</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 Калуга, ул. Чичерина, д. 6</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717,7/34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40:26:000181:33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 города Калуги (корпус 2)</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 Калуга, пер. Чичерина, д.13а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1014,1/35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40:26:000189:55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 Калуга, ул. Ленина, д. 45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143</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2067,5/46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40:26:000231:61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 «Ветерок»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д. Лихун, ул. Губернская, д. 25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3188,1/55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40:25:000064:1523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 «Ветерок» необособленное структурное подразделение «Елочка»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248918,</w:t>
            </w:r>
          </w:p>
          <w:p>
            <w:pPr>
              <w:pStyle w:val="Normal"/>
              <w:widowControl w:val="false"/>
              <w:rPr>
                <w:color w:themeColor="text1" w:val="000000"/>
                <w:sz w:val="22"/>
                <w:szCs w:val="22"/>
              </w:rPr>
            </w:pPr>
            <w:r>
              <w:rPr>
                <w:color w:themeColor="text1" w:val="000000"/>
                <w:sz w:val="22"/>
                <w:szCs w:val="22"/>
              </w:rPr>
              <w:t>с. Муратовского щебзавода, д. 28</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330,8/-</w:t>
            </w:r>
          </w:p>
          <w:p>
            <w:pPr>
              <w:pStyle w:val="Normal"/>
              <w:widowControl w:val="false"/>
              <w:jc w:val="center"/>
              <w:rPr>
                <w:color w:themeColor="text1" w:val="000000"/>
                <w:sz w:val="22"/>
                <w:szCs w:val="22"/>
              </w:rPr>
            </w:pPr>
            <w:r>
              <w:rPr>
                <w:color w:themeColor="text1" w:val="000000"/>
                <w:sz w:val="22"/>
                <w:szCs w:val="22"/>
              </w:rPr>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40:25:000088:144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 «Ветерок» необособленное структурное подразделение «Малыш»</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248920, г. Калуга, ж/д ст. Тихонова Пустынь,</w:t>
            </w:r>
          </w:p>
          <w:p>
            <w:pPr>
              <w:pStyle w:val="Normal"/>
              <w:widowControl w:val="false"/>
              <w:rPr>
                <w:color w:themeColor="text1" w:val="000000"/>
                <w:sz w:val="22"/>
                <w:szCs w:val="22"/>
              </w:rPr>
            </w:pPr>
            <w:r>
              <w:rPr>
                <w:color w:themeColor="text1" w:val="000000"/>
                <w:sz w:val="22"/>
                <w:szCs w:val="22"/>
              </w:rPr>
              <w:t>ул. Советская, д. 3</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257,3/16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40:25:000037:20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 «Ветерок» необособленное структурное подразделение «Одуванчик»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248920, п. Мирный, д. 25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260,4/21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40:25:000038:416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12 «Ромашка»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248915, д. Мстихино, ул. Радужная, д. 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168</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3203,2/48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40:25:000130:934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15 «Ракета»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248001, г. Калуга, ул. Воронина, д. 30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4093,4/73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40:26:000265:27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16 «Колобок»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Первомайская, д. 39а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597,7 – строение 1</w:t>
            </w:r>
          </w:p>
          <w:p>
            <w:pPr>
              <w:pStyle w:val="Normal"/>
              <w:widowControl w:val="false"/>
              <w:jc w:val="center"/>
              <w:rPr>
                <w:color w:themeColor="text1" w:val="000000"/>
                <w:sz w:val="22"/>
                <w:szCs w:val="22"/>
              </w:rPr>
            </w:pPr>
            <w:r>
              <w:rPr>
                <w:color w:themeColor="text1" w:val="000000"/>
                <w:sz w:val="22"/>
                <w:szCs w:val="22"/>
              </w:rPr>
              <w:t>927,1 – строение 2/51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40:26:000350:91</w:t>
            </w:r>
          </w:p>
          <w:p>
            <w:pPr>
              <w:pStyle w:val="Normal"/>
              <w:widowControl w:val="false"/>
              <w:jc w:val="center"/>
              <w:rPr>
                <w:color w:themeColor="text1" w:val="000000"/>
                <w:sz w:val="22"/>
                <w:szCs w:val="22"/>
              </w:rPr>
            </w:pPr>
            <w:r>
              <w:rPr>
                <w:color w:themeColor="text1" w:val="000000"/>
                <w:sz w:val="22"/>
                <w:szCs w:val="22"/>
              </w:rPr>
              <w:t>40:26:000350:92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18 «Ягодка»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Строительная, д.1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922,2/41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40:04:020603:70</w:t>
            </w:r>
          </w:p>
          <w:p>
            <w:pPr>
              <w:pStyle w:val="Normal"/>
              <w:widowControl w:val="false"/>
              <w:jc w:val="center"/>
              <w:rPr>
                <w:color w:themeColor="text1" w:val="000000"/>
                <w:sz w:val="22"/>
                <w:szCs w:val="22"/>
              </w:rPr>
            </w:pPr>
            <w:r>
              <w:rPr>
                <w:color w:themeColor="text1" w:val="000000"/>
                <w:sz w:val="22"/>
                <w:szCs w:val="22"/>
              </w:rPr>
              <w:t>40:04:020603:71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21 «Золотые зернышки»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 Калуга, ул. Глаголева, д.30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1218,7/44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40:26:000158:0014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21 «Золотые зернышки» необособленное структурное подразделение «Кроха»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 Калуга, ул. Московская, д. 232</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387,8 (1 этаж жилого дома) /26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40:26:000183:0034 (только прогулочные участки)</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21 «Золотые зернышки» необособленное структурное подразделение «Радуга»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 Калуга, ул. Новая стройка, д. 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635,7 (1 этаж жилого дома) /26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40:26:000184:0013 (только прогулочные участки)</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21 «Золотые зернышки» необособленное структурное подразделение «Соловушка»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 Калуга, пер. Строительный, д.</w:t>
            </w:r>
            <w:r>
              <w:rPr>
                <w:color w:themeColor="text1" w:val="000000"/>
                <w:sz w:val="22"/>
                <w:szCs w:val="22"/>
                <w:lang w:val="en-US"/>
              </w:rPr>
              <w:t> </w:t>
            </w:r>
            <w:r>
              <w:rPr>
                <w:color w:themeColor="text1" w:val="000000"/>
                <w:sz w:val="22"/>
                <w:szCs w:val="22"/>
              </w:rPr>
              <w:t>13а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84</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533,0/24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40:26:000090:0030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26 «Гвоздика»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 Калуга, ул. Первых Коммунаров,</w:t>
            </w:r>
          </w:p>
          <w:p>
            <w:pPr>
              <w:pStyle w:val="Normal"/>
              <w:widowControl w:val="false"/>
              <w:rPr>
                <w:color w:themeColor="text1" w:val="000000"/>
                <w:sz w:val="22"/>
                <w:szCs w:val="22"/>
              </w:rPr>
            </w:pPr>
            <w:r>
              <w:rPr>
                <w:color w:themeColor="text1" w:val="000000"/>
                <w:sz w:val="22"/>
                <w:szCs w:val="22"/>
              </w:rPr>
              <w:t>д. 19а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1916,70/44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Земля не оформлена, принадлежит Министерству обороны РФ</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26 «Гвоздика» города Калуги необособленное структурное подразделение «Росточек»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 Калуга, ул. 40-летия Октября, д. 4 пом. 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459,7/9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Земля не оформлена</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29 «Звездочка»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Никитина, д. 133б</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2578,7/49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40:26:000274:22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30 города Калуги (корпус 1)</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Никитина, д. 93а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506,4/26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40:26:000300:0041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30 города Калуги (корпус 2)</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Мичурина, д. 38а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1714,3/52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40:26:000301:8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34 «Зоренька»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Социалистическая, д.</w:t>
            </w:r>
            <w:r>
              <w:rPr>
                <w:color w:themeColor="text1" w:val="000000"/>
                <w:sz w:val="22"/>
                <w:szCs w:val="22"/>
                <w:lang w:val="en-US"/>
              </w:rPr>
              <w:t> </w:t>
            </w:r>
            <w:r>
              <w:rPr>
                <w:color w:themeColor="text1" w:val="000000"/>
                <w:sz w:val="22"/>
                <w:szCs w:val="22"/>
              </w:rPr>
              <w:t>2б</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258</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2275,1/72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40:26:000153:16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36 «Аленький цветочек»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 Калуга, ул.</w:t>
            </w:r>
            <w:r>
              <w:rPr>
                <w:color w:themeColor="text1" w:val="000000"/>
                <w:sz w:val="22"/>
                <w:szCs w:val="22"/>
                <w:lang w:val="en-US"/>
              </w:rPr>
              <w:t> </w:t>
            </w:r>
            <w:r>
              <w:rPr>
                <w:color w:themeColor="text1" w:val="000000"/>
                <w:sz w:val="22"/>
                <w:szCs w:val="22"/>
              </w:rPr>
              <w:t>Платова, д. 3</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1558,8/73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40:26:000200:745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37 «Веселые нотки»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248018,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Чехова, д. 9</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164</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1054,8/48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40:26:000238:27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41 «Ивушка»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 Калуга, ул. Московская, д. 186</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2260,7/57</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40:26:000193:10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44 «Анютины глазки»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248002, г. Калуга, ул.</w:t>
            </w:r>
            <w:r>
              <w:rPr>
                <w:color w:themeColor="text1" w:val="000000"/>
                <w:sz w:val="22"/>
                <w:szCs w:val="22"/>
                <w:lang w:val="en-US"/>
              </w:rPr>
              <w:t> </w:t>
            </w:r>
            <w:r>
              <w:rPr>
                <w:color w:themeColor="text1" w:val="000000"/>
                <w:sz w:val="22"/>
                <w:szCs w:val="22"/>
              </w:rPr>
              <w:t>Степана Разина, д.</w:t>
            </w:r>
            <w:r>
              <w:rPr>
                <w:color w:themeColor="text1" w:val="000000"/>
                <w:sz w:val="22"/>
                <w:szCs w:val="22"/>
                <w:lang w:val="en-US"/>
              </w:rPr>
              <w:t> </w:t>
            </w:r>
            <w:r>
              <w:rPr>
                <w:color w:themeColor="text1" w:val="000000"/>
                <w:sz w:val="22"/>
                <w:szCs w:val="22"/>
              </w:rPr>
              <w:t>36а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1959/76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40:26:000327:0024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44 «Анютины глазки» города Калуги необособленное структурное подразделение «Фантазеры»</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Знаменская, д. 47/9</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1599,7/32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40:26:000361:25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45 «Огонек»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Молодежная, д. 8</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1984,5/79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40:26:000209:0022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49 «Белочка»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Московская, д. 170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194</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2329,5/73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40:26:000193:12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29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50 «Аленушка»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Тульская, д. 68</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1944,2/84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40:26:000315:39</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51 «Тополек»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248002, г. Калуга, ул.</w:t>
            </w:r>
            <w:r>
              <w:rPr>
                <w:color w:themeColor="text1" w:val="000000"/>
                <w:sz w:val="22"/>
                <w:szCs w:val="22"/>
                <w:lang w:val="en-US"/>
              </w:rPr>
              <w:t> </w:t>
            </w:r>
            <w:r>
              <w:rPr>
                <w:color w:themeColor="text1" w:val="000000"/>
                <w:sz w:val="22"/>
                <w:szCs w:val="22"/>
              </w:rPr>
              <w:t>Степана Разина, д. 57</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1858,5/82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40:26:000328:260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53 «Искорка»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Циолковского, д. 3</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961,9/47</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40:26:000293:0025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53 «Искорка» необособленное структурное подразделение «Карамелька»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 Калуга, ул. Академика Королева,</w:t>
            </w:r>
          </w:p>
          <w:p>
            <w:pPr>
              <w:pStyle w:val="Normal"/>
              <w:widowControl w:val="false"/>
              <w:rPr>
                <w:color w:themeColor="text1" w:val="000000"/>
                <w:sz w:val="22"/>
                <w:szCs w:val="22"/>
              </w:rPr>
            </w:pPr>
            <w:r>
              <w:rPr>
                <w:color w:themeColor="text1" w:val="000000"/>
                <w:sz w:val="22"/>
                <w:szCs w:val="22"/>
              </w:rPr>
              <w:t>д. 6</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Литера 1 – 231</w:t>
            </w:r>
          </w:p>
          <w:p>
            <w:pPr>
              <w:pStyle w:val="Normal"/>
              <w:widowControl w:val="false"/>
              <w:jc w:val="center"/>
              <w:rPr>
                <w:color w:themeColor="text1" w:val="000000"/>
                <w:sz w:val="22"/>
                <w:szCs w:val="22"/>
              </w:rPr>
            </w:pPr>
            <w:r>
              <w:rPr>
                <w:color w:themeColor="text1" w:val="000000"/>
                <w:sz w:val="22"/>
                <w:szCs w:val="22"/>
              </w:rPr>
              <w:t>Литера 2 – 206,5</w:t>
            </w:r>
          </w:p>
          <w:p>
            <w:pPr>
              <w:pStyle w:val="Normal"/>
              <w:widowControl w:val="false"/>
              <w:jc w:val="center"/>
              <w:rPr>
                <w:color w:themeColor="text1" w:val="000000"/>
                <w:sz w:val="22"/>
                <w:szCs w:val="22"/>
              </w:rPr>
            </w:pPr>
            <w:r>
              <w:rPr>
                <w:color w:themeColor="text1" w:val="000000"/>
                <w:sz w:val="22"/>
                <w:szCs w:val="22"/>
              </w:rPr>
              <w:t>Литера 3 – 120,4/25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40:26:000306:43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54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 Калуга, ул. Билибина, д. 34</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664,3/35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40:26:000193:5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55 «Пчелка»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 Калуга, ул. В. Андриановой, д. 86</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171</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859,1/30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40:26:000195:0013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57 «Рябинка»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248029, г. Калуга, ул. Гурьянова, д. 35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119</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718/36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40:26:000070:022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60 «Колосок»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 Калуга, ул. Баррикад, д. 153</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1957/68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40:26:000233:14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63 «Малинка»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 Калуга, ул. Радищева, д. 2</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1994,5/79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40:26:000143:18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64 «Золотая рыбка»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 Калуга, ул. Билибина, д.</w:t>
            </w:r>
            <w:r>
              <w:rPr>
                <w:color w:themeColor="text1" w:val="000000"/>
                <w:sz w:val="22"/>
                <w:szCs w:val="22"/>
                <w:lang w:val="en-US"/>
              </w:rPr>
              <w:t> </w:t>
            </w:r>
            <w:r>
              <w:rPr>
                <w:color w:themeColor="text1" w:val="000000"/>
                <w:sz w:val="22"/>
                <w:szCs w:val="22"/>
              </w:rPr>
              <w:t>50а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1339,40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40:26:000194:33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39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66 «Яблонька»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 Калуга, ул. В.</w:t>
            </w:r>
            <w:r>
              <w:rPr>
                <w:color w:themeColor="text1" w:val="000000"/>
                <w:sz w:val="22"/>
                <w:szCs w:val="22"/>
                <w:lang w:val="en-US"/>
              </w:rPr>
              <w:t> </w:t>
            </w:r>
            <w:r>
              <w:rPr>
                <w:color w:themeColor="text1" w:val="000000"/>
                <w:sz w:val="22"/>
                <w:szCs w:val="22"/>
              </w:rPr>
              <w:t>Андриановой, д.</w:t>
            </w:r>
            <w:r>
              <w:rPr>
                <w:color w:themeColor="text1" w:val="000000"/>
                <w:sz w:val="22"/>
                <w:szCs w:val="22"/>
                <w:lang w:val="en-US"/>
              </w:rPr>
              <w:t> </w:t>
            </w:r>
            <w:r>
              <w:rPr>
                <w:color w:themeColor="text1" w:val="000000"/>
                <w:sz w:val="22"/>
                <w:szCs w:val="22"/>
              </w:rPr>
              <w:t>66</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257</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1926,9/52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40:26:000195:30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67 «Поляночка»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248921, д. Шопино, ул. Центральная, д.</w:t>
            </w:r>
            <w:r>
              <w:rPr>
                <w:color w:themeColor="text1" w:val="000000"/>
                <w:sz w:val="22"/>
                <w:szCs w:val="22"/>
                <w:lang w:val="en-US"/>
              </w:rPr>
              <w:t> </w:t>
            </w:r>
            <w:r>
              <w:rPr>
                <w:color w:themeColor="text1" w:val="000000"/>
                <w:sz w:val="22"/>
                <w:szCs w:val="22"/>
              </w:rPr>
              <w:t>14</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1002,8/55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40:25:000179:1583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67 «Поляночка» необособленное структурное подразделение «Солнышко»</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Ромодановские Дворики, д. 61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67</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color w:themeColor="text1" w:val="000000"/>
                <w:sz w:val="22"/>
                <w:szCs w:val="22"/>
              </w:rPr>
              <w:t>Часть здания МБОУ «Средняя общеобразовательная школа № 6 имени</w:t>
            </w:r>
          </w:p>
          <w:p>
            <w:pPr>
              <w:pStyle w:val="Normal"/>
              <w:widowControl w:val="false"/>
              <w:jc w:val="center"/>
              <w:rPr>
                <w:color w:themeColor="text1" w:val="000000"/>
                <w:sz w:val="22"/>
                <w:szCs w:val="22"/>
              </w:rPr>
            </w:pPr>
            <w:r>
              <w:rPr>
                <w:color w:themeColor="text1" w:val="000000"/>
                <w:sz w:val="22"/>
                <w:szCs w:val="22"/>
              </w:rPr>
              <w:t>А.С. Пушкина» г. Калуги/д.14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40:26:000390:580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67 «Поляночка» необособленное структурное подразделение «Журавленок»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248911, д. Колюпаново</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48</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311,3/22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40:25:000240:2200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70 «Красная шапочка»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248018, г. Калуга, ул. Маршала Жукова, д. 16</w:t>
            </w:r>
          </w:p>
          <w:p>
            <w:pPr>
              <w:pStyle w:val="Normal"/>
              <w:widowControl w:val="false"/>
              <w:rPr>
                <w:color w:themeColor="text1" w:val="000000"/>
                <w:sz w:val="22"/>
                <w:szCs w:val="22"/>
              </w:rPr>
            </w:pPr>
            <w:r>
              <w:rPr>
                <w:color w:themeColor="text1" w:val="000000"/>
                <w:sz w:val="22"/>
                <w:szCs w:val="22"/>
              </w:rPr>
              <w:t>248003 г. Калуга, ул. Тульская, д. 131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258</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3422,5/85</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2880,0/-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40:26:000272:24</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40:26:000273:10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72 «Калинка»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 Калуга, ул. Радищева, д. 4</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224</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3006,1/62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40:26:000143:17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72 «Калинка» города Калуги необособленное структурное подразделение «Дельфиненок»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w:t>
            </w:r>
            <w:r>
              <w:rPr>
                <w:color w:themeColor="text1" w:val="000000"/>
                <w:sz w:val="22"/>
                <w:szCs w:val="22"/>
                <w:lang w:val="en-US"/>
              </w:rPr>
              <w:t> </w:t>
            </w:r>
            <w:r>
              <w:rPr>
                <w:color w:themeColor="text1" w:val="000000"/>
                <w:sz w:val="22"/>
                <w:szCs w:val="22"/>
              </w:rPr>
              <w:t>Калуга, проезд Юрия Круглова, зд.3</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6444,3/72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40:26:000167:1449</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72 «Калинка» города Калуги необособленное структурное подразделение «Солнечный зайчик»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Маяковского, д.29а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5906,2/77</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40:26:000211:84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74 «Радость»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w:t>
            </w:r>
            <w:r>
              <w:rPr>
                <w:color w:themeColor="text1" w:val="000000"/>
                <w:sz w:val="22"/>
                <w:szCs w:val="22"/>
                <w:lang w:val="en-US"/>
              </w:rPr>
              <w:t> </w:t>
            </w:r>
            <w:r>
              <w:rPr>
                <w:color w:themeColor="text1" w:val="000000"/>
                <w:sz w:val="22"/>
                <w:szCs w:val="22"/>
              </w:rPr>
              <w:t>Калуга, д.</w:t>
            </w:r>
            <w:r>
              <w:rPr>
                <w:color w:themeColor="text1" w:val="000000"/>
                <w:sz w:val="22"/>
                <w:szCs w:val="22"/>
                <w:lang w:val="en-US"/>
              </w:rPr>
              <w:t> </w:t>
            </w:r>
            <w:r>
              <w:rPr>
                <w:color w:themeColor="text1" w:val="000000"/>
                <w:sz w:val="22"/>
                <w:szCs w:val="22"/>
              </w:rPr>
              <w:t>Канищево,</w:t>
            </w:r>
          </w:p>
          <w:p>
            <w:pPr>
              <w:pStyle w:val="Normal"/>
              <w:widowControl w:val="false"/>
              <w:rPr>
                <w:color w:themeColor="text1" w:val="000000"/>
                <w:sz w:val="22"/>
                <w:szCs w:val="22"/>
              </w:rPr>
            </w:pPr>
            <w:r>
              <w:rPr>
                <w:color w:themeColor="text1" w:val="000000"/>
                <w:sz w:val="22"/>
                <w:szCs w:val="22"/>
              </w:rPr>
              <w:t>ул.</w:t>
            </w:r>
            <w:r>
              <w:rPr>
                <w:color w:themeColor="text1" w:val="000000"/>
                <w:sz w:val="22"/>
                <w:szCs w:val="22"/>
                <w:lang w:val="en-US"/>
              </w:rPr>
              <w:t> </w:t>
            </w:r>
            <w:r>
              <w:rPr>
                <w:color w:themeColor="text1" w:val="000000"/>
                <w:sz w:val="22"/>
                <w:szCs w:val="22"/>
              </w:rPr>
              <w:t>Новая, д.3а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596,4/31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40:25:000100:554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75 «Синяя птица»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Николо-Козинская,</w:t>
            </w:r>
          </w:p>
          <w:p>
            <w:pPr>
              <w:pStyle w:val="Normal"/>
              <w:widowControl w:val="false"/>
              <w:rPr>
                <w:color w:themeColor="text1" w:val="000000"/>
                <w:sz w:val="22"/>
                <w:szCs w:val="22"/>
              </w:rPr>
            </w:pPr>
            <w:r>
              <w:rPr>
                <w:color w:themeColor="text1" w:val="000000"/>
                <w:sz w:val="22"/>
                <w:szCs w:val="22"/>
              </w:rPr>
              <w:t>д.71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1051,1/42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40:26:000355:14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49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77 «Родничок»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248030, г.</w:t>
            </w:r>
            <w:r>
              <w:rPr>
                <w:color w:themeColor="text1" w:val="000000"/>
                <w:sz w:val="22"/>
                <w:szCs w:val="22"/>
                <w:lang w:val="en-US"/>
              </w:rPr>
              <w:t> </w:t>
            </w:r>
            <w:r>
              <w:rPr>
                <w:color w:themeColor="text1" w:val="000000"/>
                <w:sz w:val="22"/>
                <w:szCs w:val="22"/>
              </w:rPr>
              <w:t>Калуга,</w:t>
            </w:r>
          </w:p>
          <w:p>
            <w:pPr>
              <w:pStyle w:val="Normal"/>
              <w:widowControl w:val="false"/>
              <w:rPr>
                <w:color w:themeColor="text1" w:val="000000"/>
                <w:sz w:val="22"/>
                <w:szCs w:val="22"/>
              </w:rPr>
            </w:pPr>
            <w:r>
              <w:rPr>
                <w:color w:themeColor="text1" w:val="000000"/>
                <w:sz w:val="22"/>
                <w:szCs w:val="22"/>
              </w:rPr>
              <w:t>ул.</w:t>
            </w:r>
            <w:r>
              <w:rPr>
                <w:color w:themeColor="text1" w:val="000000"/>
                <w:sz w:val="22"/>
                <w:szCs w:val="22"/>
                <w:lang w:val="en-US"/>
              </w:rPr>
              <w:t> </w:t>
            </w:r>
            <w:r>
              <w:rPr>
                <w:color w:themeColor="text1" w:val="000000"/>
                <w:sz w:val="22"/>
                <w:szCs w:val="22"/>
              </w:rPr>
              <w:t>Рылеева, д.5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9393/53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40:26:000261:13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77 необособленное структурное подразделение «Аистенок»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Ленина, д.69а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4830/37</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40:26:000297:30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77 «Родничок» необособленное структурное подразделение «Лучик»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Воскресенская, д.10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83</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2668/14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40:26:000342:23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77 «Родничок» необособленное структурное подразделение «Колокольчик»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Чебышева, д.6а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6591/78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40:26:000320:9</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80 «Медвежонок»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Пригородная, д.27</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2565,6/76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40:26:031203:0002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81 «Дюймовочка»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w:t>
            </w:r>
            <w:r>
              <w:rPr>
                <w:color w:themeColor="text1" w:val="000000"/>
                <w:sz w:val="22"/>
                <w:szCs w:val="22"/>
                <w:lang w:val="en-US"/>
              </w:rPr>
              <w:t> </w:t>
            </w:r>
            <w:r>
              <w:rPr>
                <w:color w:themeColor="text1" w:val="000000"/>
                <w:sz w:val="22"/>
                <w:szCs w:val="22"/>
              </w:rPr>
              <w:t>Калуга, Грабцевское шоссе, д.124</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147</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1650,5/49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40:26:000203:43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82 «Чиполлино»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Тепличная, д.6а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149</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1623,2/49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40:26:000006:12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83 «Соколенок»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Баррикад, д.142</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2589,7/55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40:26:000267:24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85 «Белоснежка»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Николо-Козинская, д.38</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2014,2/72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40:26:000325:0003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86 «Березка»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248901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Школьная, д.15а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1019,8 – строение 1</w:t>
            </w:r>
          </w:p>
          <w:p>
            <w:pPr>
              <w:pStyle w:val="Normal"/>
              <w:widowControl w:val="false"/>
              <w:jc w:val="center"/>
              <w:rPr>
                <w:color w:themeColor="text1" w:val="000000"/>
                <w:sz w:val="22"/>
                <w:szCs w:val="22"/>
              </w:rPr>
            </w:pPr>
            <w:r>
              <w:rPr>
                <w:color w:themeColor="text1" w:val="000000"/>
                <w:sz w:val="22"/>
                <w:szCs w:val="22"/>
              </w:rPr>
              <w:t>303,9 – строение 2/38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40:25:000148:0403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59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87 «Золушка»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w:t>
            </w:r>
            <w:r>
              <w:rPr>
                <w:color w:themeColor="text1" w:val="000000"/>
                <w:sz w:val="22"/>
                <w:szCs w:val="22"/>
                <w:lang w:val="en-US"/>
              </w:rPr>
              <w:t> </w:t>
            </w:r>
            <w:r>
              <w:rPr>
                <w:color w:themeColor="text1" w:val="000000"/>
                <w:sz w:val="22"/>
                <w:szCs w:val="22"/>
              </w:rPr>
              <w:t>Горького, д.9</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269</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3357,5/85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40:26:000271:16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88 «Алые паруса»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Огарева, д.15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2729,8/88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40:26:000262:24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90 «Ласточка»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Московская, д.319</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1278,1/45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40:26:000015:15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90 «Ласточка» необособленное структурное подразделение «Жар-птица»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Кибальчича, д.34</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2263,2/45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40:26:000012:98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91 «Бригантина»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248009, г.</w:t>
            </w:r>
            <w:r>
              <w:rPr>
                <w:color w:themeColor="text1" w:val="000000"/>
                <w:sz w:val="22"/>
                <w:szCs w:val="22"/>
                <w:lang w:val="en-US"/>
              </w:rPr>
              <w:t> </w:t>
            </w:r>
            <w:r>
              <w:rPr>
                <w:color w:themeColor="text1" w:val="000000"/>
                <w:sz w:val="22"/>
                <w:szCs w:val="22"/>
              </w:rPr>
              <w:t>Калуга, Грабцевское шоссе, д.136</w:t>
            </w:r>
          </w:p>
          <w:p>
            <w:pPr>
              <w:pStyle w:val="Normal"/>
              <w:widowControl w:val="false"/>
              <w:rPr>
                <w:color w:themeColor="text1" w:val="000000"/>
                <w:sz w:val="22"/>
                <w:szCs w:val="22"/>
              </w:rPr>
            </w:pPr>
            <w:r>
              <w:rPr>
                <w:color w:themeColor="text1" w:val="000000"/>
                <w:sz w:val="22"/>
                <w:szCs w:val="22"/>
              </w:rPr>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4118,6/85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40:26:000206:26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92 «Парус»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w:t>
            </w:r>
            <w:r>
              <w:rPr>
                <w:color w:themeColor="text1" w:val="000000"/>
                <w:sz w:val="22"/>
                <w:szCs w:val="22"/>
                <w:lang w:val="en-US"/>
              </w:rPr>
              <w:t> </w:t>
            </w:r>
            <w:r>
              <w:rPr>
                <w:color w:themeColor="text1" w:val="000000"/>
                <w:sz w:val="22"/>
                <w:szCs w:val="22"/>
              </w:rPr>
              <w:t>Калуга,</w:t>
            </w:r>
          </w:p>
          <w:p>
            <w:pPr>
              <w:pStyle w:val="Normal"/>
              <w:widowControl w:val="false"/>
              <w:rPr>
                <w:color w:themeColor="text1" w:val="000000"/>
                <w:sz w:val="22"/>
                <w:szCs w:val="22"/>
              </w:rPr>
            </w:pPr>
            <w:r>
              <w:rPr>
                <w:color w:themeColor="text1" w:val="000000"/>
                <w:sz w:val="22"/>
                <w:szCs w:val="22"/>
              </w:rPr>
              <w:t>ул.</w:t>
            </w:r>
            <w:r>
              <w:rPr>
                <w:color w:themeColor="text1" w:val="000000"/>
                <w:sz w:val="22"/>
                <w:szCs w:val="22"/>
                <w:lang w:val="en-US"/>
              </w:rPr>
              <w:t> </w:t>
            </w:r>
            <w:r>
              <w:rPr>
                <w:color w:themeColor="text1" w:val="000000"/>
                <w:sz w:val="22"/>
                <w:szCs w:val="22"/>
              </w:rPr>
              <w:t>Льва Толстого, д.3а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3700,6/87</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40:26:000285:97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color w:themeColor="text1" w:val="000000"/>
                <w:sz w:val="22"/>
                <w:szCs w:val="22"/>
              </w:rPr>
              <w:t>Муниципальное бюджетное дошкольное образовательное учреждение № 94 «Забава»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Луговая, д.41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274</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4044,1/80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40:26:000128:27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96 «Снежинка»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Вишневского, д.20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2562,1/61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40:26:000395:461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96 «Снежинка» необособленное структурное подразделение «Капелька»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Вишневского</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1549,8/20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40:26:000395:17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97 «Ленок»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Турынинская, д.17а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1209,4/51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40:26:000249:48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69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102 «Терем-теремок»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Дорожная, д.33а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261</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3458,20/86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40:26:000005:41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102 «Терем-теремок» города Калуги необособленное структурное подразделение «Бусинки»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Дорожная, д.25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2851,60/26</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40:25:000105:1230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103 «Лесная сказка»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w:t>
            </w:r>
            <w:r>
              <w:rPr>
                <w:color w:themeColor="text1" w:val="000000"/>
                <w:sz w:val="22"/>
                <w:szCs w:val="22"/>
                <w:lang w:val="en-US"/>
              </w:rPr>
              <w:t> </w:t>
            </w:r>
            <w:r>
              <w:rPr>
                <w:color w:themeColor="text1" w:val="000000"/>
                <w:sz w:val="22"/>
                <w:szCs w:val="22"/>
              </w:rPr>
              <w:t>Калуга, бульвар Энтузиастов, д.13</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3123/109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40:26:000052:28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72</w:t>
            </w:r>
          </w:p>
        </w:tc>
        <w:tc>
          <w:tcPr>
            <w:tcW w:w="38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103 «Лесная сказка» города Калуги необособленное структурное подразделение «Лунтик»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Азаровская, д.40 к.2</w:t>
            </w:r>
          </w:p>
          <w:p>
            <w:pPr>
              <w:pStyle w:val="Normal"/>
              <w:widowControl w:val="false"/>
              <w:rPr>
                <w:color w:themeColor="text1" w:val="000000"/>
                <w:sz w:val="22"/>
                <w:szCs w:val="22"/>
              </w:rPr>
            </w:pPr>
            <w:r>
              <w:rPr>
                <w:color w:themeColor="text1" w:val="000000"/>
                <w:sz w:val="22"/>
                <w:szCs w:val="22"/>
              </w:rPr>
            </w:r>
          </w:p>
          <w:p>
            <w:pPr>
              <w:pStyle w:val="Normal"/>
              <w:widowControl w:val="false"/>
              <w:rPr>
                <w:color w:themeColor="text1" w:val="000000"/>
                <w:sz w:val="22"/>
                <w:szCs w:val="22"/>
              </w:rPr>
            </w:pPr>
            <w:r>
              <w:rPr>
                <w:color w:themeColor="text1" w:val="000000"/>
                <w:sz w:val="22"/>
                <w:szCs w:val="22"/>
              </w:rPr>
              <w:t>248017,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Азаровская, д.40 к.3</w:t>
            </w:r>
          </w:p>
          <w:p>
            <w:pPr>
              <w:pStyle w:val="Normal"/>
              <w:widowControl w:val="false"/>
              <w:rPr>
                <w:color w:themeColor="text1" w:val="000000"/>
                <w:sz w:val="22"/>
                <w:szCs w:val="22"/>
              </w:rPr>
            </w:pPr>
            <w:r>
              <w:rPr>
                <w:color w:themeColor="text1" w:val="000000"/>
                <w:sz w:val="22"/>
                <w:szCs w:val="22"/>
              </w:rPr>
            </w:r>
          </w:p>
          <w:p>
            <w:pPr>
              <w:pStyle w:val="Normal"/>
              <w:widowControl w:val="false"/>
              <w:rPr>
                <w:color w:themeColor="text1" w:val="000000"/>
                <w:sz w:val="22"/>
                <w:szCs w:val="22"/>
              </w:rPr>
            </w:pPr>
            <w:r>
              <w:rPr>
                <w:color w:themeColor="text1" w:val="000000"/>
                <w:sz w:val="22"/>
                <w:szCs w:val="22"/>
              </w:rPr>
              <w:t>248017,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Азаровская, д.40 к.1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 этаж жилого дома</w:t>
            </w:r>
          </w:p>
          <w:p>
            <w:pPr>
              <w:pStyle w:val="Normal"/>
              <w:widowControl w:val="false"/>
              <w:jc w:val="center"/>
              <w:rPr>
                <w:color w:themeColor="text1" w:val="000000"/>
                <w:sz w:val="22"/>
                <w:szCs w:val="22"/>
              </w:rPr>
            </w:pPr>
            <w:r>
              <w:rPr>
                <w:color w:themeColor="text1" w:val="000000"/>
                <w:sz w:val="22"/>
                <w:szCs w:val="22"/>
              </w:rPr>
              <w:t>251,6/7</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346,6/7</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281,2/1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40:26:000074:84 (только прогулочные усчастки)</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104 «Семицветик»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Малоярославецкая, д.7</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337</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3863,1/89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40:26:000021:44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106 «Светлячок»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Карачевская, д.27</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141</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1731,9/48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40:26:000068:0021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108 «Дружба»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248008, г.</w:t>
            </w:r>
            <w:r>
              <w:rPr>
                <w:color w:themeColor="text1" w:val="000000"/>
                <w:sz w:val="22"/>
                <w:szCs w:val="22"/>
                <w:lang w:val="en-US"/>
              </w:rPr>
              <w:t> </w:t>
            </w:r>
            <w:r>
              <w:rPr>
                <w:color w:themeColor="text1" w:val="000000"/>
                <w:sz w:val="22"/>
                <w:szCs w:val="22"/>
              </w:rPr>
              <w:t>Калуга, пер.</w:t>
            </w:r>
            <w:r>
              <w:rPr>
                <w:color w:themeColor="text1" w:val="000000"/>
                <w:sz w:val="22"/>
                <w:szCs w:val="22"/>
                <w:lang w:val="en-US"/>
              </w:rPr>
              <w:t> </w:t>
            </w:r>
            <w:r>
              <w:rPr>
                <w:color w:themeColor="text1" w:val="000000"/>
                <w:sz w:val="22"/>
                <w:szCs w:val="22"/>
              </w:rPr>
              <w:t>Ольговский, д.7</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3524,1/83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40:26:000061:15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110</w:t>
            </w:r>
          </w:p>
          <w:p>
            <w:pPr>
              <w:pStyle w:val="Normal"/>
              <w:widowControl w:val="false"/>
              <w:rPr>
                <w:color w:themeColor="text1" w:val="000000"/>
                <w:sz w:val="22"/>
                <w:szCs w:val="22"/>
              </w:rPr>
            </w:pPr>
            <w:r>
              <w:rPr>
                <w:color w:themeColor="text1" w:val="000000"/>
                <w:sz w:val="22"/>
                <w:szCs w:val="22"/>
              </w:rPr>
              <w:t>«Золотой петушок»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Кубяка, д.15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278</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3516,90/77</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40:26:000022:76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 116 города Калуги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Гагарина, д.35а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858,8/45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40:26:000306:3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«Росинка»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Вооруженного восстания, д.5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1391,40/43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40:26:000257:56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79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«Журавушка»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Вооруженного восстания, д.5а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131</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1222,50/49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40:26:000257:45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«Бережок»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248033,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lang w:val="ru-RU"/>
              </w:rPr>
              <w:t>Г.</w:t>
            </w:r>
            <w:r>
              <w:rPr>
                <w:color w:themeColor="text1" w:val="000000"/>
                <w:sz w:val="22"/>
                <w:szCs w:val="22"/>
              </w:rPr>
              <w:t>Димитрова, д.14</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3733,00/84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40:26:000377:60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«Улыбка»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Генерала Попова, д.30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4441,40/83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40:26:000394:16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«Планета»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w:t>
            </w:r>
            <w:r>
              <w:rPr>
                <w:color w:themeColor="text1" w:val="000000"/>
                <w:sz w:val="22"/>
                <w:szCs w:val="22"/>
                <w:lang w:val="en-US"/>
              </w:rPr>
              <w:t> </w:t>
            </w:r>
            <w:r>
              <w:rPr>
                <w:color w:themeColor="text1" w:val="000000"/>
                <w:sz w:val="22"/>
                <w:szCs w:val="22"/>
              </w:rPr>
              <w:t>Калуга, ул. 65 лет Победы, д.8</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297</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4403,10/129</w:t>
            </w:r>
          </w:p>
          <w:p>
            <w:pPr>
              <w:pStyle w:val="Normal"/>
              <w:widowControl w:val="false"/>
              <w:jc w:val="center"/>
              <w:rPr>
                <w:color w:themeColor="text1" w:val="000000"/>
                <w:sz w:val="22"/>
                <w:szCs w:val="22"/>
              </w:rPr>
            </w:pPr>
            <w:r>
              <w:rPr>
                <w:color w:themeColor="text1" w:val="000000"/>
                <w:sz w:val="22"/>
                <w:szCs w:val="22"/>
              </w:rPr>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40:26:000384:2082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«Мозаика»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w:t>
            </w:r>
            <w:r>
              <w:rPr>
                <w:color w:themeColor="text1" w:val="000000"/>
                <w:sz w:val="22"/>
                <w:szCs w:val="22"/>
                <w:lang w:val="en-US"/>
              </w:rPr>
              <w:t> </w:t>
            </w:r>
            <w:r>
              <w:rPr>
                <w:color w:themeColor="text1" w:val="000000"/>
                <w:sz w:val="22"/>
                <w:szCs w:val="22"/>
              </w:rPr>
              <w:t>Калуга, ул. 65 лет Победы, д.12</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4776,50/81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40:26:000384:2024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«Кораблик»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Георгия Амелина, д.37</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453</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5219,20/120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40:26:000372:586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«Цветочный город»</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Полесская, д.20</w:t>
            </w:r>
          </w:p>
          <w:p>
            <w:pPr>
              <w:pStyle w:val="Normal"/>
              <w:widowControl w:val="false"/>
              <w:rPr>
                <w:color w:themeColor="text1" w:val="000000"/>
                <w:sz w:val="22"/>
                <w:szCs w:val="22"/>
              </w:rPr>
            </w:pPr>
            <w:r>
              <w:rPr>
                <w:color w:themeColor="text1" w:val="000000"/>
                <w:sz w:val="22"/>
                <w:szCs w:val="22"/>
              </w:rPr>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227</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4535,50/63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40:25:000182:616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«Цветочный город»</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Полесская, д.29</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107</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1046,60/25</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40:25:000215:432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«Акварель»</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Василия</w:t>
            </w:r>
          </w:p>
          <w:p>
            <w:pPr>
              <w:pStyle w:val="Normal"/>
              <w:widowControl w:val="false"/>
              <w:rPr>
                <w:color w:themeColor="text1" w:val="000000"/>
                <w:sz w:val="22"/>
                <w:szCs w:val="22"/>
              </w:rPr>
            </w:pPr>
            <w:r>
              <w:rPr>
                <w:color w:themeColor="text1" w:val="000000"/>
                <w:sz w:val="22"/>
                <w:szCs w:val="22"/>
              </w:rPr>
              <w:t>Стригунова, зд.7</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462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6087,10/122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40:26:000372:5596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«Карусель»</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Минская, д.22</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4774,90/114</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40:25:000180:673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89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«Кнопочка»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Академическая, д.10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1088,00 – 1 помещение</w:t>
            </w:r>
          </w:p>
          <w:p>
            <w:pPr>
              <w:pStyle w:val="Normal"/>
              <w:widowControl w:val="false"/>
              <w:jc w:val="center"/>
              <w:rPr>
                <w:color w:themeColor="text1" w:val="000000"/>
                <w:sz w:val="22"/>
                <w:szCs w:val="22"/>
              </w:rPr>
            </w:pPr>
            <w:r>
              <w:rPr>
                <w:color w:themeColor="text1" w:val="000000"/>
                <w:sz w:val="22"/>
                <w:szCs w:val="22"/>
              </w:rPr>
              <w:t>542,80 – 2 помещение</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40:26:000385:1613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«Лукоморье»</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Сиреневый бульвар, д.5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4389,70/99</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40:26:000374:2332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91</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«Детство» «Центр развития ребенка» города Калуги необособленное структурное подразделение «Мечта»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Братьев Луканиных, д.6</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442</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7415,60/122</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40:26:000372:9695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92</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«Непоседы»</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248029, г. Калуга, ул. Московская, д.55а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2384/30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40:26:000184:51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93</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«Ладушки»</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 Калуга, ул. Московская, д.119</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6838/31</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40:26:000230:37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94</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«Ручеек»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Пролетарская, д.100</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96</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3303/23</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40:26:000263:23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95</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«Незабудка»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Степана Разина, д.10а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4632,38/50</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40:26:000314:19</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96</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«Антошка»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Карла Либкнехта, д.7а</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145</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4255/38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40:26:000194:46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97</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«Василек»</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Московская, д.125 к.1</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170</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5377/38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40:26:000230:39</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98</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«Вишенка»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Карачевская, д.4</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138</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5958/48</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40:26:000070:25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99</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дошкольное образовательное учреждение «Россиянка» «Центр развития ребенка» города Калуги необособленное структурное подразделение «Чебурашка»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Гурьянова, д.55</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318</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10090/97</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40:26:000068:18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LineNumbers/>
              <w:snapToGrid w:val="false"/>
              <w:jc w:val="center"/>
              <w:rPr>
                <w:color w:themeColor="text1" w:val="000000"/>
                <w:kern w:val="2"/>
                <w:sz w:val="22"/>
                <w:szCs w:val="22"/>
              </w:rPr>
            </w:pPr>
            <w:r>
              <w:rPr>
                <w:color w:themeColor="text1" w:val="000000"/>
                <w:kern w:val="2"/>
                <w:sz w:val="22"/>
                <w:szCs w:val="22"/>
              </w:rPr>
              <w:t>100</w:t>
            </w:r>
          </w:p>
        </w:tc>
        <w:tc>
          <w:tcPr>
            <w:tcW w:w="38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Государственное казенное дошкольное образовательное учреждение Калужской области «Калужский областной детский сад «Здравушка»</w:t>
            </w:r>
          </w:p>
        </w:tc>
        <w:tc>
          <w:tcPr>
            <w:tcW w:w="28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Вишневского</w:t>
            </w:r>
          </w:p>
        </w:tc>
        <w:tc>
          <w:tcPr>
            <w:tcW w:w="19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c>
          <w:tcPr>
            <w:tcW w:w="27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c>
          <w:tcPr>
            <w:tcW w:w="31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40:26:000395:17</w:t>
            </w:r>
          </w:p>
        </w:tc>
      </w:tr>
    </w:tbl>
    <w:p>
      <w:pPr>
        <w:sectPr>
          <w:headerReference w:type="default" r:id="rId113"/>
          <w:headerReference w:type="first" r:id="rId114"/>
          <w:footerReference w:type="default" r:id="rId115"/>
          <w:footerReference w:type="first" r:id="rId116"/>
          <w:footnotePr>
            <w:numFmt w:val="decimal"/>
          </w:footnotePr>
          <w:type w:val="nextPage"/>
          <w:pgSz w:orient="landscape" w:w="16838" w:h="11906"/>
          <w:pgMar w:left="1418" w:right="1134" w:gutter="0" w:header="1134" w:top="1695" w:footer="0" w:bottom="709"/>
          <w:pgNumType w:fmt="decimal"/>
          <w:formProt w:val="false"/>
          <w:titlePg/>
          <w:textDirection w:val="lrTb"/>
          <w:docGrid w:type="default" w:linePitch="360" w:charSpace="0"/>
        </w:sectPr>
      </w:pPr>
    </w:p>
    <w:p>
      <w:pPr>
        <w:pStyle w:val="Normal"/>
        <w:jc w:val="center"/>
        <w:rPr>
          <w:color w:themeColor="text1" w:val="000000"/>
        </w:rPr>
      </w:pPr>
      <w:r>
        <w:rPr>
          <w:color w:themeColor="text1" w:val="000000"/>
        </w:rPr>
        <w:t xml:space="preserve">Перечень общеобразовательных учреждений, </w:t>
      </w:r>
    </w:p>
    <w:p>
      <w:pPr>
        <w:pStyle w:val="Normal"/>
        <w:jc w:val="center"/>
        <w:rPr>
          <w:color w:themeColor="text1" w:val="000000"/>
          <w:sz w:val="22"/>
          <w:szCs w:val="22"/>
        </w:rPr>
      </w:pPr>
      <w:r>
        <w:rPr>
          <w:color w:themeColor="text1" w:val="000000"/>
        </w:rPr>
        <w:t>расположенных на территории городского округа</w:t>
      </w:r>
    </w:p>
    <w:tbl>
      <w:tblPr>
        <w:tblW w:w="15276" w:type="dxa"/>
        <w:jc w:val="left"/>
        <w:tblInd w:w="103" w:type="dxa"/>
        <w:tblLayout w:type="fixed"/>
        <w:tblCellMar>
          <w:top w:w="0" w:type="dxa"/>
          <w:left w:w="108" w:type="dxa"/>
          <w:bottom w:w="0" w:type="dxa"/>
          <w:right w:w="108" w:type="dxa"/>
        </w:tblCellMar>
        <w:tblLook w:firstRow="1" w:noVBand="1" w:lastRow="0" w:firstColumn="1" w:lastColumn="0" w:noHBand="0" w:val="04a0"/>
      </w:tblPr>
      <w:tblGrid>
        <w:gridCol w:w="705"/>
        <w:gridCol w:w="3601"/>
        <w:gridCol w:w="2607"/>
        <w:gridCol w:w="2420"/>
        <w:gridCol w:w="2802"/>
        <w:gridCol w:w="3140"/>
      </w:tblGrid>
      <w:tr>
        <w:trPr>
          <w:tblHeader w:val="true"/>
          <w:cantSplit w:val="true"/>
        </w:trPr>
        <w:tc>
          <w:tcPr>
            <w:tcW w:w="705"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18"/>
                <w:szCs w:val="18"/>
              </w:rPr>
              <w:t xml:space="preserve">№ </w:t>
            </w:r>
            <w:r>
              <w:rPr>
                <w:b/>
                <w:color w:themeColor="text1" w:val="000000"/>
                <w:sz w:val="18"/>
                <w:szCs w:val="18"/>
              </w:rPr>
              <w:t>п/п</w:t>
            </w:r>
          </w:p>
        </w:tc>
        <w:tc>
          <w:tcPr>
            <w:tcW w:w="3601"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образовательного объекта</w:t>
            </w:r>
          </w:p>
        </w:tc>
        <w:tc>
          <w:tcPr>
            <w:tcW w:w="2607"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Местоположение, адресное описание</w:t>
            </w:r>
          </w:p>
        </w:tc>
        <w:tc>
          <w:tcPr>
            <w:tcW w:w="242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Вместимость здания (комплекса зданий)</w:t>
            </w:r>
          </w:p>
        </w:tc>
        <w:tc>
          <w:tcPr>
            <w:tcW w:w="2802"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Общая площадь здания/количество рабочих мест</w:t>
            </w:r>
          </w:p>
        </w:tc>
        <w:tc>
          <w:tcPr>
            <w:tcW w:w="3140"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Кадастровый номер земельного участка, на котором расположен объект</w:t>
            </w:r>
          </w:p>
        </w:tc>
      </w:tr>
      <w:tr>
        <w:trPr>
          <w:trHeight w:val="1341" w:hRule="atLeast"/>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Луговая, д.43</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800/605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5588,4/40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hyperlink r:id="rId117" w:tgtFrame="_blank">
              <w:r>
                <w:rPr>
                  <w:color w:themeColor="text1" w:val="000000"/>
                  <w:sz w:val="22"/>
                  <w:szCs w:val="22"/>
                </w:rPr>
                <w:t>40:26:000128:30</w:t>
              </w:r>
            </w:hyperlink>
          </w:p>
        </w:tc>
      </w:tr>
      <w:tr>
        <w:trPr>
          <w:trHeight w:val="1341" w:hRule="atLeast"/>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 имени</w:t>
            </w:r>
          </w:p>
          <w:p>
            <w:pPr>
              <w:pStyle w:val="Normal"/>
              <w:widowControl w:val="false"/>
              <w:rPr>
                <w:color w:themeColor="text1" w:val="000000"/>
                <w:sz w:val="22"/>
                <w:szCs w:val="22"/>
              </w:rPr>
            </w:pPr>
            <w:r>
              <w:rPr>
                <w:color w:themeColor="text1" w:val="000000"/>
                <w:sz w:val="22"/>
                <w:szCs w:val="22"/>
              </w:rPr>
              <w:t>М.Ф. Колонтаева»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Пухова, д.54</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проект 480/факт 571</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2990,4 /49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40:26:000227:3</w:t>
            </w:r>
          </w:p>
        </w:tc>
      </w:tr>
      <w:tr>
        <w:trPr>
          <w:trHeight w:val="1341" w:hRule="atLeast"/>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3 им. Г.В. Зимина»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ул. Дзержинского, д. 57 ул. Луначарского, д. 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680/70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3048,6/55, 1110,3/23</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40:26:000312:119/ 40:26::000323:29</w:t>
            </w:r>
          </w:p>
        </w:tc>
      </w:tr>
      <w:tr>
        <w:trPr>
          <w:trHeight w:val="1341" w:hRule="atLeast"/>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бюджетн6ое общеобразовательное учреждение «Средняя общеобразовательная школа № 4»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248003,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Болдина, д.15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3845,2/50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 03 66:0015</w:t>
            </w:r>
          </w:p>
        </w:tc>
      </w:tr>
      <w:tr>
        <w:trPr>
          <w:trHeight w:val="1341" w:hRule="atLeast"/>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5»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248600,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Дзержинского, д.49</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645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5583,9/59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40:26:000312:86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6 имени А.С. Пушкина»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pPr>
            <w:r>
              <w:rPr>
                <w:color w:themeColor="text1" w:val="000000"/>
                <w:sz w:val="22"/>
                <w:szCs w:val="22"/>
              </w:rPr>
              <w:t>248000, г. Калуга ул. Академика Королева, д.14 (уч. корпус 1) 248000, г. Калуга ул. Ромодановские Дворики, д.61,</w:t>
            </w:r>
          </w:p>
          <w:p>
            <w:pPr>
              <w:pStyle w:val="Normal"/>
              <w:widowControl w:val="false"/>
              <w:rPr>
                <w:color w:themeColor="text1" w:val="000000"/>
                <w:sz w:val="22"/>
                <w:szCs w:val="22"/>
              </w:rPr>
            </w:pPr>
            <w:r>
              <w:rPr>
                <w:color w:themeColor="text1" w:val="000000"/>
                <w:sz w:val="22"/>
                <w:szCs w:val="22"/>
              </w:rPr>
              <w:t>(уч. корпус 2)</w:t>
            </w:r>
          </w:p>
          <w:p>
            <w:pPr>
              <w:pStyle w:val="Normal"/>
              <w:widowControl w:val="false"/>
              <w:rPr>
                <w:color w:themeColor="text1" w:val="000000"/>
                <w:sz w:val="22"/>
                <w:szCs w:val="22"/>
              </w:rPr>
            </w:pPr>
            <w:r>
              <w:rPr>
                <w:color w:themeColor="text1" w:val="000000"/>
                <w:sz w:val="22"/>
                <w:szCs w:val="22"/>
              </w:rPr>
              <w:t>248033, г. Калуга</w:t>
            </w:r>
          </w:p>
          <w:p>
            <w:pPr>
              <w:pStyle w:val="Normal"/>
              <w:widowControl w:val="false"/>
              <w:rPr>
                <w:color w:themeColor="text1" w:val="000000"/>
                <w:sz w:val="22"/>
                <w:szCs w:val="22"/>
              </w:rPr>
            </w:pPr>
            <w:r>
              <w:rPr>
                <w:color w:themeColor="text1" w:val="000000"/>
                <w:sz w:val="22"/>
                <w:szCs w:val="22"/>
              </w:rPr>
              <w:t>ул. 65 лет Победы, д.10 (уч.</w:t>
            </w:r>
            <w:r>
              <w:rPr>
                <w:color w:themeColor="text1" w:val="000000"/>
                <w:sz w:val="22"/>
                <w:szCs w:val="22"/>
                <w:lang w:val="en-US"/>
              </w:rPr>
              <w:t> </w:t>
            </w:r>
            <w:r>
              <w:rPr>
                <w:color w:themeColor="text1" w:val="000000"/>
                <w:sz w:val="22"/>
                <w:szCs w:val="22"/>
              </w:rPr>
              <w:t>корпус 3)</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 530</w:t>
            </w:r>
          </w:p>
          <w:p>
            <w:pPr>
              <w:pStyle w:val="Normal"/>
              <w:widowControl w:val="false"/>
              <w:jc w:val="center"/>
              <w:rPr>
                <w:color w:themeColor="text1" w:val="000000"/>
                <w:sz w:val="22"/>
                <w:szCs w:val="22"/>
              </w:rPr>
            </w:pPr>
            <w:r>
              <w:rPr>
                <w:color w:themeColor="text1" w:val="000000"/>
                <w:sz w:val="22"/>
                <w:szCs w:val="22"/>
              </w:rPr>
              <w:t>2) 160</w:t>
            </w:r>
          </w:p>
          <w:p>
            <w:pPr>
              <w:pStyle w:val="Normal"/>
              <w:widowControl w:val="false"/>
              <w:jc w:val="center"/>
              <w:rPr>
                <w:color w:themeColor="text1" w:val="000000"/>
                <w:sz w:val="22"/>
                <w:szCs w:val="22"/>
              </w:rPr>
            </w:pPr>
            <w:r>
              <w:rPr>
                <w:color w:themeColor="text1" w:val="000000"/>
                <w:sz w:val="22"/>
                <w:szCs w:val="22"/>
              </w:rPr>
              <w:t>3) 1000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 7422/51</w:t>
            </w:r>
          </w:p>
          <w:p>
            <w:pPr>
              <w:pStyle w:val="Normal"/>
              <w:widowControl w:val="false"/>
              <w:jc w:val="center"/>
              <w:rPr>
                <w:color w:themeColor="text1" w:val="000000"/>
                <w:sz w:val="22"/>
                <w:szCs w:val="22"/>
              </w:rPr>
            </w:pPr>
            <w:r>
              <w:rPr>
                <w:color w:themeColor="text1" w:val="000000"/>
                <w:sz w:val="22"/>
                <w:szCs w:val="22"/>
              </w:rPr>
              <w:t>2) 1298,5/7</w:t>
            </w:r>
          </w:p>
          <w:p>
            <w:pPr>
              <w:pStyle w:val="Normal"/>
              <w:widowControl w:val="false"/>
              <w:jc w:val="center"/>
              <w:rPr>
                <w:color w:themeColor="text1" w:val="000000"/>
                <w:sz w:val="22"/>
                <w:szCs w:val="22"/>
              </w:rPr>
            </w:pPr>
            <w:r>
              <w:rPr>
                <w:color w:themeColor="text1" w:val="000000"/>
                <w:sz w:val="22"/>
                <w:szCs w:val="22"/>
              </w:rPr>
              <w:t>3) 17388,9/93</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 40:26:000306:47</w:t>
            </w:r>
          </w:p>
          <w:p>
            <w:pPr>
              <w:pStyle w:val="Normal"/>
              <w:widowControl w:val="false"/>
              <w:jc w:val="center"/>
              <w:rPr>
                <w:color w:themeColor="text1" w:val="000000"/>
                <w:sz w:val="22"/>
                <w:szCs w:val="22"/>
              </w:rPr>
            </w:pPr>
            <w:r>
              <w:rPr>
                <w:color w:themeColor="text1" w:val="000000"/>
                <w:sz w:val="22"/>
                <w:szCs w:val="22"/>
              </w:rPr>
              <w:t xml:space="preserve"> </w:t>
            </w:r>
            <w:r>
              <w:rPr>
                <w:color w:themeColor="text1" w:val="000000"/>
                <w:sz w:val="22"/>
                <w:szCs w:val="22"/>
              </w:rPr>
              <w:t>2) 40:26:000390:580 3) 40:26:000384:6033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7»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Телевизионная, д.5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проектная 800, фактическая 1055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8099,4/58</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40:26:000183:25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8»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Беляева, д.2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544</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4850,9/ 71,29 ш.е.</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40:26:000351:30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«Лицей № 9 имени</w:t>
            </w:r>
          </w:p>
          <w:p>
            <w:pPr>
              <w:pStyle w:val="Normal"/>
              <w:widowControl w:val="false"/>
              <w:rPr>
                <w:color w:themeColor="text1" w:val="000000"/>
                <w:sz w:val="22"/>
                <w:szCs w:val="22"/>
              </w:rPr>
            </w:pPr>
            <w:r>
              <w:rPr>
                <w:color w:themeColor="text1" w:val="000000"/>
                <w:sz w:val="22"/>
                <w:szCs w:val="22"/>
              </w:rPr>
              <w:t>К.Э. Циолковского»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Кутузова, д.22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650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5492,9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40:26:000349:4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10 с углубленным изучением отдельных предметов»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248018,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Маршала Жукова, д.51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фактическая 940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3887,6/62</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40:26:000199:31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11»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Глаголева, д.10а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4161,5/47</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40:26:000185:26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12</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12»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Молодежная, д.5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проектная 1350, фактическая 2000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10568,9 кв.м/201,</w:t>
            </w:r>
          </w:p>
          <w:p>
            <w:pPr>
              <w:pStyle w:val="Normal"/>
              <w:widowControl w:val="false"/>
              <w:jc w:val="center"/>
              <w:rPr>
                <w:color w:themeColor="text1" w:val="000000"/>
                <w:sz w:val="22"/>
                <w:szCs w:val="22"/>
              </w:rPr>
            </w:pPr>
            <w:r>
              <w:rPr>
                <w:color w:themeColor="text1" w:val="000000"/>
                <w:sz w:val="22"/>
                <w:szCs w:val="22"/>
              </w:rPr>
              <w:t>17 шт.</w:t>
            </w:r>
            <w:r>
              <w:rPr>
                <w:color w:themeColor="text1" w:val="000000"/>
                <w:sz w:val="22"/>
                <w:szCs w:val="22"/>
                <w:lang w:val="en-US"/>
              </w:rPr>
              <w:t> </w:t>
            </w:r>
            <w:r>
              <w:rPr>
                <w:color w:themeColor="text1" w:val="000000"/>
                <w:sz w:val="22"/>
                <w:szCs w:val="22"/>
              </w:rPr>
              <w:t>ед.</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40:26:000204:19</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13»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w:t>
            </w:r>
          </w:p>
          <w:p>
            <w:pPr>
              <w:pStyle w:val="Normal"/>
              <w:widowControl w:val="false"/>
              <w:rPr/>
            </w:pPr>
            <w:r>
              <w:rPr>
                <w:color w:themeColor="text1" w:val="000000"/>
                <w:sz w:val="22"/>
                <w:szCs w:val="22"/>
              </w:rPr>
              <w:t>ул. Баумана, д.29 (уч.</w:t>
            </w:r>
            <w:r>
              <w:rPr>
                <w:color w:themeColor="text1" w:val="000000"/>
                <w:sz w:val="22"/>
                <w:szCs w:val="22"/>
                <w:lang w:val="en-US"/>
              </w:rPr>
              <w:t> </w:t>
            </w:r>
            <w:r>
              <w:rPr>
                <w:color w:themeColor="text1" w:val="000000"/>
                <w:sz w:val="22"/>
                <w:szCs w:val="22"/>
              </w:rPr>
              <w:t>корпус 1) 248033,</w:t>
            </w:r>
          </w:p>
          <w:p>
            <w:pPr>
              <w:pStyle w:val="Normal"/>
              <w:widowControl w:val="false"/>
              <w:rPr>
                <w:color w:themeColor="text1" w:val="000000"/>
                <w:sz w:val="22"/>
                <w:szCs w:val="22"/>
              </w:rPr>
            </w:pPr>
            <w:r>
              <w:rPr>
                <w:color w:themeColor="text1" w:val="000000"/>
                <w:sz w:val="22"/>
                <w:szCs w:val="22"/>
              </w:rPr>
              <w:t>г. Калуга, ул. Минская, зд. 23 (уч.</w:t>
            </w:r>
            <w:r>
              <w:rPr>
                <w:color w:themeColor="text1" w:val="000000"/>
                <w:sz w:val="22"/>
                <w:szCs w:val="22"/>
                <w:lang w:val="en-US"/>
              </w:rPr>
              <w:t> </w:t>
            </w:r>
            <w:r>
              <w:rPr>
                <w:color w:themeColor="text1" w:val="000000"/>
                <w:sz w:val="22"/>
                <w:szCs w:val="22"/>
              </w:rPr>
              <w:t>корпус 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1000/1000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5545/72</w:t>
            </w:r>
          </w:p>
          <w:p>
            <w:pPr>
              <w:pStyle w:val="Normal"/>
              <w:widowControl w:val="false"/>
              <w:jc w:val="center"/>
              <w:rPr>
                <w:color w:themeColor="text1" w:val="000000"/>
                <w:sz w:val="22"/>
                <w:szCs w:val="22"/>
              </w:rPr>
            </w:pPr>
            <w:r>
              <w:rPr>
                <w:color w:themeColor="text1" w:val="000000"/>
                <w:sz w:val="22"/>
                <w:szCs w:val="22"/>
              </w:rPr>
              <w:t>19399,8/69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40:26:000318:662/ 40:25:000180:675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14»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Московская, д.79</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7618,3/72</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40:26:000264:844 /40:26:000264:33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15»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Фридриха Энгельса, д.12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проектная 800, фактическая 1229</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4378,3/71</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40:26:000270:35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16»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248008, г.</w:t>
            </w:r>
            <w:r>
              <w:rPr>
                <w:color w:themeColor="text1" w:val="000000"/>
                <w:sz w:val="22"/>
                <w:szCs w:val="22"/>
                <w:lang w:val="en-US"/>
              </w:rPr>
              <w:t> </w:t>
            </w:r>
            <w:r>
              <w:rPr>
                <w:color w:themeColor="text1" w:val="000000"/>
                <w:sz w:val="22"/>
                <w:szCs w:val="22"/>
              </w:rPr>
              <w:t>Калуга, пер.</w:t>
            </w:r>
            <w:r>
              <w:rPr>
                <w:color w:themeColor="text1" w:val="000000"/>
                <w:sz w:val="22"/>
                <w:szCs w:val="22"/>
                <w:lang w:val="en-US"/>
              </w:rPr>
              <w:t> </w:t>
            </w:r>
            <w:r>
              <w:rPr>
                <w:color w:themeColor="text1" w:val="000000"/>
                <w:sz w:val="22"/>
                <w:szCs w:val="22"/>
              </w:rPr>
              <w:t>Дорожный, д.5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309 (расчетная), 557 (факт)</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3128,1/32</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40:26:000062:70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17»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Карла Либкнехта, д.1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6168,8/65</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40:26:000227:21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18</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18»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Фридриха Энгельса, д.119</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675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5557,5/99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40:26:000329:0001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«Гимназия № 19»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Московская, д.165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750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4074/56</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40:26:000194:49</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20</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«Основная общеобразовательная школа № 20»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248010,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Широкая, д.51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147</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3575,9/29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40:26:000154:1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21»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w:t>
            </w:r>
            <w:r>
              <w:rPr>
                <w:color w:themeColor="text1" w:val="000000"/>
                <w:sz w:val="22"/>
                <w:szCs w:val="22"/>
                <w:lang w:val="en-US"/>
              </w:rPr>
              <w:t> </w:t>
            </w:r>
            <w:r>
              <w:rPr>
                <w:color w:themeColor="text1" w:val="000000"/>
                <w:sz w:val="22"/>
                <w:szCs w:val="22"/>
              </w:rPr>
              <w:t>Калуга, ул. В. Андриановой, д.3</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980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5920,4/70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40:26:000233:2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22</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22»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248018, г. Калуга, ул. Хрустальная, д.2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1035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3872,1/58</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40:26:000239:411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23»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248003, г. Калуга, ул. Мичурина, д.45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750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3609,2</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40:26:000301:44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«Гимназия № 24»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248016, г. Калуга, ул. Фридриха Энгельса, д.12а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640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4199.8 / 44</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40:26:000270:2004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25»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248025, г. Калуга, ул. Тарутинская, д.70</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960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5667,5/58</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 26:000136:54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26»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Вишневского, д.5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915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4993,1/52</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40:26:000147:6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27</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«Основная общеобразовательная школа № 27 им. К.Г.</w:t>
            </w:r>
            <w:r>
              <w:rPr>
                <w:color w:themeColor="text1" w:val="000000"/>
                <w:sz w:val="22"/>
                <w:szCs w:val="22"/>
                <w:lang w:val="en-US"/>
              </w:rPr>
              <w:t> </w:t>
            </w:r>
            <w:r>
              <w:rPr>
                <w:color w:themeColor="text1" w:val="000000"/>
                <w:sz w:val="22"/>
                <w:szCs w:val="22"/>
              </w:rPr>
              <w:t>Макарова»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Карьерная, д.2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150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6445</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40:26:2:2:21:1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28 им. П.В. Рыженко»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Трудовая, д.12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360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2316,9/31</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40:26:000278:1027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29</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29»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Центральная, д.13а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365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2445,2/47</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40:26:000003:34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30»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Гурьянова, д.35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735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7102,5/69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40:26:000070:26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31</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31»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248009, г.</w:t>
            </w:r>
            <w:r>
              <w:rPr>
                <w:color w:themeColor="text1" w:val="000000"/>
                <w:sz w:val="22"/>
                <w:szCs w:val="22"/>
                <w:lang w:val="en-US"/>
              </w:rPr>
              <w:t> </w:t>
            </w:r>
            <w:r>
              <w:rPr>
                <w:color w:themeColor="text1" w:val="000000"/>
                <w:sz w:val="22"/>
                <w:szCs w:val="22"/>
              </w:rPr>
              <w:t>Калуга, ул.</w:t>
            </w:r>
            <w:r>
              <w:rPr>
                <w:color w:themeColor="text1" w:val="000000"/>
                <w:sz w:val="22"/>
                <w:szCs w:val="22"/>
                <w:lang w:val="en-US"/>
              </w:rPr>
              <w:t> </w:t>
            </w:r>
            <w:r>
              <w:rPr>
                <w:color w:themeColor="text1" w:val="000000"/>
                <w:sz w:val="22"/>
                <w:szCs w:val="22"/>
              </w:rPr>
              <w:t>Дубрава, д.2а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проект 400\ фактическая 680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4059,2/53</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40:26:000167:2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32</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33»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248921. д.</w:t>
            </w:r>
            <w:r>
              <w:rPr>
                <w:color w:themeColor="text1" w:val="000000"/>
                <w:sz w:val="22"/>
                <w:szCs w:val="22"/>
                <w:lang w:val="en-US"/>
              </w:rPr>
              <w:t> </w:t>
            </w:r>
            <w:r>
              <w:rPr>
                <w:color w:themeColor="text1" w:val="000000"/>
                <w:sz w:val="22"/>
                <w:szCs w:val="22"/>
              </w:rPr>
              <w:t>Шопино, ул. Школьная д.11, ул.</w:t>
            </w:r>
            <w:r>
              <w:rPr>
                <w:color w:themeColor="text1" w:val="000000"/>
                <w:sz w:val="22"/>
                <w:szCs w:val="22"/>
                <w:lang w:val="en-US"/>
              </w:rPr>
              <w:t> </w:t>
            </w:r>
            <w:r>
              <w:rPr>
                <w:color w:themeColor="text1" w:val="000000"/>
                <w:sz w:val="22"/>
                <w:szCs w:val="22"/>
              </w:rPr>
              <w:t>Новая д.5;</w:t>
            </w:r>
          </w:p>
          <w:p>
            <w:pPr>
              <w:pStyle w:val="Normal"/>
              <w:widowControl w:val="false"/>
              <w:rPr>
                <w:color w:themeColor="text1" w:val="000000"/>
                <w:sz w:val="22"/>
                <w:szCs w:val="22"/>
              </w:rPr>
            </w:pPr>
            <w:r>
              <w:rPr>
                <w:color w:themeColor="text1" w:val="000000"/>
                <w:sz w:val="22"/>
                <w:szCs w:val="22"/>
              </w:rPr>
              <w:t>248033, ул. Полесская д.31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300/400/200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3214,6 кв.м /371,1/кв.м 3742,5 кв.м, 78(49)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40:25:000179:1963</w:t>
              <w:br/>
              <w:t>40:25:000179:1627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«Основная общеобразовательная школа № 35»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д. Канищево, ул.</w:t>
            </w:r>
            <w:r>
              <w:rPr>
                <w:color w:themeColor="text1" w:val="000000"/>
                <w:sz w:val="22"/>
                <w:szCs w:val="22"/>
                <w:lang w:val="en-US"/>
              </w:rPr>
              <w:t> </w:t>
            </w:r>
            <w:r>
              <w:rPr>
                <w:color w:themeColor="text1" w:val="000000"/>
                <w:sz w:val="22"/>
                <w:szCs w:val="22"/>
              </w:rPr>
              <w:t>Новая, д.1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3068,2/30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40:25:000100: 0013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34</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«Лицей № 36»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248030, г. Калуга, ул. Рылеева, д.18</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проектная 665,1</w:t>
              <w:br/>
              <w:t>фактическая 1150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4618,2 кв.м /83</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К№40:26:000260:26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37»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248901, Калуга, ул. Школьная, д.3а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280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2479,2 кв.м/ 20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 01 48:0012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36</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38»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248911, д. Колюпаново, д.11а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21441,0 кв.м/34,64 шт. ед.</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 02 40:0488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37</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«Основная общеобразовательная школа № 39»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248920, ж/д ст. Тихонова Пустынь, ул. Советская, д.3</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400 (проектная)</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1474,8 / 27,53 шт. ед.</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40:25:000037:602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38</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41»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248918, с. Муратовского щебзавода, д.7а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192</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1304,8/31,26 шт. ед.</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40:25:020629:0001</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39</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детский сад № 43»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248903, с. Росва, ул. Московская, д.6б</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335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3570,7</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40:25:000164:594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44»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248032, г. Калуга, ул. Льва Толстого, д.51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251</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7528,9</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40:26:000286:1050</w:t>
            </w:r>
          </w:p>
        </w:tc>
      </w:tr>
      <w:tr>
        <w:trPr>
          <w:trHeight w:val="851" w:hRule="atLeast"/>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41</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45 им. Маршала Советского Союза    Г.К. Жукова»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248002, г. Калуга, ул. Николо-Козинская, д.68</w:t>
            </w:r>
          </w:p>
          <w:p>
            <w:pPr>
              <w:pStyle w:val="Normal"/>
              <w:widowControl w:val="false"/>
              <w:rPr>
                <w:color w:themeColor="text1" w:val="000000"/>
                <w:sz w:val="22"/>
                <w:szCs w:val="22"/>
              </w:rPr>
            </w:pPr>
            <w:r>
              <w:rPr>
                <w:color w:themeColor="text1" w:val="000000"/>
                <w:sz w:val="22"/>
                <w:szCs w:val="22"/>
              </w:rPr>
              <w:t>248033, г. Калуга, ул. Братьев Луканиных, д.4</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800 (проектная)</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1360 (проектная)</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5518,7</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24962,8</w:t>
            </w:r>
          </w:p>
          <w:p>
            <w:pPr>
              <w:pStyle w:val="Normal"/>
              <w:widowControl w:val="false"/>
              <w:jc w:val="center"/>
              <w:rPr>
                <w:color w:themeColor="text1" w:val="000000"/>
                <w:sz w:val="22"/>
                <w:szCs w:val="22"/>
              </w:rPr>
            </w:pPr>
            <w:r>
              <w:rPr>
                <w:color w:themeColor="text1" w:val="000000"/>
                <w:sz w:val="22"/>
                <w:szCs w:val="22"/>
              </w:rPr>
              <w:t>411,26 штатных единиц (всего по двум зданиям)</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40:26:000352:25</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t>40:26:000372:6264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42</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46»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248012, г. Калуга, ул. Кибальчича, д.19</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Здание 1 - 250 (проектная)</w:t>
            </w:r>
          </w:p>
          <w:p>
            <w:pPr>
              <w:pStyle w:val="Normal"/>
              <w:widowControl w:val="false"/>
              <w:jc w:val="center"/>
              <w:rPr>
                <w:color w:themeColor="text1" w:val="000000"/>
                <w:sz w:val="22"/>
                <w:szCs w:val="22"/>
              </w:rPr>
            </w:pPr>
            <w:r>
              <w:rPr>
                <w:color w:themeColor="text1" w:val="000000"/>
                <w:sz w:val="22"/>
                <w:szCs w:val="22"/>
              </w:rPr>
              <w:t>здание 2 -1000 (проектная)</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Здание 1 - 2267,5,</w:t>
            </w:r>
          </w:p>
          <w:p>
            <w:pPr>
              <w:pStyle w:val="Normal"/>
              <w:widowControl w:val="false"/>
              <w:jc w:val="center"/>
              <w:rPr>
                <w:color w:themeColor="text1" w:val="000000"/>
                <w:sz w:val="22"/>
                <w:szCs w:val="22"/>
              </w:rPr>
            </w:pPr>
            <w:r>
              <w:rPr>
                <w:color w:themeColor="text1" w:val="000000"/>
                <w:sz w:val="22"/>
                <w:szCs w:val="22"/>
              </w:rPr>
              <w:t>здание 2 - 7996,1 126, штатных единиц (всего)</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 14:0016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43</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казенное общеобразовательное учреждение «Средняя общеобразовательная школа № 47»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248000, г. Калуга, проезд Мира, д.1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2490,5/34</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40:04:020603:73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«Лицей № 48»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248017, г. Калуга, бульвар Моторостроителей, д.16</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1300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10014,1 /90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40:26:000052:33</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45</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49»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248029, г. Калуга, ул. Гурьянова, д.65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1049</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9859,2/70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40:26:000068:2466</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46</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50»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248033, г. Калуга, ул. Заречная, д.72</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725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5448/163,11</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40:26:000377:2695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47</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«Средняя общеобразовательная школа № 51»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248031, г. Калуга, ул. Дорожная, д.17</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800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10198,3/129,22</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40:26:000006:1080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48</w:t>
            </w:r>
          </w:p>
        </w:tc>
        <w:tc>
          <w:tcPr>
            <w:tcW w:w="36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themeColor="text1" w:val="000000"/>
                <w:sz w:val="22"/>
                <w:szCs w:val="22"/>
              </w:rPr>
            </w:pPr>
            <w:r>
              <w:rPr>
                <w:color w:themeColor="text1" w:val="000000"/>
                <w:sz w:val="22"/>
                <w:szCs w:val="22"/>
              </w:rPr>
              <w:t>Муниципальное бюджетное общеобразовательное учреждение № 17 «Начальная школа - детский сад»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248022, г. Калуга, ул.</w:t>
            </w:r>
            <w:r>
              <w:rPr>
                <w:color w:themeColor="text1" w:val="000000"/>
                <w:sz w:val="22"/>
                <w:szCs w:val="22"/>
                <w:lang w:val="en-US"/>
              </w:rPr>
              <w:t> </w:t>
            </w:r>
            <w:r>
              <w:rPr>
                <w:color w:themeColor="text1" w:val="000000"/>
                <w:sz w:val="22"/>
                <w:szCs w:val="22"/>
              </w:rPr>
              <w:t>Привокзальная, д.10а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1 042,8 / 25</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40:26:000169:10</w:t>
            </w:r>
          </w:p>
        </w:tc>
      </w:tr>
      <w:tr>
        <w:trPr>
          <w:trHeight w:val="745" w:hRule="atLeast"/>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49</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Областной центр образования (школа-интернат)</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Тарутинская, д.231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806</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не менее</w:t>
            </w:r>
          </w:p>
          <w:p>
            <w:pPr>
              <w:pStyle w:val="Normal"/>
              <w:widowControl w:val="false"/>
              <w:jc w:val="center"/>
              <w:rPr>
                <w:color w:themeColor="text1" w:val="000000"/>
                <w:sz w:val="22"/>
                <w:szCs w:val="22"/>
              </w:rPr>
            </w:pPr>
            <w:r>
              <w:rPr>
                <w:color w:themeColor="text1" w:val="000000"/>
                <w:sz w:val="22"/>
                <w:szCs w:val="22"/>
              </w:rPr>
              <w:t>17872,29 кв. м / 90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40:26:000063:4</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50</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Калужская общеобразовательная школа-интернат № 1 для обучающихся с ограниченными возможностями здоровья</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Кутузова, д.18</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660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10989,5 кв.м /51</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40:26:000345:27</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51</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Средняя общеобразовательная школа № 29 Новые созвездия</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color w:themeColor="text1" w:val="000000"/>
                <w:sz w:val="22"/>
                <w:szCs w:val="22"/>
              </w:rPr>
            </w:pPr>
            <w:r>
              <w:rPr>
                <w:color w:themeColor="text1" w:val="000000"/>
                <w:sz w:val="22"/>
                <w:szCs w:val="22"/>
              </w:rPr>
              <w:t>ул. Байконурская, 15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1125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26 256,7 кв. м</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40:26:000000:4212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51</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Калужская общеобразовательная школа - интернат № 5 имени</w:t>
            </w:r>
          </w:p>
          <w:p>
            <w:pPr>
              <w:pStyle w:val="Normal"/>
              <w:widowControl w:val="false"/>
              <w:rPr>
                <w:color w:themeColor="text1" w:val="000000"/>
                <w:sz w:val="22"/>
                <w:szCs w:val="22"/>
              </w:rPr>
            </w:pPr>
            <w:r>
              <w:rPr>
                <w:color w:themeColor="text1" w:val="000000"/>
                <w:sz w:val="22"/>
                <w:szCs w:val="22"/>
              </w:rPr>
              <w:t>Ф.А. Рау для обучающихся с ограниченными возможностями здоровья</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 ул. Стеклянников сад, д. 25</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160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4094 кв.м /65</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40:26:000272:112</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52</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Калужская школа для обучающихся с ограниченными возможностями здоровья «Гармония»</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rPr>
              <w:t>г. Калуга,</w:t>
            </w:r>
          </w:p>
          <w:p>
            <w:pPr>
              <w:pStyle w:val="Normal"/>
              <w:widowControl w:val="false"/>
              <w:rPr/>
            </w:pPr>
            <w:r>
              <w:rPr>
                <w:color w:themeColor="text1" w:val="000000"/>
                <w:sz w:val="22"/>
                <w:szCs w:val="22"/>
              </w:rPr>
              <w:t>ул. Салтыкова- Щедрина, д.66а</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170</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4418,2 кв.м/110</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40:26:000365:55</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53</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Heading4"/>
              <w:widowControl w:val="false"/>
              <w:numPr>
                <w:ilvl w:val="0"/>
                <w:numId w:val="0"/>
              </w:numPr>
              <w:shd w:val="clear" w:color="auto" w:fill="FFFFFF"/>
              <w:spacing w:before="0" w:after="0"/>
              <w:ind w:hanging="0" w:left="0"/>
              <w:rPr>
                <w:b w:val="false"/>
                <w:bCs w:val="false"/>
                <w:color w:themeColor="text1" w:val="000000"/>
                <w:sz w:val="22"/>
                <w:szCs w:val="22"/>
                <w:lang w:eastAsia="ru-RU"/>
              </w:rPr>
            </w:pPr>
            <w:r>
              <w:rPr>
                <w:b w:val="false"/>
                <w:bCs w:val="false"/>
                <w:color w:themeColor="text1" w:val="000000"/>
                <w:sz w:val="22"/>
                <w:szCs w:val="22"/>
              </w:rPr>
              <w:t>Негосударственное общеобразовательное частное учреждение «Средняя общеобразовательная школа «Радуга» города Калуги»</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shd w:fill="FFFFFF" w:val="clear"/>
              </w:rPr>
              <w:t>г. Калуга, ул. Комсомольская Роща, д. 39, строение 1</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40:26:000122:1478</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54</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bCs/>
                <w:color w:themeColor="text1" w:val="000000"/>
                <w:sz w:val="22"/>
                <w:szCs w:val="22"/>
                <w:shd w:fill="F6F7FD" w:val="clear"/>
              </w:rPr>
              <w:t>Частное Образовательное Учреждение «Православная Гимназия в Городе Калуге»</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shd w:fill="FFFFFF" w:val="clear"/>
              </w:rPr>
              <w:t>г. Калуга,</w:t>
            </w:r>
          </w:p>
          <w:p>
            <w:pPr>
              <w:pStyle w:val="Normal"/>
              <w:widowControl w:val="false"/>
              <w:rPr>
                <w:color w:themeColor="text1" w:val="000000"/>
                <w:sz w:val="22"/>
                <w:szCs w:val="22"/>
              </w:rPr>
            </w:pPr>
            <w:r>
              <w:rPr>
                <w:color w:themeColor="text1" w:val="000000"/>
                <w:sz w:val="22"/>
                <w:szCs w:val="22"/>
                <w:shd w:fill="FFFFFF" w:val="clear"/>
              </w:rPr>
              <w:t>ул. Дарвина, д.13/33</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40:26:000321:210</w:t>
            </w:r>
          </w:p>
        </w:tc>
      </w:tr>
      <w:tr>
        <w:trPr>
          <w:cantSplit w:val="true"/>
        </w:trPr>
        <w:tc>
          <w:tcPr>
            <w:tcW w:w="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55</w:t>
            </w:r>
          </w:p>
        </w:tc>
        <w:tc>
          <w:tcPr>
            <w:tcW w:w="36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shd w:fill="FFFFFF" w:val="clear"/>
              </w:rPr>
              <w:t>Автономная некоммерческая общеобразовательная организация «Калужская международная школа»</w:t>
            </w:r>
          </w:p>
        </w:tc>
        <w:tc>
          <w:tcPr>
            <w:tcW w:w="26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themeColor="text1" w:val="000000"/>
                <w:sz w:val="22"/>
                <w:szCs w:val="22"/>
              </w:rPr>
            </w:pPr>
            <w:r>
              <w:rPr>
                <w:color w:themeColor="text1" w:val="000000"/>
                <w:sz w:val="22"/>
                <w:szCs w:val="22"/>
                <w:shd w:fill="FFFFFF" w:val="clear"/>
              </w:rPr>
              <w:t>г. Калуга, ул. Луначарского, д.16</w:t>
            </w:r>
          </w:p>
        </w:tc>
        <w:tc>
          <w:tcPr>
            <w:tcW w:w="24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105</w:t>
            </w:r>
          </w:p>
        </w:tc>
        <w:tc>
          <w:tcPr>
            <w:tcW w:w="28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w:t>
            </w:r>
          </w:p>
        </w:tc>
        <w:tc>
          <w:tcPr>
            <w:tcW w:w="31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themeColor="text1" w:val="000000"/>
                <w:sz w:val="22"/>
                <w:szCs w:val="22"/>
              </w:rPr>
            </w:pPr>
            <w:r>
              <w:rPr>
                <w:color w:themeColor="text1" w:val="000000"/>
                <w:sz w:val="22"/>
                <w:szCs w:val="22"/>
              </w:rPr>
              <w:t>40:26:000322:10</w:t>
            </w:r>
          </w:p>
        </w:tc>
      </w:tr>
    </w:tbl>
    <w:p>
      <w:pPr>
        <w:sectPr>
          <w:headerReference w:type="default" r:id="rId118"/>
          <w:headerReference w:type="first" r:id="rId119"/>
          <w:footerReference w:type="default" r:id="rId120"/>
          <w:footerReference w:type="first" r:id="rId121"/>
          <w:footnotePr>
            <w:numFmt w:val="decimal"/>
          </w:footnotePr>
          <w:type w:val="nextPage"/>
          <w:pgSz w:orient="landscape" w:w="16838" w:h="11906"/>
          <w:pgMar w:left="1418" w:right="1134" w:gutter="0" w:header="1134" w:top="1695" w:footer="0" w:bottom="709"/>
          <w:pgNumType w:fmt="decimal"/>
          <w:formProt w:val="false"/>
          <w:titlePg/>
          <w:textDirection w:val="lrTb"/>
          <w:docGrid w:type="default" w:linePitch="360" w:charSpace="0"/>
        </w:sectPr>
      </w:pPr>
    </w:p>
    <w:p>
      <w:pPr>
        <w:pStyle w:val="Style83"/>
        <w:rPr>
          <w:color w:themeColor="text1" w:val="000000"/>
        </w:rPr>
      </w:pPr>
      <w:r>
        <w:rPr>
          <w:color w:themeColor="text1" w:val="000000"/>
        </w:rPr>
        <w:t>Основные требования по организации и режимы использования территорий санитарно-защитных зон (СанПиН 2.2.1/2.1.1.1200-03 «Санитарно-защитные зоны и санитарная классификация предприятий, сооружений и иных объектов. Новая редакция»)</w:t>
      </w:r>
    </w:p>
    <w:tbl>
      <w:tblPr>
        <w:tblW w:w="9591"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5536"/>
        <w:gridCol w:w="4054"/>
      </w:tblGrid>
      <w:tr>
        <w:trPr>
          <w:tblHeader w:val="true"/>
        </w:trPr>
        <w:tc>
          <w:tcPr>
            <w:tcW w:w="5536"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tc>
        <w:tc>
          <w:tcPr>
            <w:tcW w:w="4054"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В санитарно-защитной зоне не допускается размещать</w:t>
            </w:r>
          </w:p>
        </w:tc>
      </w:tr>
      <w:tr>
        <w:trPr>
          <w:cantSplit w:val="true"/>
        </w:trPr>
        <w:tc>
          <w:tcPr>
            <w:tcW w:w="5536" w:type="dxa"/>
            <w:vMerge w:val="restart"/>
            <w:tcBorders>
              <w:top w:val="single" w:sz="4" w:space="0" w:color="000000"/>
              <w:left w:val="single" w:sz="4" w:space="0" w:color="000000"/>
              <w:bottom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нежилые помещения для дежурного аварийного персонала;</w:t>
            </w:r>
          </w:p>
          <w:p>
            <w:pPr>
              <w:pStyle w:val="1114"/>
              <w:widowControl w:val="false"/>
              <w:numPr>
                <w:ilvl w:val="0"/>
                <w:numId w:val="3"/>
              </w:numPr>
              <w:ind w:hanging="397" w:left="397"/>
              <w:rPr>
                <w:color w:themeColor="text1" w:val="000000"/>
              </w:rPr>
            </w:pPr>
            <w:r>
              <w:rPr>
                <w:color w:themeColor="text1" w:val="000000"/>
              </w:rPr>
              <w:t>помещения для пребывания работающих по вахтовому методу (не более двух недель);</w:t>
            </w:r>
          </w:p>
          <w:p>
            <w:pPr>
              <w:pStyle w:val="1114"/>
              <w:widowControl w:val="false"/>
              <w:numPr>
                <w:ilvl w:val="0"/>
                <w:numId w:val="3"/>
              </w:numPr>
              <w:ind w:hanging="397" w:left="397"/>
              <w:rPr>
                <w:color w:themeColor="text1" w:val="000000"/>
              </w:rPr>
            </w:pPr>
            <w:r>
              <w:rPr>
                <w:color w:themeColor="text1" w:val="000000"/>
              </w:rPr>
              <w:t>здания управления, конструкторские бюро;</w:t>
            </w:r>
          </w:p>
          <w:p>
            <w:pPr>
              <w:pStyle w:val="1114"/>
              <w:widowControl w:val="false"/>
              <w:numPr>
                <w:ilvl w:val="0"/>
                <w:numId w:val="3"/>
              </w:numPr>
              <w:ind w:hanging="397" w:left="397"/>
              <w:rPr>
                <w:color w:themeColor="text1" w:val="000000"/>
              </w:rPr>
            </w:pPr>
            <w:r>
              <w:rPr>
                <w:color w:themeColor="text1" w:val="000000"/>
              </w:rPr>
              <w:t>здания административного назначения;</w:t>
            </w:r>
          </w:p>
          <w:p>
            <w:pPr>
              <w:pStyle w:val="1114"/>
              <w:widowControl w:val="false"/>
              <w:numPr>
                <w:ilvl w:val="0"/>
                <w:numId w:val="3"/>
              </w:numPr>
              <w:ind w:hanging="397" w:left="397"/>
              <w:rPr>
                <w:color w:themeColor="text1" w:val="000000"/>
              </w:rPr>
            </w:pPr>
            <w:r>
              <w:rPr>
                <w:color w:themeColor="text1" w:val="000000"/>
              </w:rPr>
              <w:t>научно-исследовательские лаборатории;</w:t>
            </w:r>
          </w:p>
          <w:p>
            <w:pPr>
              <w:pStyle w:val="1114"/>
              <w:widowControl w:val="false"/>
              <w:numPr>
                <w:ilvl w:val="0"/>
                <w:numId w:val="3"/>
              </w:numPr>
              <w:ind w:hanging="397" w:left="397"/>
              <w:rPr>
                <w:color w:themeColor="text1" w:val="000000"/>
              </w:rPr>
            </w:pPr>
            <w:r>
              <w:rPr>
                <w:color w:themeColor="text1" w:val="000000"/>
              </w:rPr>
              <w:t>поликлиники;</w:t>
            </w:r>
          </w:p>
          <w:p>
            <w:pPr>
              <w:pStyle w:val="1114"/>
              <w:widowControl w:val="false"/>
              <w:numPr>
                <w:ilvl w:val="0"/>
                <w:numId w:val="3"/>
              </w:numPr>
              <w:ind w:hanging="397" w:left="397"/>
              <w:rPr>
                <w:color w:themeColor="text1" w:val="000000"/>
              </w:rPr>
            </w:pPr>
            <w:r>
              <w:rPr>
                <w:color w:themeColor="text1" w:val="000000"/>
              </w:rPr>
              <w:t>спортивно-оздоровительные сооружения закрытого типа;</w:t>
            </w:r>
          </w:p>
          <w:p>
            <w:pPr>
              <w:pStyle w:val="1114"/>
              <w:widowControl w:val="false"/>
              <w:numPr>
                <w:ilvl w:val="0"/>
                <w:numId w:val="3"/>
              </w:numPr>
              <w:ind w:hanging="397" w:left="397"/>
              <w:rPr>
                <w:color w:themeColor="text1" w:val="000000"/>
              </w:rPr>
            </w:pPr>
            <w:r>
              <w:rPr>
                <w:color w:themeColor="text1" w:val="000000"/>
              </w:rPr>
              <w:t>бани, прачечные;</w:t>
            </w:r>
          </w:p>
          <w:p>
            <w:pPr>
              <w:pStyle w:val="1114"/>
              <w:widowControl w:val="false"/>
              <w:numPr>
                <w:ilvl w:val="0"/>
                <w:numId w:val="3"/>
              </w:numPr>
              <w:ind w:hanging="397" w:left="397"/>
              <w:rPr>
                <w:color w:themeColor="text1" w:val="000000"/>
              </w:rPr>
            </w:pPr>
            <w:r>
              <w:rPr>
                <w:color w:themeColor="text1" w:val="000000"/>
              </w:rPr>
              <w:t>объекты торговли и общественного питания;</w:t>
            </w:r>
          </w:p>
          <w:p>
            <w:pPr>
              <w:pStyle w:val="1114"/>
              <w:widowControl w:val="false"/>
              <w:numPr>
                <w:ilvl w:val="0"/>
                <w:numId w:val="3"/>
              </w:numPr>
              <w:ind w:hanging="397" w:left="397"/>
              <w:rPr>
                <w:color w:themeColor="text1" w:val="000000"/>
              </w:rPr>
            </w:pPr>
            <w:r>
              <w:rPr>
                <w:color w:themeColor="text1" w:val="000000"/>
              </w:rPr>
              <w:t>мотели, гостиницы;</w:t>
            </w:r>
          </w:p>
          <w:p>
            <w:pPr>
              <w:pStyle w:val="1114"/>
              <w:widowControl w:val="false"/>
              <w:numPr>
                <w:ilvl w:val="0"/>
                <w:numId w:val="3"/>
              </w:numPr>
              <w:ind w:hanging="397" w:left="397"/>
              <w:rPr>
                <w:color w:themeColor="text1" w:val="000000"/>
              </w:rPr>
            </w:pPr>
            <w:r>
              <w:rPr>
                <w:color w:themeColor="text1" w:val="000000"/>
              </w:rPr>
              <w:t>гаражи, площадки и сооружения для хранения общественного и индивидуального транспорта;</w:t>
            </w:r>
          </w:p>
          <w:p>
            <w:pPr>
              <w:pStyle w:val="1114"/>
              <w:widowControl w:val="false"/>
              <w:numPr>
                <w:ilvl w:val="0"/>
                <w:numId w:val="3"/>
              </w:numPr>
              <w:ind w:hanging="397" w:left="397"/>
              <w:rPr>
                <w:color w:themeColor="text1" w:val="000000"/>
              </w:rPr>
            </w:pPr>
            <w:r>
              <w:rPr>
                <w:color w:themeColor="text1" w:val="000000"/>
              </w:rPr>
              <w:t>пожарные депо;</w:t>
            </w:r>
          </w:p>
          <w:p>
            <w:pPr>
              <w:pStyle w:val="1114"/>
              <w:widowControl w:val="false"/>
              <w:numPr>
                <w:ilvl w:val="0"/>
                <w:numId w:val="3"/>
              </w:numPr>
              <w:ind w:hanging="397" w:left="397"/>
              <w:rPr>
                <w:color w:themeColor="text1" w:val="000000"/>
              </w:rPr>
            </w:pPr>
            <w:r>
              <w:rPr>
                <w:color w:themeColor="text1" w:val="000000"/>
              </w:rPr>
              <w:t>местные и транзитные коммуникации, линии электропередач;</w:t>
            </w:r>
          </w:p>
          <w:p>
            <w:pPr>
              <w:pStyle w:val="1114"/>
              <w:widowControl w:val="false"/>
              <w:numPr>
                <w:ilvl w:val="0"/>
                <w:numId w:val="3"/>
              </w:numPr>
              <w:ind w:hanging="397" w:left="397"/>
              <w:rPr>
                <w:color w:themeColor="text1" w:val="000000"/>
              </w:rPr>
            </w:pPr>
            <w:r>
              <w:rPr>
                <w:color w:themeColor="text1" w:val="000000"/>
              </w:rPr>
              <w:t>электроподстанции, нефте- и газопроводы;</w:t>
            </w:r>
          </w:p>
          <w:p>
            <w:pPr>
              <w:pStyle w:val="1114"/>
              <w:widowControl w:val="false"/>
              <w:numPr>
                <w:ilvl w:val="0"/>
                <w:numId w:val="3"/>
              </w:numPr>
              <w:ind w:hanging="397" w:left="397"/>
              <w:rPr>
                <w:color w:themeColor="text1" w:val="000000"/>
              </w:rPr>
            </w:pPr>
            <w:r>
              <w:rPr>
                <w:color w:themeColor="text1" w:val="000000"/>
              </w:rPr>
              <w:t>артезианские скважины для технического водоснабжения;</w:t>
            </w:r>
          </w:p>
          <w:p>
            <w:pPr>
              <w:pStyle w:val="1114"/>
              <w:widowControl w:val="false"/>
              <w:numPr>
                <w:ilvl w:val="0"/>
                <w:numId w:val="3"/>
              </w:numPr>
              <w:ind w:hanging="397" w:left="397"/>
              <w:rPr>
                <w:color w:themeColor="text1" w:val="000000"/>
              </w:rPr>
            </w:pPr>
            <w:r>
              <w:rPr>
                <w:color w:themeColor="text1" w:val="000000"/>
              </w:rPr>
              <w:t>водоохлаждающие сооружения для подготовки технической воды;</w:t>
            </w:r>
          </w:p>
          <w:p>
            <w:pPr>
              <w:pStyle w:val="1114"/>
              <w:widowControl w:val="false"/>
              <w:numPr>
                <w:ilvl w:val="0"/>
                <w:numId w:val="3"/>
              </w:numPr>
              <w:ind w:hanging="397" w:left="397"/>
              <w:rPr>
                <w:color w:themeColor="text1" w:val="000000"/>
              </w:rPr>
            </w:pPr>
            <w:r>
              <w:rPr>
                <w:color w:themeColor="text1" w:val="000000"/>
              </w:rPr>
              <w:t>канализационные насосные станции;</w:t>
            </w:r>
          </w:p>
          <w:p>
            <w:pPr>
              <w:pStyle w:val="1114"/>
              <w:widowControl w:val="false"/>
              <w:numPr>
                <w:ilvl w:val="0"/>
                <w:numId w:val="3"/>
              </w:numPr>
              <w:ind w:hanging="397" w:left="397"/>
              <w:rPr>
                <w:color w:themeColor="text1" w:val="000000"/>
              </w:rPr>
            </w:pPr>
            <w:r>
              <w:rPr>
                <w:color w:themeColor="text1" w:val="000000"/>
              </w:rPr>
              <w:t>сооружения оборотного водоснабжения;</w:t>
            </w:r>
          </w:p>
          <w:p>
            <w:pPr>
              <w:pStyle w:val="1114"/>
              <w:widowControl w:val="false"/>
              <w:numPr>
                <w:ilvl w:val="0"/>
                <w:numId w:val="3"/>
              </w:numPr>
              <w:ind w:hanging="397" w:left="397"/>
              <w:rPr>
                <w:color w:themeColor="text1" w:val="000000"/>
              </w:rPr>
            </w:pPr>
            <w:r>
              <w:rPr>
                <w:color w:themeColor="text1" w:val="000000"/>
              </w:rPr>
              <w:t>автозаправочные станции;</w:t>
            </w:r>
          </w:p>
          <w:p>
            <w:pPr>
              <w:pStyle w:val="1114"/>
              <w:widowControl w:val="false"/>
              <w:numPr>
                <w:ilvl w:val="0"/>
                <w:numId w:val="3"/>
              </w:numPr>
              <w:ind w:hanging="397" w:left="397"/>
              <w:rPr>
                <w:color w:themeColor="text1" w:val="000000"/>
              </w:rPr>
            </w:pPr>
            <w:r>
              <w:rPr>
                <w:color w:themeColor="text1" w:val="000000"/>
              </w:rPr>
              <w:t>станции технического обслуживания автомобилей;</w:t>
            </w:r>
          </w:p>
          <w:p>
            <w:pPr>
              <w:pStyle w:val="1114"/>
              <w:widowControl w:val="false"/>
              <w:numPr>
                <w:ilvl w:val="0"/>
                <w:numId w:val="3"/>
              </w:numPr>
              <w:ind w:hanging="397" w:left="397"/>
              <w:rPr>
                <w:color w:themeColor="text1" w:val="000000"/>
              </w:rPr>
            </w:pPr>
            <w:r>
              <w:rPr>
                <w:color w:themeColor="text1" w:val="00000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pPr>
              <w:pStyle w:val="Normal"/>
              <w:widowControl w:val="false"/>
              <w:rPr>
                <w:color w:themeColor="text1" w:val="000000"/>
              </w:rPr>
            </w:pPr>
            <w:r>
              <w:rPr>
                <w:color w:themeColor="text1" w:val="000000"/>
              </w:rPr>
            </w:r>
          </w:p>
        </w:tc>
        <w:tc>
          <w:tcPr>
            <w:tcW w:w="4054" w:type="dxa"/>
            <w:tcBorders>
              <w:top w:val="single" w:sz="4" w:space="0" w:color="000000"/>
              <w:left w:val="single" w:sz="4" w:space="0" w:color="000000"/>
              <w:bottom w:val="single" w:sz="4" w:space="0" w:color="000000"/>
              <w:right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жилую застройку, включая отдельные жилые дома, ландшафтно-рекреационные зоны;</w:t>
            </w:r>
          </w:p>
          <w:p>
            <w:pPr>
              <w:pStyle w:val="1114"/>
              <w:widowControl w:val="false"/>
              <w:numPr>
                <w:ilvl w:val="0"/>
                <w:numId w:val="3"/>
              </w:numPr>
              <w:ind w:hanging="397" w:left="397"/>
              <w:rPr>
                <w:color w:themeColor="text1" w:val="000000"/>
              </w:rPr>
            </w:pPr>
            <w:r>
              <w:rPr>
                <w:color w:themeColor="text1" w:val="000000"/>
              </w:rPr>
              <w:t>зоны отдыха;</w:t>
            </w:r>
          </w:p>
          <w:p>
            <w:pPr>
              <w:pStyle w:val="1114"/>
              <w:widowControl w:val="false"/>
              <w:numPr>
                <w:ilvl w:val="0"/>
                <w:numId w:val="3"/>
              </w:numPr>
              <w:ind w:hanging="397" w:left="397"/>
              <w:rPr>
                <w:color w:themeColor="text1" w:val="000000"/>
              </w:rPr>
            </w:pPr>
            <w:r>
              <w:rPr>
                <w:color w:themeColor="text1" w:val="000000"/>
              </w:rPr>
              <w:t>территории курортов, санаториев и домов отдыха;</w:t>
            </w:r>
          </w:p>
          <w:p>
            <w:pPr>
              <w:pStyle w:val="1114"/>
              <w:widowControl w:val="false"/>
              <w:numPr>
                <w:ilvl w:val="0"/>
                <w:numId w:val="3"/>
              </w:numPr>
              <w:ind w:hanging="397" w:left="397"/>
              <w:rPr>
                <w:color w:themeColor="text1" w:val="000000"/>
              </w:rPr>
            </w:pPr>
            <w:r>
              <w:rPr>
                <w:color w:themeColor="text1" w:val="000000"/>
              </w:rPr>
              <w:t>территорий садоводческих товариществ и коттеджной застройки;</w:t>
            </w:r>
          </w:p>
          <w:p>
            <w:pPr>
              <w:pStyle w:val="1114"/>
              <w:widowControl w:val="false"/>
              <w:numPr>
                <w:ilvl w:val="0"/>
                <w:numId w:val="3"/>
              </w:numPr>
              <w:ind w:hanging="397" w:left="397"/>
              <w:rPr>
                <w:color w:themeColor="text1" w:val="000000"/>
              </w:rPr>
            </w:pPr>
            <w:r>
              <w:rPr>
                <w:color w:themeColor="text1" w:val="000000"/>
              </w:rPr>
              <w:t>коллективных или индивидуальных дачных и садово-огородных участков;</w:t>
            </w:r>
          </w:p>
          <w:p>
            <w:pPr>
              <w:pStyle w:val="1114"/>
              <w:widowControl w:val="false"/>
              <w:numPr>
                <w:ilvl w:val="0"/>
                <w:numId w:val="3"/>
              </w:numPr>
              <w:ind w:hanging="397" w:left="397"/>
              <w:rPr>
                <w:color w:themeColor="text1" w:val="000000"/>
              </w:rPr>
            </w:pPr>
            <w:r>
              <w:rPr>
                <w:color w:themeColor="text1" w:val="000000"/>
              </w:rPr>
              <w:t>а также других территорий с нормируемыми показателями качества среды обитания;</w:t>
            </w:r>
          </w:p>
          <w:p>
            <w:pPr>
              <w:pStyle w:val="1114"/>
              <w:widowControl w:val="false"/>
              <w:numPr>
                <w:ilvl w:val="0"/>
                <w:numId w:val="3"/>
              </w:numPr>
              <w:ind w:hanging="397" w:left="397"/>
              <w:rPr>
                <w:color w:themeColor="text1" w:val="000000"/>
              </w:rPr>
            </w:pPr>
            <w:r>
              <w:rPr>
                <w:color w:themeColor="text1" w:val="000000"/>
              </w:rPr>
              <w:t>спортивные сооружения, детские площадки;</w:t>
            </w:r>
          </w:p>
          <w:p>
            <w:pPr>
              <w:pStyle w:val="1114"/>
              <w:widowControl w:val="false"/>
              <w:numPr>
                <w:ilvl w:val="0"/>
                <w:numId w:val="3"/>
              </w:numPr>
              <w:ind w:hanging="397" w:left="397"/>
              <w:rPr>
                <w:color w:themeColor="text1" w:val="000000"/>
              </w:rPr>
            </w:pPr>
            <w:r>
              <w:rPr>
                <w:color w:themeColor="text1" w:val="000000"/>
              </w:rPr>
              <w:t>образовательные и детские учреждения,</w:t>
            </w:r>
          </w:p>
          <w:p>
            <w:pPr>
              <w:pStyle w:val="1114"/>
              <w:widowControl w:val="false"/>
              <w:numPr>
                <w:ilvl w:val="0"/>
                <w:numId w:val="3"/>
              </w:numPr>
              <w:ind w:hanging="397" w:left="397"/>
              <w:rPr>
                <w:color w:themeColor="text1" w:val="000000"/>
              </w:rPr>
            </w:pPr>
            <w:r>
              <w:rPr>
                <w:color w:themeColor="text1" w:val="000000"/>
              </w:rPr>
              <w:t>лечебно-профилактические и оздоровительные учреждения общего пользования.</w:t>
            </w:r>
          </w:p>
        </w:tc>
      </w:tr>
      <w:tr>
        <w:trPr>
          <w:trHeight w:val="4060" w:hRule="atLeast"/>
          <w:cantSplit w:val="true"/>
        </w:trPr>
        <w:tc>
          <w:tcPr>
            <w:tcW w:w="5536"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rPr>
                <w:color w:themeColor="text1" w:val="000000"/>
              </w:rPr>
            </w:pPr>
            <w:r>
              <w:rPr>
                <w:color w:themeColor="text1" w:val="000000"/>
              </w:rPr>
            </w:r>
          </w:p>
        </w:tc>
        <w:tc>
          <w:tcPr>
            <w:tcW w:w="4054" w:type="dxa"/>
            <w:tcBorders>
              <w:top w:val="single" w:sz="4" w:space="0" w:color="000000"/>
              <w:left w:val="single" w:sz="4" w:space="0" w:color="000000"/>
              <w:bottom w:val="single" w:sz="4" w:space="0" w:color="000000"/>
              <w:right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В санитарно-защитной зоне и на территории объектов других отраслей промышленности не допускается размещать</w:t>
            </w:r>
          </w:p>
          <w:p>
            <w:pPr>
              <w:pStyle w:val="1114"/>
              <w:widowControl w:val="false"/>
              <w:numPr>
                <w:ilvl w:val="0"/>
                <w:numId w:val="3"/>
              </w:numPr>
              <w:ind w:hanging="397" w:left="397"/>
              <w:rPr>
                <w:color w:themeColor="text1" w:val="000000"/>
              </w:rPr>
            </w:pPr>
            <w:r>
              <w:rPr>
                <w:color w:themeColor="text1" w:val="000000"/>
              </w:rPr>
              <w:t>объекты по производству лекарственных веществ;</w:t>
            </w:r>
          </w:p>
          <w:p>
            <w:pPr>
              <w:pStyle w:val="1114"/>
              <w:widowControl w:val="false"/>
              <w:numPr>
                <w:ilvl w:val="0"/>
                <w:numId w:val="3"/>
              </w:numPr>
              <w:ind w:hanging="397" w:left="397"/>
              <w:rPr>
                <w:color w:themeColor="text1" w:val="000000"/>
              </w:rPr>
            </w:pPr>
            <w:r>
              <w:rPr>
                <w:color w:themeColor="text1" w:val="000000"/>
              </w:rPr>
              <w:t>лекарственных средств и (или) лекарственных форм;</w:t>
            </w:r>
          </w:p>
          <w:p>
            <w:pPr>
              <w:pStyle w:val="1114"/>
              <w:widowControl w:val="false"/>
              <w:numPr>
                <w:ilvl w:val="0"/>
                <w:numId w:val="3"/>
              </w:numPr>
              <w:ind w:hanging="397" w:left="397"/>
              <w:rPr>
                <w:color w:themeColor="text1" w:val="000000"/>
              </w:rPr>
            </w:pPr>
            <w:r>
              <w:rPr>
                <w:color w:themeColor="text1" w:val="000000"/>
              </w:rPr>
              <w:t>склады сырья и полупродуктов для фармацевтических предприятий;</w:t>
            </w:r>
          </w:p>
          <w:p>
            <w:pPr>
              <w:pStyle w:val="1114"/>
              <w:widowControl w:val="false"/>
              <w:numPr>
                <w:ilvl w:val="0"/>
                <w:numId w:val="3"/>
              </w:numPr>
              <w:ind w:hanging="397" w:left="397"/>
              <w:rPr>
                <w:color w:themeColor="text1" w:val="000000"/>
              </w:rPr>
            </w:pPr>
            <w:r>
              <w:rPr>
                <w:color w:themeColor="text1" w:val="000000"/>
              </w:rPr>
              <w:t>объекты пищевых отраслей промышленности;</w:t>
            </w:r>
          </w:p>
          <w:p>
            <w:pPr>
              <w:pStyle w:val="1114"/>
              <w:widowControl w:val="false"/>
              <w:numPr>
                <w:ilvl w:val="0"/>
                <w:numId w:val="3"/>
              </w:numPr>
              <w:ind w:hanging="397" w:left="397"/>
              <w:rPr>
                <w:color w:themeColor="text1" w:val="000000"/>
              </w:rPr>
            </w:pPr>
            <w:r>
              <w:rPr>
                <w:color w:themeColor="text1" w:val="000000"/>
              </w:rPr>
              <w:t>оптовые склады продовольственного сырья и пищевых продуктов;</w:t>
            </w:r>
          </w:p>
          <w:p>
            <w:pPr>
              <w:pStyle w:val="1114"/>
              <w:widowControl w:val="false"/>
              <w:numPr>
                <w:ilvl w:val="0"/>
                <w:numId w:val="3"/>
              </w:numPr>
              <w:ind w:hanging="397" w:left="397"/>
              <w:rPr>
                <w:color w:themeColor="text1" w:val="000000"/>
              </w:rPr>
            </w:pPr>
            <w:r>
              <w:rPr>
                <w:color w:themeColor="text1" w:val="000000"/>
              </w:rPr>
              <w:t>комплексы водопроводных сооружений для подготовки и хранения питьевой воды, которые могут повлиять на качество продукции.</w:t>
            </w:r>
          </w:p>
        </w:tc>
      </w:tr>
    </w:tbl>
    <w:p>
      <w:pPr>
        <w:pStyle w:val="Style70"/>
        <w:rPr>
          <w:color w:themeColor="text1" w:val="000000"/>
          <w:sz w:val="22"/>
          <w:szCs w:val="22"/>
        </w:rPr>
      </w:pPr>
      <w:r>
        <w:rPr>
          <w:color w:themeColor="text1" w:val="000000"/>
          <w:sz w:val="22"/>
          <w:szCs w:val="22"/>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pPr>
        <w:pStyle w:val="Style83"/>
        <w:rPr>
          <w:color w:themeColor="text1" w:val="000000"/>
        </w:rPr>
      </w:pPr>
      <w:r>
        <w:rPr>
          <w:color w:themeColor="text1" w:val="000000"/>
        </w:rPr>
        <w:t>Ограничения на использование территорий зон санитарной охраны источников питьевого водоснабжения (СанПиН 2.1.4.1110-02 «Зоны санитарной охраны источников водоснабжения и водопроводов питьевого назначения», СНиП 2.04.02-84 «Водоснабжение. Наружные сети и сооружения», СанПин 2.1.5.980-00 «Гигиенические требования к охране поверхностных вод»)</w:t>
      </w:r>
    </w:p>
    <w:tbl>
      <w:tblPr>
        <w:tblW w:w="10306" w:type="dxa"/>
        <w:jc w:val="left"/>
        <w:tblInd w:w="-289" w:type="dxa"/>
        <w:tblLayout w:type="fixed"/>
        <w:tblCellMar>
          <w:top w:w="0" w:type="dxa"/>
          <w:left w:w="108" w:type="dxa"/>
          <w:bottom w:w="0" w:type="dxa"/>
          <w:right w:w="108" w:type="dxa"/>
        </w:tblCellMar>
        <w:tblLook w:firstRow="0" w:noVBand="0" w:lastRow="0" w:firstColumn="0" w:lastColumn="0" w:noHBand="0" w:val="0000"/>
      </w:tblPr>
      <w:tblGrid>
        <w:gridCol w:w="1764"/>
        <w:gridCol w:w="4549"/>
        <w:gridCol w:w="3993"/>
      </w:tblGrid>
      <w:tr>
        <w:trPr>
          <w:tblHeader w:val="true"/>
          <w:trHeight w:val="177" w:hRule="atLeast"/>
        </w:trPr>
        <w:tc>
          <w:tcPr>
            <w:tcW w:w="1764"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Наименование зон</w:t>
            </w:r>
          </w:p>
        </w:tc>
        <w:tc>
          <w:tcPr>
            <w:tcW w:w="454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Запрещается</w:t>
            </w:r>
          </w:p>
        </w:tc>
        <w:tc>
          <w:tcPr>
            <w:tcW w:w="3993"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1112"/>
              <w:widowControl w:val="false"/>
              <w:rPr>
                <w:b/>
                <w:color w:themeColor="text1" w:val="000000"/>
              </w:rPr>
            </w:pPr>
            <w:r>
              <w:rPr>
                <w:b/>
                <w:color w:themeColor="text1" w:val="000000"/>
              </w:rPr>
              <w:t>Допускается</w:t>
            </w:r>
          </w:p>
        </w:tc>
      </w:tr>
      <w:tr>
        <w:trPr/>
        <w:tc>
          <w:tcPr>
            <w:tcW w:w="1764"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color w:themeColor="text1" w:val="000000"/>
              </w:rPr>
              <w:t>I пояс</w:t>
            </w:r>
          </w:p>
        </w:tc>
        <w:tc>
          <w:tcPr>
            <w:tcW w:w="4549" w:type="dxa"/>
            <w:tcBorders>
              <w:top w:val="single" w:sz="4" w:space="0" w:color="000000"/>
              <w:left w:val="single" w:sz="4" w:space="0" w:color="000000"/>
              <w:bottom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все виды строительства;</w:t>
            </w:r>
          </w:p>
          <w:p>
            <w:pPr>
              <w:pStyle w:val="1114"/>
              <w:widowControl w:val="false"/>
              <w:numPr>
                <w:ilvl w:val="0"/>
                <w:numId w:val="3"/>
              </w:numPr>
              <w:ind w:hanging="397" w:left="397"/>
              <w:rPr>
                <w:color w:themeColor="text1" w:val="000000"/>
              </w:rPr>
            </w:pPr>
            <w:r>
              <w:rPr>
                <w:color w:themeColor="text1" w:val="000000"/>
              </w:rPr>
              <w:t>проживание людей;</w:t>
            </w:r>
          </w:p>
          <w:p>
            <w:pPr>
              <w:pStyle w:val="1114"/>
              <w:widowControl w:val="false"/>
              <w:numPr>
                <w:ilvl w:val="0"/>
                <w:numId w:val="3"/>
              </w:numPr>
              <w:ind w:hanging="397" w:left="397"/>
              <w:rPr>
                <w:color w:themeColor="text1" w:val="000000"/>
              </w:rPr>
            </w:pPr>
            <w:r>
              <w:rPr>
                <w:color w:themeColor="text1" w:val="000000"/>
              </w:rPr>
              <w:t>посадка высокоствольных деревьев;</w:t>
            </w:r>
          </w:p>
          <w:p>
            <w:pPr>
              <w:pStyle w:val="1114"/>
              <w:widowControl w:val="false"/>
              <w:numPr>
                <w:ilvl w:val="0"/>
                <w:numId w:val="3"/>
              </w:numPr>
              <w:ind w:hanging="397" w:left="397"/>
              <w:rPr>
                <w:color w:themeColor="text1" w:val="000000"/>
              </w:rPr>
            </w:pPr>
            <w:r>
              <w:rPr>
                <w:color w:themeColor="text1" w:val="000000"/>
              </w:rPr>
              <w:t>применение ядохимикатов и удобрений;</w:t>
            </w:r>
          </w:p>
          <w:p>
            <w:pPr>
              <w:pStyle w:val="1114"/>
              <w:widowControl w:val="false"/>
              <w:numPr>
                <w:ilvl w:val="0"/>
                <w:numId w:val="3"/>
              </w:numPr>
              <w:ind w:hanging="397" w:left="397"/>
              <w:rPr>
                <w:color w:themeColor="text1" w:val="000000"/>
              </w:rPr>
            </w:pPr>
            <w:r>
              <w:rPr>
                <w:color w:themeColor="text1" w:val="000000"/>
              </w:rPr>
              <w:t>размещение жилых и хозяйственно- бытовых помещений;</w:t>
            </w:r>
          </w:p>
          <w:p>
            <w:pPr>
              <w:pStyle w:val="1114"/>
              <w:widowControl w:val="false"/>
              <w:numPr>
                <w:ilvl w:val="0"/>
                <w:numId w:val="3"/>
              </w:numPr>
              <w:ind w:hanging="397" w:left="397"/>
              <w:rPr>
                <w:color w:themeColor="text1" w:val="000000"/>
              </w:rPr>
            </w:pPr>
            <w:r>
              <w:rPr>
                <w:color w:themeColor="text1" w:val="000000"/>
              </w:rPr>
              <w:t>спуск сточных вод, в т.ч. водного транспорта;</w:t>
            </w:r>
          </w:p>
          <w:p>
            <w:pPr>
              <w:pStyle w:val="1114"/>
              <w:widowControl w:val="false"/>
              <w:numPr>
                <w:ilvl w:val="0"/>
                <w:numId w:val="3"/>
              </w:numPr>
              <w:ind w:hanging="397" w:left="397"/>
              <w:rPr>
                <w:color w:themeColor="text1" w:val="000000"/>
              </w:rPr>
            </w:pPr>
            <w:r>
              <w:rPr>
                <w:color w:themeColor="text1" w:val="000000"/>
              </w:rPr>
              <w:t>купание, стирка белья, водопой скота;</w:t>
            </w:r>
          </w:p>
          <w:p>
            <w:pPr>
              <w:pStyle w:val="1114"/>
              <w:widowControl w:val="false"/>
              <w:numPr>
                <w:ilvl w:val="0"/>
                <w:numId w:val="3"/>
              </w:numPr>
              <w:ind w:hanging="397" w:left="397"/>
              <w:rPr>
                <w:color w:themeColor="text1" w:val="000000"/>
              </w:rPr>
            </w:pPr>
            <w:r>
              <w:rPr>
                <w:color w:themeColor="text1" w:val="000000"/>
              </w:rPr>
              <w:t>другие виды водопользования, оказывающие влияние на качество воды.</w:t>
            </w:r>
          </w:p>
        </w:tc>
        <w:tc>
          <w:tcPr>
            <w:tcW w:w="3993" w:type="dxa"/>
            <w:tcBorders>
              <w:top w:val="single" w:sz="4" w:space="0" w:color="000000"/>
              <w:left w:val="single" w:sz="4" w:space="0" w:color="000000"/>
              <w:bottom w:val="single" w:sz="4" w:space="0" w:color="000000"/>
              <w:right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ограждение;</w:t>
            </w:r>
          </w:p>
          <w:p>
            <w:pPr>
              <w:pStyle w:val="1114"/>
              <w:widowControl w:val="false"/>
              <w:numPr>
                <w:ilvl w:val="0"/>
                <w:numId w:val="3"/>
              </w:numPr>
              <w:ind w:hanging="397" w:left="397"/>
              <w:rPr>
                <w:color w:themeColor="text1" w:val="000000"/>
              </w:rPr>
            </w:pPr>
            <w:r>
              <w:rPr>
                <w:color w:themeColor="text1" w:val="000000"/>
              </w:rPr>
              <w:t>планировка территории;</w:t>
            </w:r>
          </w:p>
          <w:p>
            <w:pPr>
              <w:pStyle w:val="1114"/>
              <w:widowControl w:val="false"/>
              <w:numPr>
                <w:ilvl w:val="0"/>
                <w:numId w:val="3"/>
              </w:numPr>
              <w:ind w:hanging="397" w:left="397"/>
              <w:rPr>
                <w:color w:themeColor="text1" w:val="000000"/>
              </w:rPr>
            </w:pPr>
            <w:r>
              <w:rPr>
                <w:color w:themeColor="text1" w:val="000000"/>
              </w:rPr>
              <w:t>озеленение;</w:t>
            </w:r>
          </w:p>
          <w:p>
            <w:pPr>
              <w:pStyle w:val="1114"/>
              <w:widowControl w:val="false"/>
              <w:numPr>
                <w:ilvl w:val="0"/>
                <w:numId w:val="3"/>
              </w:numPr>
              <w:ind w:hanging="397" w:left="397"/>
              <w:rPr>
                <w:color w:themeColor="text1" w:val="000000"/>
              </w:rPr>
            </w:pPr>
            <w:r>
              <w:rPr>
                <w:color w:themeColor="text1" w:val="000000"/>
              </w:rPr>
              <w:t>отведение поверхностного стока за пределы пояса в систему канализационных очистных сооружений.</w:t>
            </w:r>
          </w:p>
        </w:tc>
      </w:tr>
      <w:tr>
        <w:trPr>
          <w:cantSplit w:val="true"/>
        </w:trPr>
        <w:tc>
          <w:tcPr>
            <w:tcW w:w="1764"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color w:themeColor="text1" w:val="000000"/>
              </w:rPr>
              <w:t>II пояс</w:t>
            </w:r>
          </w:p>
          <w:p>
            <w:pPr>
              <w:pStyle w:val="1116"/>
              <w:widowControl w:val="false"/>
              <w:rPr>
                <w:color w:themeColor="text1" w:val="000000"/>
              </w:rPr>
            </w:pPr>
            <w:r>
              <w:rPr>
                <w:color w:themeColor="text1" w:val="000000"/>
              </w:rPr>
            </w:r>
          </w:p>
        </w:tc>
        <w:tc>
          <w:tcPr>
            <w:tcW w:w="4549" w:type="dxa"/>
            <w:tcBorders>
              <w:top w:val="single" w:sz="4" w:space="0" w:color="000000"/>
              <w:left w:val="single" w:sz="4" w:space="0" w:color="000000"/>
              <w:bottom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закачка отработанных вод в подземные горизонты, подземное складирование твердых отходов, разработка недр земли;</w:t>
            </w:r>
          </w:p>
          <w:p>
            <w:pPr>
              <w:pStyle w:val="1114"/>
              <w:widowControl w:val="false"/>
              <w:numPr>
                <w:ilvl w:val="0"/>
                <w:numId w:val="3"/>
              </w:numPr>
              <w:ind w:hanging="397" w:left="397"/>
              <w:rPr>
                <w:color w:themeColor="text1" w:val="000000"/>
              </w:rPr>
            </w:pPr>
            <w:r>
              <w:rPr>
                <w:color w:themeColor="text1" w:val="000000"/>
              </w:rPr>
              <w:t>размещение складов горюче-смазочных материалов, ядохимикатов и минеральных удобрений, накопителей промстоков, шламохранилищ и др.;</w:t>
            </w:r>
          </w:p>
          <w:p>
            <w:pPr>
              <w:pStyle w:val="1114"/>
              <w:widowControl w:val="false"/>
              <w:numPr>
                <w:ilvl w:val="0"/>
                <w:numId w:val="3"/>
              </w:numPr>
              <w:ind w:hanging="397" w:left="397"/>
              <w:rPr>
                <w:color w:themeColor="text1" w:val="000000"/>
              </w:rPr>
            </w:pPr>
            <w:r>
              <w:rPr>
                <w:color w:themeColor="text1" w:val="000000"/>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pPr>
              <w:pStyle w:val="1114"/>
              <w:widowControl w:val="false"/>
              <w:numPr>
                <w:ilvl w:val="0"/>
                <w:numId w:val="3"/>
              </w:numPr>
              <w:ind w:hanging="397" w:left="397"/>
              <w:rPr>
                <w:color w:themeColor="text1" w:val="000000"/>
              </w:rPr>
            </w:pPr>
            <w:r>
              <w:rPr>
                <w:color w:themeColor="text1" w:val="000000"/>
              </w:rPr>
              <w:t>применение удобрений и ядохимикатов;</w:t>
            </w:r>
          </w:p>
          <w:p>
            <w:pPr>
              <w:pStyle w:val="1114"/>
              <w:widowControl w:val="false"/>
              <w:numPr>
                <w:ilvl w:val="0"/>
                <w:numId w:val="3"/>
              </w:numPr>
              <w:ind w:hanging="397" w:left="397"/>
              <w:rPr>
                <w:color w:themeColor="text1" w:val="000000"/>
              </w:rPr>
            </w:pPr>
            <w:r>
              <w:rPr>
                <w:color w:themeColor="text1" w:val="000000"/>
              </w:rPr>
              <w:t>расположение стойбищ и выпас скота;</w:t>
            </w:r>
          </w:p>
          <w:p>
            <w:pPr>
              <w:pStyle w:val="1114"/>
              <w:widowControl w:val="false"/>
              <w:numPr>
                <w:ilvl w:val="0"/>
                <w:numId w:val="3"/>
              </w:numPr>
              <w:ind w:hanging="397" w:left="397"/>
              <w:rPr>
                <w:color w:themeColor="text1" w:val="000000"/>
              </w:rPr>
            </w:pPr>
            <w:r>
              <w:rPr>
                <w:color w:themeColor="text1" w:val="000000"/>
              </w:rPr>
              <w:t>рубка главного пользования и реконструкция;</w:t>
            </w:r>
          </w:p>
          <w:p>
            <w:pPr>
              <w:pStyle w:val="1114"/>
              <w:widowControl w:val="false"/>
              <w:numPr>
                <w:ilvl w:val="0"/>
                <w:numId w:val="3"/>
              </w:numPr>
              <w:ind w:hanging="397" w:left="397"/>
              <w:rPr>
                <w:color w:themeColor="text1" w:val="000000"/>
              </w:rPr>
            </w:pPr>
            <w:r>
              <w:rPr>
                <w:color w:themeColor="text1" w:val="000000"/>
              </w:rPr>
              <w:t>сброс промышленных, сельскохозяйственных, городских и ливневых сточных вод</w:t>
            </w:r>
          </w:p>
        </w:tc>
        <w:tc>
          <w:tcPr>
            <w:tcW w:w="399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купание, туризм, водный спорт, рыбная ловля в установленных местах при соблюдении гигиенических требований к охране вод и к зонам рекреации;</w:t>
            </w:r>
          </w:p>
          <w:p>
            <w:pPr>
              <w:pStyle w:val="1114"/>
              <w:widowControl w:val="false"/>
              <w:numPr>
                <w:ilvl w:val="0"/>
                <w:numId w:val="3"/>
              </w:numPr>
              <w:ind w:hanging="397" w:left="397"/>
              <w:rPr>
                <w:color w:themeColor="text1" w:val="000000"/>
              </w:rPr>
            </w:pPr>
            <w:r>
              <w:rPr>
                <w:color w:themeColor="text1" w:val="000000"/>
              </w:rPr>
              <w:t>рубки ухода и санитарные рубки леса;</w:t>
            </w:r>
          </w:p>
          <w:p>
            <w:pPr>
              <w:pStyle w:val="1114"/>
              <w:widowControl w:val="false"/>
              <w:numPr>
                <w:ilvl w:val="0"/>
                <w:numId w:val="3"/>
              </w:numPr>
              <w:ind w:hanging="397" w:left="397"/>
              <w:rPr>
                <w:color w:themeColor="text1" w:val="000000"/>
              </w:rPr>
            </w:pPr>
            <w:r>
              <w:rPr>
                <w:color w:themeColor="text1" w:val="000000"/>
              </w:rPr>
              <w:t>новое строительство с организацией отвода стоков на канализационные очистные сооружения;</w:t>
            </w:r>
          </w:p>
          <w:p>
            <w:pPr>
              <w:pStyle w:val="1114"/>
              <w:widowControl w:val="false"/>
              <w:numPr>
                <w:ilvl w:val="0"/>
                <w:numId w:val="3"/>
              </w:numPr>
              <w:ind w:hanging="397" w:left="397"/>
              <w:rPr/>
            </w:pPr>
            <w:r>
              <w:rPr>
                <w:color w:themeColor="text1" w:val="000000"/>
              </w:rPr>
              <w:t>добыча песка, гравия, дноуглубительные работы по согласованию с Госсанэпиднадзором;</w:t>
            </w:r>
          </w:p>
          <w:p>
            <w:pPr>
              <w:pStyle w:val="1114"/>
              <w:widowControl w:val="false"/>
              <w:numPr>
                <w:ilvl w:val="0"/>
                <w:numId w:val="3"/>
              </w:numPr>
              <w:ind w:hanging="397" w:left="397"/>
              <w:rPr>
                <w:color w:themeColor="text1" w:val="000000"/>
              </w:rPr>
            </w:pPr>
            <w:r>
              <w:rPr>
                <w:color w:themeColor="text1" w:val="000000"/>
              </w:rPr>
              <w:t>отведение сточных вод, не отвечающих гигиеническим требованиям;</w:t>
            </w:r>
          </w:p>
          <w:p>
            <w:pPr>
              <w:pStyle w:val="1114"/>
              <w:widowControl w:val="false"/>
              <w:numPr>
                <w:ilvl w:val="0"/>
                <w:numId w:val="3"/>
              </w:numPr>
              <w:ind w:hanging="397" w:left="397"/>
              <w:rPr>
                <w:color w:themeColor="text1" w:val="000000"/>
              </w:rPr>
            </w:pPr>
            <w:r>
              <w:rPr>
                <w:color w:themeColor="text1" w:val="000000"/>
              </w:rPr>
              <w:t>санитарное благоустройство территории населенных пунктов</w:t>
            </w:r>
          </w:p>
        </w:tc>
      </w:tr>
      <w:tr>
        <w:trPr>
          <w:cantSplit w:val="true"/>
        </w:trPr>
        <w:tc>
          <w:tcPr>
            <w:tcW w:w="1764" w:type="dxa"/>
            <w:tcBorders>
              <w:top w:val="single" w:sz="4" w:space="0" w:color="000000"/>
              <w:left w:val="single" w:sz="4" w:space="0" w:color="000000"/>
              <w:bottom w:val="single" w:sz="4" w:space="0" w:color="000000"/>
            </w:tcBorders>
            <w:shd w:color="auto" w:fill="auto" w:val="clear"/>
          </w:tcPr>
          <w:p>
            <w:pPr>
              <w:pStyle w:val="1116"/>
              <w:widowControl w:val="false"/>
              <w:rPr>
                <w:color w:themeColor="text1" w:val="000000"/>
              </w:rPr>
            </w:pPr>
            <w:r>
              <w:rPr>
                <w:color w:themeColor="text1" w:val="000000"/>
              </w:rPr>
              <w:t>III пояс</w:t>
            </w:r>
          </w:p>
        </w:tc>
        <w:tc>
          <w:tcPr>
            <w:tcW w:w="4549" w:type="dxa"/>
            <w:tcBorders>
              <w:top w:val="single" w:sz="4" w:space="0" w:color="000000"/>
              <w:left w:val="single" w:sz="4" w:space="0" w:color="000000"/>
              <w:bottom w:val="single" w:sz="4" w:space="0" w:color="000000"/>
            </w:tcBorders>
            <w:shd w:color="auto" w:fill="auto" w:val="clear"/>
          </w:tcPr>
          <w:p>
            <w:pPr>
              <w:pStyle w:val="1114"/>
              <w:widowControl w:val="false"/>
              <w:numPr>
                <w:ilvl w:val="0"/>
                <w:numId w:val="3"/>
              </w:numPr>
              <w:ind w:hanging="397" w:left="397"/>
              <w:rPr>
                <w:color w:themeColor="text1" w:val="000000"/>
              </w:rPr>
            </w:pPr>
            <w:r>
              <w:rPr>
                <w:color w:themeColor="text1" w:val="000000"/>
              </w:rPr>
              <w:t>размещение кладбищ, скотомогильников, полей ассенизации, полей фильтрации, навозохранилищ, животноводческих и птицеводческих предприятий и др.;</w:t>
            </w:r>
          </w:p>
          <w:p>
            <w:pPr>
              <w:pStyle w:val="1114"/>
              <w:widowControl w:val="false"/>
              <w:numPr>
                <w:ilvl w:val="0"/>
                <w:numId w:val="3"/>
              </w:numPr>
              <w:ind w:hanging="397" w:left="397"/>
              <w:rPr>
                <w:color w:themeColor="text1" w:val="000000"/>
              </w:rPr>
            </w:pPr>
            <w:r>
              <w:rPr>
                <w:color w:themeColor="text1" w:val="000000"/>
              </w:rPr>
              <w:t>применение удобрений и ядохимикатов;</w:t>
            </w:r>
          </w:p>
          <w:p>
            <w:pPr>
              <w:pStyle w:val="1114"/>
              <w:widowControl w:val="false"/>
              <w:numPr>
                <w:ilvl w:val="0"/>
                <w:numId w:val="3"/>
              </w:numPr>
              <w:ind w:hanging="397" w:left="397"/>
              <w:rPr>
                <w:color w:themeColor="text1" w:val="000000"/>
              </w:rPr>
            </w:pPr>
            <w:r>
              <w:rPr>
                <w:color w:themeColor="text1" w:val="000000"/>
              </w:rPr>
              <w:t>расположение стойбищ и выпас скота;</w:t>
            </w:r>
          </w:p>
          <w:p>
            <w:pPr>
              <w:pStyle w:val="1114"/>
              <w:widowControl w:val="false"/>
              <w:numPr>
                <w:ilvl w:val="0"/>
                <w:numId w:val="3"/>
              </w:numPr>
              <w:ind w:hanging="397" w:left="397"/>
              <w:rPr>
                <w:color w:themeColor="text1" w:val="000000"/>
              </w:rPr>
            </w:pPr>
            <w:r>
              <w:rPr>
                <w:color w:themeColor="text1" w:val="000000"/>
              </w:rPr>
              <w:t>рубка главного пользования и реконструкция;</w:t>
            </w:r>
          </w:p>
          <w:p>
            <w:pPr>
              <w:pStyle w:val="1114"/>
              <w:widowControl w:val="false"/>
              <w:numPr>
                <w:ilvl w:val="0"/>
                <w:numId w:val="3"/>
              </w:numPr>
              <w:ind w:hanging="397" w:left="397"/>
              <w:rPr>
                <w:color w:themeColor="text1" w:val="000000"/>
              </w:rPr>
            </w:pPr>
            <w:r>
              <w:rPr>
                <w:color w:themeColor="text1" w:val="000000"/>
              </w:rPr>
              <w:t>сброс промышленных, сельскохозяйственных, городских и ливневых сточных вод</w:t>
            </w:r>
          </w:p>
        </w:tc>
        <w:tc>
          <w:tcPr>
            <w:tcW w:w="399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1112"/>
              <w:widowControl w:val="false"/>
              <w:snapToGrid w:val="false"/>
              <w:rPr>
                <w:color w:themeColor="text1" w:val="000000"/>
              </w:rPr>
            </w:pPr>
            <w:r>
              <w:rPr>
                <w:color w:themeColor="text1" w:val="000000"/>
              </w:rPr>
            </w:r>
          </w:p>
        </w:tc>
      </w:tr>
    </w:tbl>
    <w:p>
      <w:pPr>
        <w:pStyle w:val="Normal"/>
        <w:rPr>
          <w:color w:themeColor="text1" w:val="000000"/>
        </w:rPr>
      </w:pPr>
      <w:r>
        <w:rPr>
          <w:color w:themeColor="text1" w:val="000000"/>
        </w:rPr>
      </w:r>
    </w:p>
    <w:p>
      <w:pPr>
        <w:pStyle w:val="Normal"/>
        <w:tabs>
          <w:tab w:val="clear" w:pos="397"/>
          <w:tab w:val="left" w:pos="5873" w:leader="none"/>
        </w:tabs>
        <w:rPr>
          <w:color w:themeColor="text1" w:val="000000"/>
        </w:rPr>
      </w:pPr>
      <w:r>
        <w:rPr>
          <w:color w:themeColor="text1" w:val="000000"/>
        </w:rPr>
        <w:tab/>
      </w:r>
      <w:r>
        <w:br w:type="page"/>
      </w:r>
    </w:p>
    <w:p>
      <w:pPr>
        <w:pStyle w:val="Normal"/>
        <w:spacing w:before="0" w:after="0"/>
        <w:jc w:val="center"/>
        <w:rPr>
          <w:color w:themeColor="text1" w:val="000000"/>
        </w:rPr>
      </w:pPr>
      <w:r>
        <w:rPr>
          <w:color w:themeColor="text1" w:val="000000"/>
        </w:rPr>
        <w:t>Перечень садоводческих некоммерческих товариществ,</w:t>
      </w:r>
    </w:p>
    <w:p>
      <w:pPr>
        <w:pStyle w:val="Normal"/>
        <w:jc w:val="center"/>
        <w:rPr>
          <w:color w:themeColor="text1" w:val="000000"/>
        </w:rPr>
      </w:pPr>
      <w:r>
        <w:rPr>
          <w:color w:themeColor="text1" w:val="000000"/>
        </w:rPr>
        <w:t>расположенных на территории городского округа</w:t>
      </w:r>
    </w:p>
    <w:tbl>
      <w:tblPr>
        <w:tblW w:w="9958" w:type="dxa"/>
        <w:jc w:val="left"/>
        <w:tblInd w:w="-83" w:type="dxa"/>
        <w:tblLayout w:type="fixed"/>
        <w:tblCellMar>
          <w:top w:w="0" w:type="dxa"/>
          <w:left w:w="40" w:type="dxa"/>
          <w:bottom w:w="0" w:type="dxa"/>
          <w:right w:w="40" w:type="dxa"/>
        </w:tblCellMar>
        <w:tblLook w:firstRow="0" w:noVBand="0" w:lastRow="0" w:firstColumn="0" w:lastColumn="0" w:noHBand="0" w:val="0000"/>
      </w:tblPr>
      <w:tblGrid>
        <w:gridCol w:w="473"/>
        <w:gridCol w:w="2192"/>
        <w:gridCol w:w="2385"/>
        <w:gridCol w:w="3959"/>
        <w:gridCol w:w="949"/>
      </w:tblGrid>
      <w:tr>
        <w:trPr>
          <w:tblHeader w:val="true"/>
          <w:trHeight w:val="23" w:hRule="atLeast"/>
          <w:cantSplit w:val="true"/>
        </w:trPr>
        <w:tc>
          <w:tcPr>
            <w:tcW w:w="473" w:type="dxa"/>
            <w:tcBorders>
              <w:top w:val="single" w:sz="6" w:space="0" w:color="000000"/>
              <w:left w:val="single" w:sz="6" w:space="0" w:color="000000"/>
              <w:bottom w:val="single" w:sz="6"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w:t>
            </w:r>
          </w:p>
        </w:tc>
        <w:tc>
          <w:tcPr>
            <w:tcW w:w="2192" w:type="dxa"/>
            <w:tcBorders>
              <w:top w:val="single" w:sz="6" w:space="0" w:color="000000"/>
              <w:left w:val="single" w:sz="6" w:space="0" w:color="000000"/>
              <w:bottom w:val="single" w:sz="6"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Наименование СНТ</w:t>
            </w:r>
          </w:p>
        </w:tc>
        <w:tc>
          <w:tcPr>
            <w:tcW w:w="2385"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Базовое предприятие</w:t>
            </w:r>
          </w:p>
        </w:tc>
        <w:tc>
          <w:tcPr>
            <w:tcW w:w="3959" w:type="dxa"/>
            <w:tcBorders>
              <w:top w:val="single" w:sz="4" w:space="0" w:color="000000"/>
              <w:left w:val="single" w:sz="4" w:space="0" w:color="000000"/>
              <w:bottom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Место расположение</w:t>
            </w:r>
          </w:p>
        </w:tc>
        <w:tc>
          <w:tcPr>
            <w:tcW w:w="949" w:type="dxa"/>
            <w:tcBorders>
              <w:top w:val="single" w:sz="4" w:space="0" w:color="000000"/>
              <w:left w:val="single" w:sz="4" w:space="0" w:color="000000"/>
              <w:bottom w:val="single" w:sz="4" w:space="0" w:color="000000"/>
              <w:right w:val="single" w:sz="4" w:space="0" w:color="000000"/>
            </w:tcBorders>
            <w:shd w:color="auto" w:fill="EDEDED" w:themeFill="accent3" w:themeFillTint="33" w:val="clear"/>
            <w:vAlign w:val="center"/>
          </w:tcPr>
          <w:p>
            <w:pPr>
              <w:pStyle w:val="Normal"/>
              <w:widowControl w:val="false"/>
              <w:jc w:val="center"/>
              <w:rPr>
                <w:b/>
                <w:color w:themeColor="text1" w:val="000000"/>
                <w:sz w:val="22"/>
                <w:szCs w:val="22"/>
              </w:rPr>
            </w:pPr>
            <w:r>
              <w:rPr>
                <w:b/>
                <w:color w:themeColor="text1" w:val="000000"/>
                <w:sz w:val="22"/>
                <w:szCs w:val="22"/>
              </w:rPr>
              <w:t>Кол-во участков</w:t>
            </w:r>
          </w:p>
        </w:tc>
      </w:tr>
      <w:tr>
        <w:trPr>
          <w:trHeight w:val="23" w:hRule="atLeast"/>
          <w:cantSplit w:val="true"/>
        </w:trPr>
        <w:tc>
          <w:tcPr>
            <w:tcW w:w="473"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w:t>
            </w:r>
          </w:p>
        </w:tc>
        <w:tc>
          <w:tcPr>
            <w:tcW w:w="2192"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Ока СПК</w:t>
            </w:r>
          </w:p>
        </w:tc>
        <w:tc>
          <w:tcPr>
            <w:tcW w:w="2385"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Некрасово</w:t>
            </w:r>
          </w:p>
        </w:tc>
        <w:tc>
          <w:tcPr>
            <w:tcW w:w="949" w:type="dxa"/>
            <w:tcBorders>
              <w:top w:val="single" w:sz="6" w:space="0" w:color="000000"/>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960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Метролог</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Весна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Облстатуправление</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Буровик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Шахтосушение</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Буровик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Облпотребсоюз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Обувщик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Медучилище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Швейник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Аккорд</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Горпищеторг</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Металлобаза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 Калуга, ул. Никитина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Облпотребсоюз</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ЛТП-2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Чайка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Заокское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298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Рябинка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Кристалл</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Рождествено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Рассвет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КЗТА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266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Сад госторговли и потребкооперации</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Природа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Песчаный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Плетеневка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Резвань</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Анненки, 2 км (по старой дороге на Воротынск)</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295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Урожай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Ромодановские Дворики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282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Финансист-2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Мичуринец</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Облоно</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Ромодановские Дворики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2-е садоводческое товарищество КЭМЗ</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242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КЭМЗ</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Факел</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Резвань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Лесовод–2А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Лесовод</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Локомотив</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Финансист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Ромодановские Дворики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Водник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53</w:t>
            </w:r>
          </w:p>
        </w:tc>
      </w:tr>
      <w:tr>
        <w:trPr>
          <w:trHeight w:val="23" w:hRule="atLeast"/>
          <w:cantSplit w:val="true"/>
        </w:trPr>
        <w:tc>
          <w:tcPr>
            <w:tcW w:w="473"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36</w:t>
            </w:r>
          </w:p>
        </w:tc>
        <w:tc>
          <w:tcPr>
            <w:tcW w:w="2192"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Березка</w:t>
            </w:r>
          </w:p>
        </w:tc>
        <w:tc>
          <w:tcPr>
            <w:tcW w:w="2385"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top w:val="single" w:sz="6" w:space="0" w:color="000000"/>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top w:val="single" w:sz="6" w:space="0" w:color="000000"/>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Путеец</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Территория СНТ Путеец</w:t>
            </w:r>
          </w:p>
          <w:p>
            <w:pPr>
              <w:pStyle w:val="Normal"/>
              <w:widowControl w:val="false"/>
              <w:rPr>
                <w:color w:themeColor="text1" w:val="000000"/>
                <w:sz w:val="22"/>
                <w:szCs w:val="22"/>
              </w:rPr>
            </w:pPr>
            <w:r>
              <w:rPr>
                <w:color w:themeColor="text1" w:val="000000"/>
                <w:sz w:val="22"/>
                <w:szCs w:val="22"/>
              </w:rPr>
              <w:t>(ж/д ст. Калуга-2)</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456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Сад рабочих</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Железнодорожник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Ромодановские Дворики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Здоровье-2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Плетеневка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Лесовод-2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Сад связистов</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Территория СДТ Связист-2</w:t>
            </w:r>
          </w:p>
          <w:p>
            <w:pPr>
              <w:pStyle w:val="Normal"/>
              <w:widowControl w:val="false"/>
              <w:rPr>
                <w:color w:themeColor="text1" w:val="000000"/>
                <w:sz w:val="22"/>
                <w:szCs w:val="22"/>
              </w:rPr>
            </w:pPr>
            <w:r>
              <w:rPr>
                <w:color w:themeColor="text1" w:val="000000"/>
                <w:sz w:val="22"/>
                <w:szCs w:val="22"/>
              </w:rPr>
              <w:t>(ул. Связистов)</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Строитель-2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pPr>
            <w:r>
              <w:rPr>
                <w:color w:themeColor="text1" w:val="000000"/>
                <w:sz w:val="22"/>
                <w:szCs w:val="22"/>
              </w:rPr>
              <w:t>ул. Ромодановские Дворики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251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Здоровье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Сосна ТСН</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Товарищество Сельхозтехника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Пучково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Облисполком</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Некрасово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Горенское 4</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Тульская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Секиотово</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Секиотово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Радуга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Колюпаново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Природа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Ромодановские Дворики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Огородник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Анненки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Росва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Министерство сельского хозяйства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Плеханова, 12 (п. Росва, д. Спас)</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Угра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АТП «Агропрм»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Угра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Энергетик–2</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Бывшее управление троллейбусов</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Куровской, с. Росва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80</w:t>
            </w:r>
          </w:p>
        </w:tc>
      </w:tr>
      <w:tr>
        <w:trPr>
          <w:trHeight w:val="460"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Авиатор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Автомобилист-2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p>
            <w:pPr>
              <w:pStyle w:val="Normal"/>
              <w:widowControl w:val="false"/>
              <w:rPr>
                <w:color w:themeColor="text1" w:val="000000"/>
                <w:sz w:val="22"/>
                <w:szCs w:val="22"/>
              </w:rPr>
            </w:pPr>
            <w:r>
              <w:rPr>
                <w:color w:themeColor="text1" w:val="000000"/>
                <w:sz w:val="22"/>
                <w:szCs w:val="22"/>
              </w:rPr>
              <w:t>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214</w:t>
            </w:r>
          </w:p>
        </w:tc>
      </w:tr>
      <w:tr>
        <w:trPr>
          <w:trHeight w:val="460"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Селекционер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Сигнал</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СДВ</w:t>
            </w:r>
          </w:p>
          <w:p>
            <w:pPr>
              <w:pStyle w:val="Normal"/>
              <w:widowControl w:val="false"/>
              <w:rPr>
                <w:color w:themeColor="text1" w:val="000000"/>
                <w:sz w:val="22"/>
                <w:szCs w:val="22"/>
              </w:rPr>
            </w:pPr>
            <w:r>
              <w:rPr>
                <w:color w:themeColor="text1" w:val="000000"/>
                <w:sz w:val="22"/>
                <w:szCs w:val="22"/>
              </w:rPr>
              <w:t>Промобъединение</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228"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Архитектор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Березка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Бывший Госбанк</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Радуга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ГипроНИИ маш</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Березка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ст. «Калужанка»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 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Дубрава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КТЗ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400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Буревестник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Монтажник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СМУ – 93Фрегат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Турист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 совет по туризму</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Урожайный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Упр. Хлебопродуктов</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69</w:t>
            </w:r>
          </w:p>
          <w:p>
            <w:pPr>
              <w:pStyle w:val="Normal"/>
              <w:widowControl w:val="false"/>
              <w:jc w:val="center"/>
              <w:rPr>
                <w:color w:themeColor="text1" w:val="000000"/>
                <w:sz w:val="22"/>
                <w:szCs w:val="22"/>
              </w:rPr>
            </w:pPr>
            <w:r>
              <w:rPr>
                <w:color w:themeColor="text1" w:val="000000"/>
                <w:sz w:val="22"/>
                <w:szCs w:val="22"/>
              </w:rPr>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Геолог</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Геофизическая экспедиция</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Территория СНТ Садовый</w:t>
            </w:r>
          </w:p>
          <w:p>
            <w:pPr>
              <w:pStyle w:val="Normal"/>
              <w:widowControl w:val="false"/>
              <w:rPr>
                <w:color w:themeColor="text1" w:val="000000"/>
                <w:sz w:val="22"/>
                <w:szCs w:val="22"/>
              </w:rPr>
            </w:pPr>
            <w:r>
              <w:rPr>
                <w:color w:themeColor="text1" w:val="000000"/>
                <w:sz w:val="22"/>
                <w:szCs w:val="22"/>
              </w:rPr>
              <w:t>(ст. Садовая, Муратовский щебзавод)</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Горняк–1</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p>
            <w:pPr>
              <w:pStyle w:val="Normal"/>
              <w:widowControl w:val="false"/>
              <w:rPr>
                <w:color w:themeColor="text1" w:val="000000"/>
                <w:sz w:val="22"/>
                <w:szCs w:val="22"/>
              </w:rPr>
            </w:pPr>
            <w:r>
              <w:rPr>
                <w:color w:themeColor="text1" w:val="000000"/>
                <w:sz w:val="22"/>
                <w:szCs w:val="22"/>
              </w:rPr>
              <w:t>(ст. Садовая)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Горняк–2</w:t>
            </w:r>
          </w:p>
          <w:p>
            <w:pPr>
              <w:pStyle w:val="Normal"/>
              <w:widowControl w:val="false"/>
              <w:rPr>
                <w:color w:themeColor="text1" w:val="000000"/>
                <w:sz w:val="22"/>
                <w:szCs w:val="22"/>
              </w:rPr>
            </w:pPr>
            <w:r>
              <w:rPr>
                <w:color w:themeColor="text1" w:val="000000"/>
                <w:sz w:val="22"/>
                <w:szCs w:val="22"/>
              </w:rPr>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Муратовское карьероуправление</w:t>
            </w:r>
          </w:p>
          <w:p>
            <w:pPr>
              <w:pStyle w:val="Normal"/>
              <w:widowControl w:val="false"/>
              <w:rPr>
                <w:color w:themeColor="text1" w:val="000000"/>
                <w:sz w:val="22"/>
                <w:szCs w:val="22"/>
              </w:rPr>
            </w:pPr>
            <w:r>
              <w:rPr>
                <w:color w:themeColor="text1" w:val="000000"/>
                <w:sz w:val="22"/>
                <w:szCs w:val="22"/>
              </w:rPr>
              <w:t>Садовая</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p>
            <w:pPr>
              <w:pStyle w:val="Normal"/>
              <w:widowControl w:val="false"/>
              <w:rPr>
                <w:color w:themeColor="text1" w:val="000000"/>
                <w:sz w:val="22"/>
                <w:szCs w:val="22"/>
              </w:rPr>
            </w:pPr>
            <w:r>
              <w:rPr>
                <w:color w:themeColor="text1" w:val="000000"/>
                <w:sz w:val="22"/>
                <w:szCs w:val="22"/>
              </w:rPr>
              <w:t>(ст. Садовая)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53</w:t>
            </w:r>
          </w:p>
          <w:p>
            <w:pPr>
              <w:pStyle w:val="Normal"/>
              <w:widowControl w:val="false"/>
              <w:jc w:val="center"/>
              <w:rPr>
                <w:color w:themeColor="text1" w:val="000000"/>
                <w:sz w:val="22"/>
                <w:szCs w:val="22"/>
              </w:rPr>
            </w:pPr>
            <w:r>
              <w:rPr>
                <w:color w:themeColor="text1" w:val="000000"/>
                <w:sz w:val="22"/>
                <w:szCs w:val="22"/>
              </w:rPr>
            </w:r>
          </w:p>
          <w:p>
            <w:pPr>
              <w:pStyle w:val="Normal"/>
              <w:widowControl w:val="false"/>
              <w:jc w:val="center"/>
              <w:rPr>
                <w:color w:themeColor="text1" w:val="000000"/>
                <w:sz w:val="22"/>
                <w:szCs w:val="22"/>
              </w:rPr>
            </w:pPr>
            <w:r>
              <w:rPr>
                <w:color w:themeColor="text1" w:val="000000"/>
                <w:sz w:val="22"/>
                <w:szCs w:val="22"/>
              </w:rPr>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Горняк–3</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Муратовский щебзавод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Новый (с.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Горняк–4</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Муратовский щебзавод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p>
            <w:pPr>
              <w:pStyle w:val="Normal"/>
              <w:widowControl w:val="false"/>
              <w:rPr>
                <w:color w:themeColor="text1" w:val="000000"/>
                <w:sz w:val="22"/>
                <w:szCs w:val="22"/>
              </w:rPr>
            </w:pPr>
            <w:r>
              <w:rPr>
                <w:color w:themeColor="text1" w:val="000000"/>
                <w:sz w:val="22"/>
                <w:szCs w:val="22"/>
              </w:rPr>
              <w:t>(ст. Садовая)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Дружба</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Управление «Калуга-строй»</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268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Дубрава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Дубок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УВД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Калужский железнодорожник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Калужский железнодорожник 1</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pPr>
            <w:r>
              <w:rPr>
                <w:color w:themeColor="text1" w:val="000000"/>
                <w:sz w:val="22"/>
                <w:szCs w:val="22"/>
              </w:rPr>
              <w:t>с. Муратовского  щебзавода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245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Звезда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Знамя</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Редакция газеты, Облпотребсоюз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Зеленый сад</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Клюквина</w:t>
            </w:r>
          </w:p>
          <w:p>
            <w:pPr>
              <w:pStyle w:val="Normal"/>
              <w:widowControl w:val="false"/>
              <w:rPr>
                <w:color w:themeColor="text1" w:val="000000"/>
                <w:sz w:val="22"/>
                <w:szCs w:val="22"/>
              </w:rPr>
            </w:pPr>
            <w:r>
              <w:rPr>
                <w:color w:themeColor="text1" w:val="000000"/>
                <w:sz w:val="22"/>
                <w:szCs w:val="22"/>
              </w:rPr>
              <w:t>д. Железняки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Здоровье</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ГП-8,</w:t>
            </w:r>
          </w:p>
          <w:p>
            <w:pPr>
              <w:pStyle w:val="Normal"/>
              <w:widowControl w:val="false"/>
              <w:rPr>
                <w:color w:themeColor="text1" w:val="000000"/>
                <w:sz w:val="22"/>
                <w:szCs w:val="22"/>
              </w:rPr>
            </w:pPr>
            <w:r>
              <w:rPr>
                <w:color w:themeColor="text1" w:val="000000"/>
                <w:sz w:val="22"/>
                <w:szCs w:val="22"/>
              </w:rPr>
              <w:t>«Санэпидстанция»</w:t>
            </w:r>
          </w:p>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Изобилие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в/ч 33891</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Железняки ул. Газовая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Электрик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Железняки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Калужанка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Статуправление</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350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Спутник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Управление статистики</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Коммунальник–2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ФАСУ (Облколхоз)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 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Кооператор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Облпотребкооперация</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КЭМЗ–3</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 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340</w:t>
            </w:r>
          </w:p>
        </w:tc>
      </w:tr>
      <w:tr>
        <w:trPr>
          <w:trHeight w:val="300"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Лира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Малинка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Гигант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Медик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Психбольница № 1</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Металлист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Железняки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Мирный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Завод радиооборудования</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ст. Тихонова Пустынь</w:t>
            </w:r>
          </w:p>
          <w:p>
            <w:pPr>
              <w:pStyle w:val="Normal"/>
              <w:widowControl w:val="false"/>
              <w:rPr>
                <w:color w:themeColor="text1" w:val="000000"/>
                <w:sz w:val="22"/>
                <w:szCs w:val="22"/>
              </w:rPr>
            </w:pPr>
            <w:r>
              <w:rPr>
                <w:color w:themeColor="text1" w:val="000000"/>
                <w:sz w:val="22"/>
                <w:szCs w:val="22"/>
              </w:rPr>
              <w:t>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Мичуринец</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СДВ</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Комсомольская роща, д.39</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Мичуринец</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Авторемонтный завод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Мотор</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КМПО</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pPr>
            <w:r>
              <w:rPr>
                <w:color w:themeColor="text1" w:val="000000"/>
                <w:sz w:val="22"/>
                <w:szCs w:val="22"/>
              </w:rPr>
              <w:t>ж/д ст. Тихонова Пустынь</w:t>
            </w:r>
          </w:p>
          <w:p>
            <w:pPr>
              <w:pStyle w:val="Normal"/>
              <w:widowControl w:val="false"/>
              <w:rPr>
                <w:color w:themeColor="text1" w:val="000000"/>
                <w:sz w:val="22"/>
                <w:szCs w:val="22"/>
              </w:rPr>
            </w:pPr>
            <w:r>
              <w:rPr>
                <w:color w:themeColor="text1" w:val="000000"/>
                <w:sz w:val="22"/>
                <w:szCs w:val="22"/>
              </w:rPr>
              <w:t>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306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Нагорное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Трансмаш</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б-р Моторостроителей, д.4 СДТ Садовый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Золотая рыбка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ОАО «Нептун»</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Мос НИП</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Москвичка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Московского РИК</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Колхозник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Нефтяник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Нефтебаза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Механизатор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ПО «Обеспечение с/х»</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Рябинка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Министерство сельского хозяйства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vMerge w:val="restart"/>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550</w:t>
            </w:r>
          </w:p>
          <w:p>
            <w:pPr>
              <w:pStyle w:val="Normal"/>
              <w:widowControl w:val="false"/>
              <w:jc w:val="center"/>
              <w:rPr>
                <w:color w:themeColor="text1" w:val="000000"/>
                <w:sz w:val="22"/>
                <w:szCs w:val="22"/>
              </w:rPr>
            </w:pPr>
            <w:r>
              <w:rPr>
                <w:color w:themeColor="text1" w:val="000000"/>
                <w:sz w:val="22"/>
                <w:szCs w:val="22"/>
              </w:rPr>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Рябинки</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Аккорд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vMerge w:val="continue"/>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Рябинки</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Облфинотдел</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vMerge w:val="continue"/>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Строитель</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Техникум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Фрегат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Мелиорация</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Бытовик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Калугабытсправка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Администрация Московского округа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Черносвитино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Поляна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Калугаприбор</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 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Полиграфист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Типография стандартов</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Просвещенец</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Гороно</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259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Полет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Рефрижератор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Хладокомбинат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Сосновый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Садовый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ВНИИМЭТ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200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Сектор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Солнечное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Бабенки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424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Сосновое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Белая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Строитель КСМТ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КСМТ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Муратовского щебзавода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Сосна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Железняки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Учитель</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Гороно</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Территория СНТ Садовый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Холодильщик (ТСН 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Сосновый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Чайка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КНИИТМУ</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 Муратовка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262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Экспресс</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 167 км.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502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Яченка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10-е отд. связи</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Черносвитинская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Сельстрой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Гидротехник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Автомобилист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Мехколонна № 278 щебзавода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pPr>
            <w:r>
              <w:rPr>
                <w:color w:themeColor="text1" w:val="000000"/>
                <w:sz w:val="22"/>
                <w:szCs w:val="22"/>
              </w:rPr>
              <w:t>с. Муратовского щебзавода Садовая</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Аромат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Буровик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Сельводстрой</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Гидростроитель</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Гидроканалстрой</w:t>
            </w:r>
          </w:p>
          <w:p>
            <w:pPr>
              <w:pStyle w:val="Normal"/>
              <w:widowControl w:val="false"/>
              <w:rPr>
                <w:color w:themeColor="text1" w:val="000000"/>
                <w:sz w:val="22"/>
                <w:szCs w:val="22"/>
              </w:rPr>
            </w:pPr>
            <w:r>
              <w:rPr>
                <w:color w:themeColor="text1" w:val="000000"/>
                <w:sz w:val="22"/>
                <w:szCs w:val="22"/>
              </w:rPr>
              <w:t>ПМК-2</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ж/д ст. Тихонова Пустынь</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Горняк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Мстихино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Сосновый Бор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Крутицы</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Конструктор-Т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НИИЭТ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Азаровская, д.44</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245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Прогресс</w:t>
            </w:r>
          </w:p>
          <w:p>
            <w:pPr>
              <w:pStyle w:val="Normal"/>
              <w:widowControl w:val="false"/>
              <w:rPr>
                <w:color w:themeColor="text1" w:val="000000"/>
                <w:sz w:val="22"/>
                <w:szCs w:val="22"/>
              </w:rPr>
            </w:pPr>
            <w:r>
              <w:rPr>
                <w:color w:themeColor="text1" w:val="000000"/>
                <w:sz w:val="22"/>
                <w:szCs w:val="22"/>
              </w:rPr>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Уваровский</w:t>
            </w:r>
          </w:p>
          <w:p>
            <w:pPr>
              <w:pStyle w:val="Normal"/>
              <w:widowControl w:val="false"/>
              <w:rPr>
                <w:color w:themeColor="text1" w:val="000000"/>
                <w:sz w:val="22"/>
                <w:szCs w:val="22"/>
              </w:rPr>
            </w:pPr>
            <w:r>
              <w:rPr>
                <w:color w:themeColor="text1" w:val="000000"/>
                <w:sz w:val="22"/>
                <w:szCs w:val="22"/>
              </w:rPr>
              <w:t>Карьер промкомбината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Железняки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Малинка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МВТУ им. Баумана</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Ермолова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Рубин</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Союз ветеранов вооруженных сил</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Лихун</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213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Сигнал</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Калугаприбор</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450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Заря</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КМПО</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Канищево, д. Петрово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1322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Одуванчик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Трансмаш</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Гидротехник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пер. 2-й Дальний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Карьерный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ОКЗ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521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Водник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Мелиорация</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Канищево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Треугольник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Обком КПСС</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Березка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КТЗ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Турынино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545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Березка – 4</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Министерство с/х</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Березка – 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КЗАМЭ</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Лихун</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398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Вишневый сад</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СДВ</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Ласточка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Облбыт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Приборист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Калугаприбор</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Заречное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ВНИЭКИТУ</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Тимошево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Зеленая горка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ПО «Восход»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Тимошево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278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Рабочий садовод</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КТЗ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862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Красный садовод</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СДВ</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Зооветтехникум</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Техникум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Коммунальник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Горкомхоз</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Территория СНТ Коммунальник 2</w:t>
            </w:r>
          </w:p>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988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159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Сигнал</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Общество слепых</w:t>
            </w:r>
          </w:p>
          <w:p>
            <w:pPr>
              <w:pStyle w:val="Normal"/>
              <w:widowControl w:val="false"/>
              <w:rPr>
                <w:color w:themeColor="text1" w:val="000000"/>
                <w:sz w:val="22"/>
                <w:szCs w:val="22"/>
              </w:rPr>
            </w:pPr>
            <w:r>
              <w:rPr>
                <w:color w:themeColor="text1" w:val="000000"/>
                <w:sz w:val="22"/>
                <w:szCs w:val="22"/>
              </w:rPr>
              <w:t>ПО «Сигнал»</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107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160</w:t>
            </w:r>
          </w:p>
          <w:p>
            <w:pPr>
              <w:pStyle w:val="Normal"/>
              <w:widowControl w:val="false"/>
              <w:jc w:val="center"/>
              <w:rPr>
                <w:color w:themeColor="text1" w:val="000000"/>
                <w:sz w:val="22"/>
                <w:szCs w:val="22"/>
              </w:rPr>
            </w:pPr>
            <w:r>
              <w:rPr>
                <w:color w:themeColor="text1" w:val="000000"/>
                <w:sz w:val="22"/>
                <w:szCs w:val="22"/>
              </w:rPr>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Солнечное-2</w:t>
            </w:r>
          </w:p>
          <w:p>
            <w:pPr>
              <w:pStyle w:val="Normal"/>
              <w:widowControl w:val="false"/>
              <w:rPr>
                <w:color w:themeColor="text1" w:val="000000"/>
                <w:sz w:val="22"/>
                <w:szCs w:val="22"/>
              </w:rPr>
            </w:pPr>
            <w:r>
              <w:rPr>
                <w:color w:themeColor="text1" w:val="000000"/>
                <w:sz w:val="22"/>
                <w:szCs w:val="22"/>
              </w:rPr>
              <w:t>ТСН (садоводческое)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Таможня</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Галкино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Спутник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Журавль</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Аэропорт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Песчаная Грабцево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Искра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КНИИТМУ</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Тепличное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Тепличный</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Лихун</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583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Рассвет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Общепит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Канищево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84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Строитель–1</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КУС</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Снабженец</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Снабсбыт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73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Флора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Аптечное управление</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Керамик – 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АЗСМ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Семилетка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СДВ</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мкр.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Пищевик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Молочная промышленность</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мкр.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132</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Родник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Тимошево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Лесная поляна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пер.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Калужтрансстроя, облсофпрофа и учителей</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Калужтрансстрой</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Автомобилист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Тимошево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Машзавод</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Машзавод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Ермолово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481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Яблонька - 2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АЗСМ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Галкино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143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Керамик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АЗСМ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168</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179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Яблонька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АЗСМ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Галкино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200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Красная Гвоздика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ДОСААФ</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Северный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Семья</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Ассоциация многодетных семей</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Галкино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Ветеран</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Машзавод</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г. Калуга, ул. Тульская петля (за Машзаводом)</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240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Продмонтаж</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Ермолово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247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Труженик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Ермолово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Прогресс</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КЗАМЭ</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454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Дружба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Октябрьский РИК</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Канищево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Изыскатель</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Центр НИИ Гипрозем</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p>
            <w:pPr>
              <w:pStyle w:val="Normal"/>
              <w:widowControl w:val="false"/>
              <w:rPr>
                <w:color w:themeColor="text1" w:val="000000"/>
                <w:sz w:val="22"/>
                <w:szCs w:val="22"/>
              </w:rPr>
            </w:pPr>
            <w:r>
              <w:rPr>
                <w:color w:themeColor="text1" w:val="000000"/>
                <w:sz w:val="22"/>
                <w:szCs w:val="22"/>
              </w:rPr>
              <w:t>(ул. Яновских, д.62)</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125</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Мелиоратор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124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189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Колос</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Хлебокомбинат</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Канищево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Механизатор</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Автобаза № 8</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191</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Планерное</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КАТУ</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Курсантов</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119</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192</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Мичуринец</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мкр.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43</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193</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Мечта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200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194</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Автомобилист</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Автотранс</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Галкино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324</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195</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Энергетик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Тулэнерго</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Малинники</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46</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196</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Тепличный – 2</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Тепличный</w:t>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Ильинка</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311</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197</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Орел</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п. Турынино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60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198</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Ромашка</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Петрово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97</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199</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Труженник</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д. Ермолово</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50</w:t>
            </w:r>
          </w:p>
        </w:tc>
      </w:tr>
      <w:tr>
        <w:trPr>
          <w:trHeight w:val="23" w:hRule="atLeast"/>
          <w:cantSplit w:val="true"/>
        </w:trPr>
        <w:tc>
          <w:tcPr>
            <w:tcW w:w="473"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200</w:t>
            </w:r>
          </w:p>
        </w:tc>
        <w:tc>
          <w:tcPr>
            <w:tcW w:w="2192"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Автомобилист-3</w:t>
            </w:r>
          </w:p>
        </w:tc>
        <w:tc>
          <w:tcPr>
            <w:tcW w:w="2385"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r>
          </w:p>
        </w:tc>
        <w:tc>
          <w:tcPr>
            <w:tcW w:w="3959" w:type="dxa"/>
            <w:tcBorders>
              <w:left w:val="single" w:sz="6" w:space="0" w:color="000000"/>
              <w:bottom w:val="single" w:sz="6" w:space="0" w:color="000000"/>
            </w:tcBorders>
            <w:shd w:color="auto" w:fill="FFFFFF" w:val="clear"/>
            <w:tcMar>
              <w:top w:w="55" w:type="dxa"/>
              <w:left w:w="55" w:type="dxa"/>
              <w:bottom w:w="55" w:type="dxa"/>
              <w:right w:w="55" w:type="dxa"/>
            </w:tcMar>
            <w:vAlign w:val="center"/>
          </w:tcPr>
          <w:p>
            <w:pPr>
              <w:pStyle w:val="Normal"/>
              <w:widowControl w:val="false"/>
              <w:rPr>
                <w:color w:themeColor="text1" w:val="000000"/>
                <w:sz w:val="22"/>
                <w:szCs w:val="22"/>
              </w:rPr>
            </w:pPr>
            <w:r>
              <w:rPr>
                <w:color w:themeColor="text1" w:val="000000"/>
                <w:sz w:val="22"/>
                <w:szCs w:val="22"/>
              </w:rPr>
              <w:t>ул. В. Андрияновой</w:t>
            </w:r>
          </w:p>
        </w:tc>
        <w:tc>
          <w:tcPr>
            <w:tcW w:w="949" w:type="dxa"/>
            <w:tcBorders>
              <w:left w:val="single" w:sz="6" w:space="0" w:color="000000"/>
              <w:bottom w:val="single" w:sz="6" w:space="0" w:color="000000"/>
              <w:right w:val="single" w:sz="6" w:space="0" w:color="000000"/>
            </w:tcBorders>
            <w:shd w:color="auto" w:fill="FFFFFF" w:val="clear"/>
            <w:tcMar>
              <w:top w:w="55" w:type="dxa"/>
              <w:left w:w="55" w:type="dxa"/>
              <w:bottom w:w="55" w:type="dxa"/>
              <w:right w:w="55" w:type="dxa"/>
            </w:tcMar>
            <w:vAlign w:val="center"/>
          </w:tcPr>
          <w:p>
            <w:pPr>
              <w:pStyle w:val="Normal"/>
              <w:widowControl w:val="false"/>
              <w:jc w:val="center"/>
              <w:rPr>
                <w:color w:themeColor="text1" w:val="000000"/>
                <w:sz w:val="22"/>
                <w:szCs w:val="22"/>
              </w:rPr>
            </w:pPr>
            <w:r>
              <w:rPr>
                <w:color w:themeColor="text1" w:val="000000"/>
                <w:sz w:val="22"/>
                <w:szCs w:val="22"/>
              </w:rPr>
              <w:t>50</w:t>
            </w:r>
          </w:p>
        </w:tc>
      </w:tr>
    </w:tbl>
    <w:p>
      <w:pPr>
        <w:sectPr>
          <w:headerReference w:type="default" r:id="rId122"/>
          <w:headerReference w:type="first" r:id="rId123"/>
          <w:footerReference w:type="default" r:id="rId124"/>
          <w:footerReference w:type="first" r:id="rId125"/>
          <w:footnotePr>
            <w:numFmt w:val="decimal"/>
          </w:footnotePr>
          <w:type w:val="nextPage"/>
          <w:pgSz w:w="11906" w:h="16838"/>
          <w:pgMar w:left="1418" w:right="1134" w:gutter="0" w:header="567" w:top="1128" w:footer="0" w:bottom="590"/>
          <w:pgNumType w:fmt="decimal"/>
          <w:formProt w:val="false"/>
          <w:titlePg/>
          <w:textDirection w:val="lrTb"/>
          <w:docGrid w:type="default" w:linePitch="360" w:charSpace="0"/>
        </w:sectPr>
      </w:pPr>
    </w:p>
    <w:p>
      <w:pPr>
        <w:pStyle w:val="Normal"/>
        <w:jc w:val="center"/>
        <w:rPr>
          <w:color w:themeColor="text1" w:val="000000"/>
        </w:rPr>
      </w:pPr>
      <w:r>
        <w:rPr>
          <w:color w:themeColor="text1" w:val="000000"/>
        </w:rPr>
        <w:t>Перечень</w:t>
      </w:r>
      <w:bookmarkStart w:id="55" w:name="_GoBack"/>
      <w:bookmarkEnd w:id="55"/>
      <w:r>
        <w:rPr>
          <w:color w:themeColor="text1" w:val="000000"/>
        </w:rPr>
        <w:t xml:space="preserve"> санитарно-эпидемиологические заключений предприятий, сведения о которых внесены в ЕГРН, расположенных на территории городского округа</w:t>
      </w:r>
    </w:p>
    <w:tbl>
      <w:tblPr>
        <w:tblStyle w:val="afffffffffffc"/>
        <w:tblW w:w="962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97"/>
        <w:gridCol w:w="7506"/>
        <w:gridCol w:w="1425"/>
      </w:tblGrid>
      <w:tr>
        <w:trPr>
          <w:tblHeader w:val="true"/>
        </w:trPr>
        <w:tc>
          <w:tcPr>
            <w:tcW w:w="697"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w:t>
            </w:r>
          </w:p>
          <w:p>
            <w:pPr>
              <w:pStyle w:val="Normal"/>
              <w:widowControl w:val="false"/>
              <w:spacing w:before="0" w:after="0"/>
              <w:jc w:val="center"/>
              <w:rPr>
                <w:b/>
                <w:color w:themeColor="text1" w:val="000000"/>
                <w:sz w:val="22"/>
                <w:szCs w:val="22"/>
              </w:rPr>
            </w:pPr>
            <w:r>
              <w:rPr>
                <w:rFonts w:eastAsia="SimSun"/>
                <w:b/>
                <w:color w:themeColor="text1" w:val="000000"/>
                <w:sz w:val="22"/>
                <w:szCs w:val="22"/>
              </w:rPr>
              <w:t>п/п</w:t>
            </w:r>
          </w:p>
        </w:tc>
        <w:tc>
          <w:tcPr>
            <w:tcW w:w="7506"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Наименование</w:t>
            </w:r>
          </w:p>
        </w:tc>
        <w:tc>
          <w:tcPr>
            <w:tcW w:w="1425" w:type="dxa"/>
            <w:tcBorders/>
            <w:shd w:color="auto" w:fill="EDEDED" w:themeFill="accent3" w:themeFillTint="33" w:val="clear"/>
            <w:vAlign w:val="center"/>
          </w:tcPr>
          <w:p>
            <w:pPr>
              <w:pStyle w:val="Normal"/>
              <w:widowControl w:val="false"/>
              <w:spacing w:before="0" w:after="0"/>
              <w:jc w:val="center"/>
              <w:rPr>
                <w:b/>
                <w:color w:themeColor="text1" w:val="000000"/>
                <w:sz w:val="22"/>
                <w:szCs w:val="22"/>
              </w:rPr>
            </w:pPr>
            <w:r>
              <w:rPr>
                <w:rFonts w:eastAsia="SimSun"/>
                <w:b/>
                <w:color w:themeColor="text1" w:val="000000"/>
                <w:sz w:val="22"/>
                <w:szCs w:val="22"/>
              </w:rPr>
              <w:t>Реестровый номер</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объединенная санитарно-защитная зона для предприятия Общество с ограниченной ответственностью «Меркатор Калуга» и индивидуального предпринимателя Белогорцева Александра Владимировича, расположенных по адресу: г. Калуга, ул. Энергетиков</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40:00-6.317</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ООО «КАЛУГА-ГАЗ», расположенной по адресу: г. Калуга, проезд Тарусский, д. 28</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40:00-6.334</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промплощадка ООО «Фольксваген Групп Рус» Калужская область, г. Калуга, ул. Автомобильная, д. 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40:00-6.353</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АЗС №72 (ЮЛ (ИП):</w:t>
            </w:r>
          </w:p>
          <w:p>
            <w:pPr>
              <w:pStyle w:val="Normal"/>
              <w:widowControl w:val="false"/>
              <w:spacing w:before="0" w:after="0"/>
              <w:rPr>
                <w:color w:themeColor="text1" w:val="000000"/>
                <w:sz w:val="22"/>
                <w:szCs w:val="22"/>
              </w:rPr>
            </w:pPr>
            <w:r>
              <w:rPr>
                <w:rFonts w:eastAsia="SimSun"/>
                <w:color w:themeColor="text1" w:val="000000"/>
                <w:sz w:val="22"/>
                <w:szCs w:val="22"/>
              </w:rPr>
              <w:t>АО «Калуганефтепродукт»), расположенная по адресу: г. Калуга, ул. Анненки</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40:00-6.465</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объединенная санитарно-защитная зона для промзоны объектов: ООО «Элмат», ООО «Эликор», ООО «Коралл» и</w:t>
            </w:r>
          </w:p>
          <w:p>
            <w:pPr>
              <w:pStyle w:val="Normal"/>
              <w:widowControl w:val="false"/>
              <w:spacing w:before="0" w:after="0"/>
              <w:rPr>
                <w:color w:themeColor="text1" w:val="000000"/>
                <w:sz w:val="22"/>
                <w:szCs w:val="22"/>
              </w:rPr>
            </w:pPr>
            <w:r>
              <w:rPr>
                <w:rFonts w:eastAsia="SimSun"/>
                <w:color w:themeColor="text1" w:val="000000"/>
                <w:sz w:val="22"/>
                <w:szCs w:val="22"/>
              </w:rPr>
              <w:t>ООО «Кама-юг», расположенных в южной части г. Калуги правобережной промышленной зоне»</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40:00-6.479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автоматическая блочная автозаправочная станция № 4001, расположенного по адресу: г. Калуга, Октябрьский район, ул. Советская</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40:00-6.490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нефтебаза, расположенного по адресу: г. Калуга, Октябрьский район, ул. Светлая, 19</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40:00-6.491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объектов- предприятия (ЮЛ(ИП):</w:t>
            </w:r>
          </w:p>
          <w:p>
            <w:pPr>
              <w:pStyle w:val="Normal"/>
              <w:widowControl w:val="false"/>
              <w:spacing w:before="0" w:after="0"/>
              <w:rPr>
                <w:color w:themeColor="text1" w:val="000000"/>
                <w:sz w:val="22"/>
                <w:szCs w:val="22"/>
              </w:rPr>
            </w:pPr>
            <w:r>
              <w:rPr>
                <w:rFonts w:eastAsia="SimSun"/>
                <w:color w:themeColor="text1" w:val="000000"/>
                <w:sz w:val="22"/>
                <w:szCs w:val="22"/>
              </w:rPr>
              <w:t>АО(Н) «Вольво Восток» и ООО «Вольво Компоненты», расположенного по адресу: г. Калуга, Тульское шоссе, д. 18</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40:00-6.501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объекта «Локально-очистные сооружения в застройке микрорайона «Кошелев-проект» в г. Калуге», расположенного по адресу: г. Калуга, ул. Верховая, земельный участок с кадастровым номером 40:26:000372:8700</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40:00-6.651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10</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ООО «МОДУЛЬ» по адресу: город Калуга, улица Деловая, д. 5</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40:00-6.673</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11</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объекта: «ООО «Куровской завод керамзитового гравия» Промплощадка №1 по адресу: Калужская область, город Калуга, улица Деловая, д. 15</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40:00-6.674</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12</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ОП ООО «РГТ» в г. Калуге, расположенной по адресу: г. Калуга, с. Росва, Индустриальный парк «Росва»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40:00-6.677</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13</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автомобильной газонаполнительной компрессорной станции (АГНКС-2 г. Калуга), расположенной по адресу: Калужская область, г. Калуга, ул. Зерновая, д. 19 (ООО «Газпром Газомоторное Топливо»)</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40:26-6.979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14</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ООО «КАРЬЕР СЕРВИС», расположенной по адресу: Калужская область, городской округ город Калуга Калужской области, д. Андреевское, территория карьера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40:00-6.729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15</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Объединенная санитарно-защитная зона для объектов - промплощадка предприятий ООО «Континентал Калуга» и «КонтиТех» филиал ООО «Континентал Калуга» (ЮЛ/ИП/ФЛ): ООО «Континентал Калуга»),</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расположенных по адресу: г. Калуга, индустриальный парк «Росва»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40:00-6.744</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16</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Центра кинологической службы УМВД России по Калужской области, расположенной по адресу: г. Калуга, 3-й Академический проезд, з/у с КН 40:26:000384:2771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40:00-6.751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17</w:t>
            </w:r>
          </w:p>
        </w:tc>
        <w:tc>
          <w:tcPr>
            <w:tcW w:w="7506" w:type="dxa"/>
            <w:tcBorders/>
            <w:shd w:fill="auto" w:val="clear"/>
            <w:vAlign w:val="center"/>
          </w:tcPr>
          <w:p>
            <w:pPr>
              <w:pStyle w:val="Normal"/>
              <w:widowControl w:val="false"/>
              <w:spacing w:before="0" w:after="0"/>
              <w:rPr/>
            </w:pPr>
            <w:r>
              <w:rPr>
                <w:rFonts w:eastAsia="SimSun"/>
                <w:color w:themeColor="text1" w:val="000000"/>
                <w:sz w:val="22"/>
                <w:szCs w:val="22"/>
              </w:rPr>
              <w:t>Санитарно-защитная зона для промплощадки предприятия Общества с ограниченной ответственностью «А-парк», расположенной по адресу:</w:t>
            </w:r>
          </w:p>
          <w:p>
            <w:pPr>
              <w:pStyle w:val="Normal"/>
              <w:widowControl w:val="false"/>
              <w:spacing w:before="0" w:after="0"/>
              <w:rPr>
                <w:color w:themeColor="text1" w:val="000000"/>
                <w:sz w:val="22"/>
                <w:szCs w:val="22"/>
              </w:rPr>
            </w:pPr>
            <w:r>
              <w:rPr>
                <w:rFonts w:eastAsia="SimSun"/>
                <w:color w:themeColor="text1" w:val="000000"/>
                <w:sz w:val="22"/>
                <w:szCs w:val="22"/>
              </w:rPr>
              <w:t>г. Калуга, 1-й Автомобильный проезд, д. 7</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40:22-6.111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промплощадка (ЮЛ/ИП/ФЛ): Филиал АО «Магна Автомотив Рус» в г. Калуга), расположенного по адресу: г. Калуга, проезд 1-ый Автомобильный, д. 21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40:22-6.354</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19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промплощадка ООО «Гестамп-Северсталь-Калуга», расположенного по адресу: Калужская область, город Калуга, улица Автомобильная, д. 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40:22-6.411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20</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«Предприятие по производству автомобильных комплектующих ООО «Бентелер Аутомотив» по адресу: Калужская область, г. Калуга, ул. Автомобильная»</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40:22-6.427</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21</w:t>
            </w:r>
          </w:p>
        </w:tc>
        <w:tc>
          <w:tcPr>
            <w:tcW w:w="7506" w:type="dxa"/>
            <w:tcBorders/>
            <w:shd w:fill="auto" w:val="clear"/>
            <w:vAlign w:val="center"/>
          </w:tcPr>
          <w:p>
            <w:pPr>
              <w:pStyle w:val="Normal"/>
              <w:widowControl w:val="false"/>
              <w:spacing w:before="0" w:after="0"/>
              <w:rPr/>
            </w:pPr>
            <w:r>
              <w:rPr>
                <w:rFonts w:eastAsia="SimSun"/>
                <w:color w:themeColor="text1" w:val="000000"/>
                <w:sz w:val="22"/>
                <w:szCs w:val="22"/>
              </w:rPr>
              <w:t>Граница санитарно-защитной зоны Филиала общества с ограниченной ответственностью «Ново Нордиск» в городе Калуге, расположенного по адресу: 278009, Калужская область, г. Калуга, пр-д 2-ой Автомобильный,</w:t>
            </w:r>
          </w:p>
          <w:p>
            <w:pPr>
              <w:pStyle w:val="Normal"/>
              <w:widowControl w:val="false"/>
              <w:spacing w:before="0" w:after="0"/>
              <w:rPr>
                <w:color w:themeColor="text1" w:val="000000"/>
                <w:sz w:val="22"/>
                <w:szCs w:val="22"/>
              </w:rPr>
            </w:pPr>
            <w:r>
              <w:rPr>
                <w:rFonts w:eastAsia="SimSun"/>
                <w:color w:themeColor="text1" w:val="000000"/>
                <w:sz w:val="22"/>
                <w:szCs w:val="22"/>
              </w:rPr>
              <w:t>д. 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40:22-6.527</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22</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промплощадка, расположенного по адресу: г. Калуга, 2-й Автомобильный проезд, д.5 (ЗАО «Берлин-Фарма»)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40:22-6.528</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23</w:t>
            </w:r>
          </w:p>
        </w:tc>
        <w:tc>
          <w:tcPr>
            <w:tcW w:w="7506" w:type="dxa"/>
            <w:tcBorders/>
            <w:shd w:fill="auto" w:val="clear"/>
            <w:vAlign w:val="center"/>
          </w:tcPr>
          <w:p>
            <w:pPr>
              <w:pStyle w:val="Normal"/>
              <w:widowControl w:val="false"/>
              <w:spacing w:before="0" w:after="0"/>
              <w:rPr/>
            </w:pPr>
            <w:r>
              <w:rPr>
                <w:rFonts w:eastAsia="SimSun"/>
                <w:color w:themeColor="text1" w:val="000000"/>
                <w:sz w:val="22"/>
                <w:szCs w:val="22"/>
              </w:rPr>
              <w:t>Санитарно-защитная зона для промплощадки №3 ООО «ПКФ ТЕХНАКОН» по адресу: Калужская область, город Калуга, Тульское шоссе, д. 16</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40:25-6.1101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24</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ООО «Форесия Аутомотив Девелопмент», расположенного по адресу: Калужская обл., г. Калуга, Территория Промзона Индустриальный парк Росва, здание 30, помещение 3</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40:25-6.1103</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25</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АЗС № 75 ООО «Газпромнефть-Центр» (Калужская обл., г. Калуга, район д. Лихун, КН: 40:25:000007:13)</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40:25-6.1520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26</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АЗС №77 ООО «Газпромнефть-Центр»</w:t>
            </w:r>
          </w:p>
          <w:p>
            <w:pPr>
              <w:pStyle w:val="Normal"/>
              <w:widowControl w:val="false"/>
              <w:spacing w:before="0" w:after="0"/>
              <w:rPr/>
            </w:pPr>
            <w:r>
              <w:rPr>
                <w:rFonts w:eastAsia="SimSun"/>
                <w:color w:themeColor="text1" w:val="000000"/>
                <w:sz w:val="22"/>
                <w:szCs w:val="22"/>
              </w:rPr>
              <w:t>(обл. Калужская, г. Калуга, д. Мстихино, ул. Центральная, д. 48 корпус 2, КН: 40:25:000130:271 в составе ЕЗП КН 40:25:000130:272)</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40:25-6.1521</w:t>
            </w:r>
          </w:p>
        </w:tc>
      </w:tr>
      <w:tr>
        <w:trPr>
          <w:trHeight w:val="718"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27</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швейной фабрики ООО «МАНУФАКТУРЫ БОСКО» по адресу: Калуга, ул. Заокская, р-н д. 68</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40:25-6.227</w:t>
            </w:r>
          </w:p>
        </w:tc>
      </w:tr>
      <w:tr>
        <w:trPr>
          <w:trHeight w:val="57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автозаправочной станции №22</w:t>
            </w:r>
          </w:p>
          <w:p>
            <w:pPr>
              <w:pStyle w:val="Normal"/>
              <w:widowControl w:val="false"/>
              <w:spacing w:before="0" w:after="0"/>
              <w:rPr>
                <w:color w:themeColor="text1" w:val="000000"/>
                <w:sz w:val="22"/>
                <w:szCs w:val="22"/>
              </w:rPr>
            </w:pPr>
            <w:r>
              <w:rPr>
                <w:rFonts w:eastAsia="SimSun"/>
                <w:color w:themeColor="text1" w:val="000000"/>
                <w:sz w:val="22"/>
                <w:szCs w:val="22"/>
              </w:rPr>
              <w:t>АО «Калуганефтепродукт»</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40:25-6.469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29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Проект санитарно-защитной зоны (СЗЗ): «Завод по производству автомобилей ООО «ПСМА Рус» по адресу: Калужская обл., г. Калуга,</w:t>
            </w:r>
          </w:p>
          <w:p>
            <w:pPr>
              <w:pStyle w:val="Normal"/>
              <w:widowControl w:val="false"/>
              <w:spacing w:before="0" w:after="0"/>
              <w:rPr>
                <w:color w:themeColor="text1" w:val="000000"/>
                <w:sz w:val="22"/>
                <w:szCs w:val="22"/>
              </w:rPr>
            </w:pPr>
            <w:r>
              <w:rPr>
                <w:rFonts w:eastAsia="SimSun"/>
                <w:color w:themeColor="text1" w:val="000000"/>
                <w:sz w:val="22"/>
                <w:szCs w:val="22"/>
              </w:rPr>
              <w:t>район с. Росва»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40:25-6.745</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30</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промплощадка ООО «Гестамп-Северсталь-Калуга», расположенного по адресу: Калужская область, город Калуга, улица Автомобильная, д. 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40:22-6.411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31</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АО «Биотехнологический комплекс – РОСВА», 248903, Калужская область, г. Калуга, село Росва, территория Индустриальный парк Росва, «Биотехнологический комплекс – РОСВА. Комплекс глубокой переработки пшеницы»</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40:25-6.957</w:t>
            </w:r>
          </w:p>
        </w:tc>
      </w:tr>
      <w:tr>
        <w:trPr>
          <w:trHeight w:val="503"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32</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№2 ООО «ПКФ ТЕХНАКОН» по адресу: г. Калуга, Академический проезд, д.27</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40:26-6.1048</w:t>
            </w:r>
          </w:p>
        </w:tc>
      </w:tr>
      <w:tr>
        <w:trPr>
          <w:trHeight w:val="553"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33</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автозаправочной станции №73 ООО «Газпромнефть-Центр»</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40:26-6.1049</w:t>
            </w:r>
          </w:p>
        </w:tc>
      </w:tr>
      <w:tr>
        <w:trPr>
          <w:trHeight w:val="575"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34</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промышленного узла по адресу: Калужская область, г. Калуга, ул. Московская, д. 247</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40:26-6.1050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35</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объекта - Многофункциональный торговый комплекс «Глобус» ООО «Гиперглобус», расположенного по адресу:</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Калужская область, г. Калуга, ул. Академическая (пересечение Тульского шоссе и ул. Генерала Попова)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40:26-6.1051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36</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здание БСУ, расположенного по адресу: Калужская область, г. Калуга, ул. Комсомольская роща, д.39</w:t>
            </w:r>
          </w:p>
          <w:p>
            <w:pPr>
              <w:pStyle w:val="Normal"/>
              <w:widowControl w:val="false"/>
              <w:spacing w:before="0" w:after="0"/>
              <w:rPr>
                <w:color w:themeColor="text1" w:val="000000"/>
                <w:sz w:val="22"/>
                <w:szCs w:val="22"/>
              </w:rPr>
            </w:pPr>
            <w:r>
              <w:rPr>
                <w:rFonts w:eastAsia="SimSun"/>
                <w:color w:themeColor="text1" w:val="000000"/>
                <w:sz w:val="22"/>
                <w:szCs w:val="22"/>
              </w:rPr>
              <w:t>(ООО «Полигон ЖБЦ»)</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40:26-6.1052</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37</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санитарно-защитная зона для промплощадки №1</w:t>
            </w:r>
          </w:p>
          <w:p>
            <w:pPr>
              <w:pStyle w:val="Normal"/>
              <w:widowControl w:val="false"/>
              <w:spacing w:before="0" w:after="0"/>
              <w:rPr>
                <w:color w:themeColor="text1" w:val="000000"/>
                <w:sz w:val="22"/>
                <w:szCs w:val="22"/>
              </w:rPr>
            </w:pPr>
            <w:r>
              <w:rPr>
                <w:rFonts w:eastAsia="SimSun"/>
                <w:color w:themeColor="text1" w:val="000000"/>
                <w:sz w:val="22"/>
                <w:szCs w:val="22"/>
              </w:rPr>
              <w:t>ОАО «Калужский турбинный завод», расположенной по адресу: г. Калуга,</w:t>
            </w:r>
          </w:p>
          <w:p>
            <w:pPr>
              <w:pStyle w:val="Normal"/>
              <w:widowControl w:val="false"/>
              <w:spacing w:before="0" w:after="0"/>
              <w:rPr>
                <w:color w:themeColor="text1" w:val="000000"/>
                <w:sz w:val="22"/>
                <w:szCs w:val="22"/>
              </w:rPr>
            </w:pPr>
            <w:r>
              <w:rPr>
                <w:rFonts w:eastAsia="SimSun"/>
                <w:color w:themeColor="text1" w:val="000000"/>
                <w:sz w:val="22"/>
                <w:szCs w:val="22"/>
              </w:rPr>
              <w:t>ул. Московская, д. 241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40:26-6.164</w:t>
            </w:r>
          </w:p>
        </w:tc>
      </w:tr>
      <w:tr>
        <w:trPr>
          <w:trHeight w:val="618"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санитарно-защитная зона для предприятия ООО «КАМА», расположенного по адресу: г. Калуга, ул. Резванская, д.3</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40:26-6.171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39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объекта: «Калужский электромеханический завод» расположенного по адресу: г. Калуга, ул. Салтыкова-Щедрина, д.121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40:26-6.178</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ФГКУ комбинат «Речной» Росрезерва в составе проекта «Реконструкция очистных сооружений промышленных стоков на промплощадке ФГКУ комбинат «Речной» Росрезерва», адрес: Калужская обл., г. Калуга, ул. Грабцевское шоссе, д. 184</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40:26-6.183</w:t>
            </w:r>
          </w:p>
        </w:tc>
      </w:tr>
      <w:tr>
        <w:trPr>
          <w:trHeight w:val="383"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41</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котельной МУП «Калугатеплосеть» г. Калуги</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40:26-6.200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42</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АЗС №82 (ЮЛ (ИП): АО «Калуганефтепродукт»), расположенного по адресу: г. Калуга, ул. Московская, д.344</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40:26-6.209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43</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АЗС №75 (ЮЛ (ИП): АО «Калуганефтепродукт»), расположенного по адресу: г. Калуга, ул. Салтыкова-Щедрина, д. 76, корп. 2</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40:26-6.216</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44</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Производственное подразделение «Калужская ТЭЦ» (ЮЛ (ИП): ПАО «Квадра - Генерирующая компания»), расположенного по адресу: Калужская область, г. Калуга,</w:t>
            </w:r>
          </w:p>
          <w:p>
            <w:pPr>
              <w:pStyle w:val="Normal"/>
              <w:widowControl w:val="false"/>
              <w:spacing w:before="0" w:after="0"/>
              <w:rPr>
                <w:color w:themeColor="text1" w:val="000000"/>
                <w:sz w:val="22"/>
                <w:szCs w:val="22"/>
              </w:rPr>
            </w:pPr>
            <w:r>
              <w:rPr>
                <w:rFonts w:eastAsia="SimSun"/>
                <w:color w:themeColor="text1" w:val="000000"/>
                <w:sz w:val="22"/>
                <w:szCs w:val="22"/>
              </w:rPr>
              <w:t>ул. Московская, 286а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40:26-6.219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45</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Открытого Акционерного Общества «Научно-производственное предприятие» Калужский приборостроительный завод «Тайфун», расположенного по адресу: Калужская область, город Калуга,</w:t>
            </w:r>
          </w:p>
          <w:p>
            <w:pPr>
              <w:pStyle w:val="Normal"/>
              <w:widowControl w:val="false"/>
              <w:spacing w:before="0" w:after="0"/>
              <w:rPr>
                <w:color w:themeColor="text1" w:val="000000"/>
                <w:sz w:val="22"/>
                <w:szCs w:val="22"/>
              </w:rPr>
            </w:pPr>
            <w:r>
              <w:rPr>
                <w:rFonts w:eastAsia="SimSun"/>
                <w:color w:themeColor="text1" w:val="000000"/>
                <w:sz w:val="22"/>
                <w:szCs w:val="22"/>
              </w:rPr>
              <w:t>ул. Грабцевское шоссе, д. 174</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40:26-6.257</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46</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промплощадка АЗС № 73 (ЮЛ (ИП): АО «Калуганефтепродукт»), расположенная по адресу: г. Калуга, ул. Железняки, д. 31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40:26-6.279</w:t>
            </w:r>
          </w:p>
        </w:tc>
      </w:tr>
      <w:tr>
        <w:trPr>
          <w:trHeight w:val="626"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47</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предприятия филиал АО «Пивоварня Москва-Эфес», расположенная Калужская область, г. Калуга,</w:t>
            </w:r>
          </w:p>
          <w:p>
            <w:pPr>
              <w:pStyle w:val="Normal"/>
              <w:widowControl w:val="false"/>
              <w:spacing w:before="0" w:after="0"/>
              <w:rPr>
                <w:color w:themeColor="text1" w:val="000000"/>
                <w:sz w:val="22"/>
                <w:szCs w:val="22"/>
              </w:rPr>
            </w:pPr>
            <w:r>
              <w:rPr>
                <w:rFonts w:eastAsia="SimSun"/>
                <w:color w:themeColor="text1" w:val="000000"/>
                <w:sz w:val="22"/>
                <w:szCs w:val="22"/>
              </w:rPr>
              <w:t>Грабцевское шоссе, д.71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40:26-6.29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 промплощадка АЗС № 23 (ЮЛ (ИП): АО «Калуганефтепродукт»), расположенная по адресу: г. Калуга, проезд Правобережный, 15</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40:26-6.352</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санитарно-защитная зона для промплощадки № 2</w:t>
            </w:r>
          </w:p>
          <w:p>
            <w:pPr>
              <w:pStyle w:val="Normal"/>
              <w:widowControl w:val="false"/>
              <w:spacing w:before="0" w:after="0"/>
              <w:rPr>
                <w:color w:themeColor="text1" w:val="000000"/>
                <w:sz w:val="22"/>
                <w:szCs w:val="22"/>
              </w:rPr>
            </w:pPr>
            <w:r>
              <w:rPr>
                <w:rFonts w:eastAsia="SimSun"/>
                <w:color w:themeColor="text1" w:val="000000"/>
                <w:sz w:val="22"/>
                <w:szCs w:val="22"/>
              </w:rPr>
              <w:t xml:space="preserve"> </w:t>
            </w:r>
            <w:r>
              <w:rPr>
                <w:rFonts w:eastAsia="SimSun"/>
                <w:color w:themeColor="text1" w:val="000000"/>
                <w:sz w:val="22"/>
                <w:szCs w:val="22"/>
              </w:rPr>
              <w:t>ОАО «Калужский турбинный завод», расположенной по адресу: г. Калуга, ул. Турбостроителей, д.30</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40:26-6.370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50</w:t>
            </w:r>
          </w:p>
        </w:tc>
        <w:tc>
          <w:tcPr>
            <w:tcW w:w="7506" w:type="dxa"/>
            <w:tcBorders/>
            <w:shd w:fill="auto" w:val="clear"/>
            <w:vAlign w:val="center"/>
          </w:tcPr>
          <w:p>
            <w:pPr>
              <w:pStyle w:val="Normal"/>
              <w:widowControl w:val="false"/>
              <w:suppressAutoHyphens w:val="false"/>
              <w:spacing w:before="0" w:after="0"/>
              <w:rPr/>
            </w:pPr>
            <w:r>
              <w:rPr>
                <w:rFonts w:eastAsia="SimSun"/>
                <w:color w:themeColor="text1" w:val="000000"/>
                <w:sz w:val="22"/>
                <w:szCs w:val="22"/>
                <w:lang w:eastAsia="ru-RU"/>
              </w:rPr>
              <w:t>Санитарно-защитная зона по промплощадке № 1 по адресу: г. Калуга,</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ул. Пушкина, д. 19 и промплощадке № 2 по адресу: г. Калуга, ул. К. Маркса, д. 4 Открытого акционерного общества «Калужский научно-исследовательский институт телемеханических устройств»</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40:26-6.491</w:t>
            </w:r>
          </w:p>
        </w:tc>
      </w:tr>
      <w:tr>
        <w:trPr>
          <w:trHeight w:val="584"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51</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АЗС № 40983</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ООО «Лукойл-Югнефтепродукт», г. Калуга, ул. Хрустальная, д.62а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40:26-6.500</w:t>
            </w:r>
          </w:p>
        </w:tc>
      </w:tr>
      <w:tr>
        <w:trPr>
          <w:trHeight w:val="521"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52</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предприятия ООО «Газэнергосеть розница», автоматическая блочная автозаправочная станция № 4006</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40:26-6.508</w:t>
            </w:r>
          </w:p>
        </w:tc>
      </w:tr>
      <w:tr>
        <w:trPr>
          <w:trHeight w:val="625"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53</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предприятия ООО «Газэнергосеть розница», автоматическая блочная автозаправочная станция № 4004</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40:26-6.509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54</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для предприятия ООО «Газэнергосеть розница», топливно-заправочный комплекс № 253, расположенного по адресу:</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г. Калуга, ул. Железняки, 40А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40:26-6.510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55</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автоматическая блочная автозаправочная станция № 4007, расположенного по адресу: Калужская область, г. Калуга, улица Гурьянова, д.73а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40:26-6.511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56</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автоматическая блочная автозаправочная станция № 4003, расположенного по адресу: г. Калуга, Грабцевское шоссе, д.99б</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40:26-6.512</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57</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топливно-заправочный комплекс № 252, расположенного по адресу:</w:t>
            </w:r>
          </w:p>
          <w:p>
            <w:pPr>
              <w:pStyle w:val="Normal"/>
              <w:widowControl w:val="false"/>
              <w:spacing w:before="0" w:after="0"/>
              <w:rPr>
                <w:color w:themeColor="text1" w:val="000000"/>
                <w:sz w:val="22"/>
                <w:szCs w:val="22"/>
              </w:rPr>
            </w:pPr>
            <w:r>
              <w:rPr>
                <w:rFonts w:eastAsia="SimSun"/>
                <w:color w:themeColor="text1" w:val="000000"/>
                <w:sz w:val="22"/>
                <w:szCs w:val="22"/>
              </w:rPr>
              <w:t>г. Калуга, ул. Зерновая, д.26</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40:26-6.513</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автоматическая блочная автозаправочная станция № 4002, расположенного по адресу: г. Калуга, ул. Гурьянова д. 5</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40:26-6.514</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59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топливно-заправочный комплекс № 251, расположенного по адресу:</w:t>
            </w:r>
          </w:p>
          <w:p>
            <w:pPr>
              <w:pStyle w:val="Normal"/>
              <w:widowControl w:val="false"/>
              <w:spacing w:before="0" w:after="0"/>
              <w:rPr>
                <w:color w:themeColor="text1" w:val="000000"/>
                <w:sz w:val="22"/>
                <w:szCs w:val="22"/>
              </w:rPr>
            </w:pPr>
            <w:r>
              <w:rPr>
                <w:rFonts w:eastAsia="SimSun"/>
                <w:color w:themeColor="text1" w:val="000000"/>
                <w:sz w:val="22"/>
                <w:szCs w:val="22"/>
              </w:rPr>
              <w:t>г. Калуга, ул. Московская, д.338</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40:26-6.515</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60</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предприятия ООО «Газэнергосеть розница», автоматическая блочная автозаправочная станция № 4005, расположенного по адресу: Калужская область, г. Калуга, ул. Путейская, д.12</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40:26-6.516</w:t>
            </w:r>
          </w:p>
        </w:tc>
      </w:tr>
      <w:tr>
        <w:trPr>
          <w:trHeight w:val="50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61</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филиала ООО «ЛИР» в г. Калуге по адресу:</w:t>
            </w:r>
          </w:p>
          <w:p>
            <w:pPr>
              <w:pStyle w:val="Normal"/>
              <w:widowControl w:val="false"/>
              <w:spacing w:before="0" w:after="0"/>
              <w:rPr>
                <w:color w:themeColor="text1" w:val="000000"/>
                <w:sz w:val="22"/>
                <w:szCs w:val="22"/>
              </w:rPr>
            </w:pPr>
            <w:r>
              <w:rPr>
                <w:rFonts w:eastAsia="SimSun"/>
                <w:color w:themeColor="text1" w:val="000000"/>
                <w:sz w:val="22"/>
                <w:szCs w:val="22"/>
              </w:rPr>
              <w:t>г. Калуга, ул. Тарутинская, д. 171б, здание 11</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40:26-6.580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62</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объединенная санитарно-защитная зона для «промзоны объектов: АО «Восход» - КРЛЗ, АО «Аметист - Стан», расположенных по адресу: Калужская область, г. Калуга, Грабцевское шоссе, д. 43»</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40:26-6.581</w:t>
            </w:r>
          </w:p>
        </w:tc>
      </w:tr>
      <w:tr>
        <w:trPr>
          <w:trHeight w:val="39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63</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АЗС № 7 АО «Калуганефтепродукт»</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40:26-6.645</w:t>
            </w:r>
          </w:p>
        </w:tc>
      </w:tr>
      <w:tr>
        <w:trPr>
          <w:trHeight w:val="4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64</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нефтебазы г. Калуга АО «Калуганефтепродукт»</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40:26-6.646</w:t>
            </w:r>
          </w:p>
        </w:tc>
      </w:tr>
      <w:tr>
        <w:trPr>
          <w:trHeight w:val="447"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65</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автозаправочной станции № 83 АО «Калуганефтепродукт»</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40:26-6.647</w:t>
            </w:r>
          </w:p>
        </w:tc>
      </w:tr>
      <w:tr>
        <w:trPr>
          <w:trHeight w:val="565"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66</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автозаправочной станции № 77 АО «Калуганефтепродукт»</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40:26-6.651</w:t>
            </w:r>
          </w:p>
        </w:tc>
      </w:tr>
      <w:tr>
        <w:trPr>
          <w:trHeight w:val="565"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67</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автозаправочной станции № 71 АО «Калуганефтепродукт»</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40:26-6.652</w:t>
            </w:r>
          </w:p>
        </w:tc>
      </w:tr>
      <w:tr>
        <w:trPr>
          <w:trHeight w:val="498"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«Строительство магазина по адресу:</w:t>
            </w:r>
          </w:p>
          <w:p>
            <w:pPr>
              <w:pStyle w:val="Normal"/>
              <w:widowControl w:val="false"/>
              <w:spacing w:before="0" w:after="0"/>
              <w:rPr>
                <w:color w:themeColor="text1" w:val="000000"/>
                <w:sz w:val="22"/>
                <w:szCs w:val="22"/>
              </w:rPr>
            </w:pPr>
            <w:r>
              <w:rPr>
                <w:rFonts w:eastAsia="SimSun"/>
                <w:color w:themeColor="text1" w:val="000000"/>
                <w:sz w:val="22"/>
                <w:szCs w:val="22"/>
              </w:rPr>
              <w:t>г. Калуга, ул. Московская, д. 348»</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40:26-6.654</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69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санитарно-защитная зона для промплощадки</w:t>
            </w:r>
          </w:p>
          <w:p>
            <w:pPr>
              <w:pStyle w:val="Normal"/>
              <w:widowControl w:val="false"/>
              <w:spacing w:before="0" w:after="0"/>
              <w:rPr>
                <w:color w:themeColor="text1" w:val="000000"/>
                <w:sz w:val="22"/>
                <w:szCs w:val="22"/>
              </w:rPr>
            </w:pPr>
            <w:r>
              <w:rPr>
                <w:rFonts w:eastAsia="SimSun"/>
                <w:color w:themeColor="text1" w:val="000000"/>
                <w:sz w:val="22"/>
                <w:szCs w:val="22"/>
              </w:rPr>
              <w:t>ООО «ПОЛИПЛАСТ-СТРОЙ», расположенной по адресу: г. Калуга, ул. Болдина, д. 22, стр. 34</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40:26-6.694</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70</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санитарно-защитная зона для производственной площадки АО «Автоэлектроника», расположенной по адресу: г. Калуга, ул. Азаровская, д.18</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40:26-6.778</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71</w:t>
            </w:r>
          </w:p>
        </w:tc>
        <w:tc>
          <w:tcPr>
            <w:tcW w:w="7506" w:type="dxa"/>
            <w:tcBorders/>
            <w:shd w:fill="auto" w:val="clear"/>
            <w:vAlign w:val="center"/>
          </w:tcPr>
          <w:p>
            <w:pPr>
              <w:pStyle w:val="Normal"/>
              <w:widowControl w:val="false"/>
              <w:tabs>
                <w:tab w:val="clear" w:pos="397"/>
                <w:tab w:val="left" w:pos="2702" w:leader="none"/>
              </w:tabs>
              <w:spacing w:before="0" w:after="0"/>
              <w:rPr>
                <w:color w:themeColor="text1" w:val="000000"/>
                <w:sz w:val="22"/>
                <w:szCs w:val="22"/>
              </w:rPr>
            </w:pPr>
            <w:r>
              <w:rPr>
                <w:rFonts w:eastAsia="SimSun"/>
                <w:color w:themeColor="text1" w:val="000000"/>
                <w:sz w:val="22"/>
                <w:szCs w:val="22"/>
              </w:rPr>
              <w:t>Санитарно-защитная зона для промплощадки Калужского филиала ПАО «Ростелеком», расположенной по адресу: Калужская область, г. Калуга,</w:t>
            </w:r>
          </w:p>
          <w:p>
            <w:pPr>
              <w:pStyle w:val="Normal"/>
              <w:widowControl w:val="false"/>
              <w:tabs>
                <w:tab w:val="clear" w:pos="397"/>
                <w:tab w:val="left" w:pos="2702" w:leader="none"/>
              </w:tabs>
              <w:spacing w:before="0" w:after="0"/>
              <w:rPr>
                <w:color w:themeColor="text1" w:val="000000"/>
                <w:sz w:val="22"/>
                <w:szCs w:val="22"/>
              </w:rPr>
            </w:pPr>
            <w:r>
              <w:rPr>
                <w:rFonts w:eastAsia="SimSun"/>
                <w:color w:themeColor="text1" w:val="000000"/>
                <w:sz w:val="22"/>
                <w:szCs w:val="22"/>
              </w:rPr>
              <w:t>ул. Театральная, д. 38</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40:26-6.837</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72</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Расчетная санитарно-защитная зона для АО «СИВЕР», расположенного по адресу: Калужская область, г. Калуга, ул. Новослободская, д. 27. Кадастровый номер участка 40:26:000081:412</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40:26-6.860</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73</w:t>
            </w:r>
          </w:p>
        </w:tc>
        <w:tc>
          <w:tcPr>
            <w:tcW w:w="7506" w:type="dxa"/>
            <w:tcBorders/>
            <w:shd w:fill="auto" w:val="clear"/>
            <w:vAlign w:val="center"/>
          </w:tcPr>
          <w:p>
            <w:pPr>
              <w:pStyle w:val="Normal"/>
              <w:widowControl w:val="false"/>
              <w:tabs>
                <w:tab w:val="clear" w:pos="397"/>
                <w:tab w:val="left" w:pos="1230" w:leader="none"/>
              </w:tabs>
              <w:spacing w:before="0" w:after="0"/>
              <w:rPr>
                <w:color w:themeColor="text1" w:val="000000"/>
                <w:sz w:val="22"/>
                <w:szCs w:val="22"/>
              </w:rPr>
            </w:pPr>
            <w:r>
              <w:rPr>
                <w:rFonts w:eastAsia="SimSun"/>
                <w:color w:themeColor="text1" w:val="000000"/>
                <w:sz w:val="22"/>
                <w:szCs w:val="22"/>
              </w:rPr>
              <w:t>Расчетная санитарно-защитная зона для группы компаний ООО «Эрга», ООО «Эрга Плюс», ООО «Сепаратор», расположенных по адресу: г. Калуга, ул. Хрустальная, д.22</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40:26-6.861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74</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промплощадки ООО «Электротехнический завод», по адресу: Калужская область, г. Калуга, ул. Ленина, зд.17а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40:26-6.868</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75</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объекта: промплощадка ООО «МАКО ФУРНИТУРА», расположенного по адресу: Калужская область, г. Калуга, Тульское шоссе, д. 10</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40:26-6.878</w:t>
            </w:r>
          </w:p>
        </w:tc>
      </w:tr>
      <w:tr>
        <w:trPr>
          <w:trHeight w:val="447"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76</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промышленной площадки № 2 ООО «ХП Пельцер РУС» по адресу: г. Калуга, проезд 1-й Академический, д.5</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40:26-6.879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77</w:t>
            </w:r>
          </w:p>
        </w:tc>
        <w:tc>
          <w:tcPr>
            <w:tcW w:w="7506" w:type="dxa"/>
            <w:tcBorders/>
            <w:shd w:fill="auto" w:val="clear"/>
            <w:vAlign w:val="center"/>
          </w:tcPr>
          <w:p>
            <w:pPr>
              <w:pStyle w:val="Normal"/>
              <w:widowControl w:val="false"/>
              <w:spacing w:before="0" w:after="0"/>
              <w:rPr/>
            </w:pPr>
            <w:r>
              <w:rPr>
                <w:rFonts w:eastAsia="SimSun"/>
                <w:color w:themeColor="text1" w:val="000000"/>
                <w:sz w:val="22"/>
                <w:szCs w:val="22"/>
              </w:rPr>
              <w:t>Санитарно-защитная зона для объекта - производственный цех (ЮЛ/ИП/ФЛ): ООО «Вакма»), расположенного по адресу: Калужская область, город Калуга, проезд Новослободский, д. 9</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40:26-6.903</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78</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автомобильной газонаполнительной компрессорной станции (АГНКС-2 г. Калуга), расположенной по адресу: Калужская область, г. Калуга, ул. Зерновая, д. 19 (ООО «Газпром Газомоторное Топливо»)</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40:26-6.979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79</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объекта: «Для строительства одноэтажного здания по содержанию и лечению бездомных собак», расположенного по адресу:</w:t>
            </w:r>
          </w:p>
          <w:p>
            <w:pPr>
              <w:pStyle w:val="Normal"/>
              <w:widowControl w:val="false"/>
              <w:spacing w:before="0" w:after="0"/>
              <w:rPr>
                <w:color w:themeColor="text1" w:val="000000"/>
                <w:sz w:val="22"/>
                <w:szCs w:val="22"/>
              </w:rPr>
            </w:pPr>
            <w:r>
              <w:rPr>
                <w:rFonts w:eastAsia="SimSun"/>
                <w:color w:themeColor="text1" w:val="000000"/>
                <w:sz w:val="22"/>
                <w:szCs w:val="22"/>
              </w:rPr>
              <w:t>г. Калуга, р-н Окружной автодороги.</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40:26-6.981</w:t>
            </w:r>
          </w:p>
        </w:tc>
      </w:tr>
      <w:tr>
        <w:trPr>
          <w:trHeight w:val="50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80</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Санитарно-защитная зона для Производственно-заготовительного участка «Калуга» ООО «Вторчермет НЛМК Центр»</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40:26-6.982</w:t>
            </w:r>
          </w:p>
        </w:tc>
      </w:tr>
      <w:tr>
        <w:trPr>
          <w:trHeight w:val="612"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81</w:t>
            </w:r>
          </w:p>
        </w:tc>
        <w:tc>
          <w:tcPr>
            <w:tcW w:w="7506" w:type="dxa"/>
            <w:tcBorders/>
            <w:shd w:fill="auto" w:val="clear"/>
            <w:vAlign w:val="center"/>
          </w:tcPr>
          <w:p>
            <w:pPr>
              <w:pStyle w:val="Normal"/>
              <w:widowControl w:val="false"/>
              <w:spacing w:before="0" w:after="0"/>
              <w:rPr>
                <w:color w:themeColor="text1" w:val="000000"/>
                <w:sz w:val="22"/>
                <w:szCs w:val="22"/>
              </w:rPr>
            </w:pPr>
            <w:r>
              <w:rPr>
                <w:rFonts w:eastAsia="SimSun"/>
                <w:color w:themeColor="text1" w:val="000000"/>
                <w:sz w:val="22"/>
                <w:szCs w:val="22"/>
              </w:rPr>
              <w:t xml:space="preserve">Очистные сооружения города Калуги, расположенные по адресу: </w:t>
            </w:r>
            <w:r>
              <w:rPr>
                <w:rFonts w:eastAsia="SimSun"/>
                <w:color w:themeColor="text1" w:val="000000"/>
                <w:sz w:val="22"/>
                <w:szCs w:val="22"/>
                <w:lang w:eastAsia="ru-RU"/>
              </w:rPr>
              <w:t xml:space="preserve">г. Калуга, </w:t>
            </w:r>
            <w:r>
              <w:rPr>
                <w:rFonts w:eastAsia="SimSun"/>
                <w:color w:themeColor="text1" w:val="000000"/>
                <w:sz w:val="22"/>
                <w:szCs w:val="22"/>
              </w:rPr>
              <w:t>ул. 40-летия Октября</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40:26-6.991</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82</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Путевой машинной станции №101 – структурное подразделение Московской дирекции по ремонту пути - структурное подразделение Центральной дирекции по ремонту пути – филиал ОАО «РЖД»,</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расположенной: Калужская обл., г. Калуга, ст. Калуга-2,</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ул. Привокзальная, д. 12а</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color w:themeColor="text1" w:val="000000"/>
                <w:sz w:val="22"/>
                <w:szCs w:val="22"/>
                <w:lang w:eastAsia="ru-RU"/>
              </w:rPr>
              <w:t>40:26-6.992</w:t>
            </w:r>
          </w:p>
        </w:tc>
      </w:tr>
      <w:tr>
        <w:trPr>
          <w:trHeight w:val="478" w:hRule="atLeast"/>
        </w:trPr>
        <w:tc>
          <w:tcPr>
            <w:tcW w:w="697" w:type="dxa"/>
            <w:tcBorders/>
            <w:shd w:fill="auto" w:val="clear"/>
            <w:vAlign w:val="center"/>
          </w:tcPr>
          <w:p>
            <w:pPr>
              <w:pStyle w:val="Normal"/>
              <w:widowControl w:val="false"/>
              <w:spacing w:before="0" w:after="0"/>
              <w:jc w:val="center"/>
              <w:rPr>
                <w:color w:themeColor="text1" w:val="000000"/>
                <w:sz w:val="22"/>
                <w:szCs w:val="22"/>
                <w:lang w:val="en-US" w:eastAsia="ru-RU"/>
              </w:rPr>
            </w:pPr>
            <w:r>
              <w:rPr>
                <w:rFonts w:eastAsia="SimSun"/>
                <w:color w:themeColor="text1" w:val="000000"/>
                <w:sz w:val="22"/>
                <w:szCs w:val="22"/>
                <w:lang w:val="en-US" w:eastAsia="ru-RU"/>
              </w:rPr>
              <w:t>83</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shd w:fill="F8F9FA" w:val="clear"/>
              </w:rPr>
              <w:t>Санитарно-защитная зона для объекта ООО «КШЗ Машиностроительное объединение» по адресу: Калужская область, г. Калуга, ул. Московская,</w:t>
            </w:r>
          </w:p>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shd w:fill="F8F9FA" w:val="clear"/>
              </w:rPr>
              <w:t>д. 247</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rFonts w:eastAsia="SimSun"/>
                <w:color w:themeColor="text1" w:val="000000"/>
                <w:sz w:val="22"/>
                <w:szCs w:val="22"/>
                <w:lang w:eastAsia="ru-RU"/>
              </w:rPr>
              <w:t>40:26-6.1259</w:t>
            </w:r>
          </w:p>
        </w:tc>
      </w:tr>
      <w:tr>
        <w:trPr>
          <w:trHeight w:val="850" w:hRule="atLeast"/>
        </w:trPr>
        <w:tc>
          <w:tcPr>
            <w:tcW w:w="697" w:type="dxa"/>
            <w:tcBorders/>
            <w:shd w:fill="auto" w:val="clear"/>
            <w:vAlign w:val="center"/>
          </w:tcPr>
          <w:p>
            <w:pPr>
              <w:pStyle w:val="Normal"/>
              <w:widowControl w:val="false"/>
              <w:spacing w:before="0" w:after="0"/>
              <w:jc w:val="center"/>
              <w:rPr>
                <w:color w:themeColor="text1" w:val="000000"/>
                <w:sz w:val="22"/>
                <w:szCs w:val="22"/>
                <w:lang w:val="en-US" w:eastAsia="ru-RU"/>
              </w:rPr>
            </w:pPr>
            <w:r>
              <w:rPr>
                <w:rFonts w:eastAsia="SimSun"/>
                <w:color w:themeColor="text1" w:val="000000"/>
                <w:sz w:val="22"/>
                <w:szCs w:val="22"/>
                <w:lang w:val="en-US" w:eastAsia="ru-RU"/>
              </w:rPr>
              <w:t>84</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Объединенная санитарно-защитная зона для объектов - промплощадка предприятий ООО «Континентал Калуга» и «КонтиТех» филиал ООО «Континентал Калуга»</w:t>
            </w:r>
          </w:p>
        </w:tc>
        <w:tc>
          <w:tcPr>
            <w:tcW w:w="1425" w:type="dxa"/>
            <w:tcBorders/>
            <w:shd w:fill="auto" w:val="clear"/>
            <w:vAlign w:val="center"/>
          </w:tcPr>
          <w:p>
            <w:pPr>
              <w:pStyle w:val="Normal"/>
              <w:widowControl w:val="false"/>
              <w:spacing w:before="0" w:after="0"/>
              <w:jc w:val="center"/>
              <w:rPr>
                <w:color w:themeColor="text1" w:val="000000"/>
                <w:sz w:val="22"/>
                <w:szCs w:val="22"/>
                <w:lang w:val="en-US" w:eastAsia="ru-RU"/>
              </w:rPr>
            </w:pPr>
            <w:r>
              <w:rPr>
                <w:rFonts w:eastAsia="SimSun"/>
                <w:color w:themeColor="text1" w:val="000000"/>
                <w:sz w:val="22"/>
                <w:szCs w:val="22"/>
                <w:lang w:val="en-US" w:eastAsia="ru-RU"/>
              </w:rPr>
              <w:t>40:00-6.744</w:t>
            </w:r>
          </w:p>
        </w:tc>
      </w:tr>
      <w:tr>
        <w:trPr>
          <w:trHeight w:val="679" w:hRule="exact"/>
        </w:trPr>
        <w:tc>
          <w:tcPr>
            <w:tcW w:w="697" w:type="dxa"/>
            <w:tcBorders/>
            <w:shd w:fill="auto" w:val="clear"/>
            <w:vAlign w:val="center"/>
          </w:tcPr>
          <w:p>
            <w:pPr>
              <w:pStyle w:val="Normal"/>
              <w:widowControl w:val="false"/>
              <w:spacing w:before="0" w:after="0"/>
              <w:jc w:val="center"/>
              <w:rPr>
                <w:color w:themeColor="text1" w:val="000000"/>
                <w:sz w:val="22"/>
                <w:szCs w:val="22"/>
                <w:lang w:val="en-US" w:eastAsia="ru-RU"/>
              </w:rPr>
            </w:pPr>
            <w:r>
              <w:rPr>
                <w:rFonts w:eastAsia="SimSun"/>
                <w:color w:themeColor="text1" w:val="000000"/>
                <w:sz w:val="22"/>
                <w:szCs w:val="22"/>
                <w:lang w:val="en-US" w:eastAsia="ru-RU"/>
              </w:rPr>
              <w:t>85</w:t>
            </w:r>
          </w:p>
        </w:tc>
        <w:tc>
          <w:tcPr>
            <w:tcW w:w="7506" w:type="dxa"/>
            <w:tcBorders/>
            <w:shd w:fill="auto" w:val="clear"/>
            <w:vAlign w:val="center"/>
          </w:tcPr>
          <w:p>
            <w:pPr>
              <w:pStyle w:val="Normal"/>
              <w:widowControl w:val="false"/>
              <w:suppressAutoHyphens w:val="false"/>
              <w:spacing w:before="0" w:after="0"/>
              <w:rPr>
                <w:color w:themeColor="text1" w:val="000000"/>
                <w:sz w:val="22"/>
                <w:szCs w:val="22"/>
                <w:lang w:eastAsia="ru-RU"/>
              </w:rPr>
            </w:pPr>
            <w:r>
              <w:rPr>
                <w:rFonts w:eastAsia="SimSun"/>
                <w:color w:themeColor="text1" w:val="000000"/>
                <w:sz w:val="22"/>
                <w:szCs w:val="22"/>
                <w:lang w:eastAsia="ru-RU"/>
              </w:rPr>
              <w:t>Санитарно-защитная зона АЗС № 77 ООО «Газпромнефть-Центр»</w:t>
            </w:r>
          </w:p>
        </w:tc>
        <w:tc>
          <w:tcPr>
            <w:tcW w:w="1425" w:type="dxa"/>
            <w:tcBorders/>
            <w:shd w:fill="auto" w:val="clear"/>
            <w:vAlign w:val="center"/>
          </w:tcPr>
          <w:p>
            <w:pPr>
              <w:pStyle w:val="Normal"/>
              <w:widowControl w:val="false"/>
              <w:spacing w:before="0" w:after="0"/>
              <w:jc w:val="center"/>
              <w:rPr>
                <w:color w:themeColor="text1" w:val="000000"/>
                <w:sz w:val="22"/>
                <w:szCs w:val="22"/>
                <w:lang w:eastAsia="ru-RU"/>
              </w:rPr>
            </w:pPr>
            <w:r>
              <w:rPr>
                <w:rFonts w:eastAsia="SimSun"/>
                <w:color w:themeColor="text1" w:val="000000"/>
                <w:sz w:val="22"/>
                <w:szCs w:val="22"/>
                <w:lang w:val="en-US" w:eastAsia="ru-RU"/>
              </w:rPr>
              <w:t>40:25-6.1521</w:t>
            </w:r>
          </w:p>
        </w:tc>
      </w:tr>
    </w:tbl>
    <w:p>
      <w:pPr>
        <w:pStyle w:val="Normal"/>
        <w:jc w:val="center"/>
        <w:rPr>
          <w:color w:themeColor="text1" w:val="000000"/>
          <w:sz w:val="22"/>
          <w:szCs w:val="22"/>
        </w:rPr>
      </w:pPr>
      <w:r>
        <w:rPr>
          <w:color w:themeColor="text1" w:val="000000"/>
          <w:sz w:val="22"/>
          <w:szCs w:val="22"/>
        </w:rPr>
      </w:r>
    </w:p>
    <w:p>
      <w:pPr>
        <w:pStyle w:val="Normal"/>
        <w:rPr/>
      </w:pPr>
      <w:r>
        <w:rPr/>
      </w:r>
    </w:p>
    <w:sectPr>
      <w:headerReference w:type="default" r:id="rId126"/>
      <w:headerReference w:type="first" r:id="rId127"/>
      <w:footerReference w:type="default" r:id="rId128"/>
      <w:footerReference w:type="first" r:id="rId129"/>
      <w:footnotePr>
        <w:numFmt w:val="decimal"/>
      </w:footnotePr>
      <w:type w:val="nextPage"/>
      <w:pgSz w:w="11906" w:h="16838"/>
      <w:pgMar w:left="1417" w:right="1134" w:gutter="0" w:header="567" w:top="1126" w:footer="0" w:bottom="59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Wingdings">
    <w:charset w:val="cc"/>
    <w:family w:val="roman"/>
    <w:pitch w:val="variable"/>
  </w:font>
  <w:font w:name="Courier New">
    <w:charset w:val="cc"/>
    <w:family w:val="roman"/>
    <w:pitch w:val="variable"/>
  </w:font>
  <w:font w:name="Wingdings 2">
    <w:charset w:val="cc"/>
    <w:family w:val="roman"/>
    <w:pitch w:val="variable"/>
  </w:font>
  <w:font w:name="StarSymbol">
    <w:altName w:val="Arial Unicode MS"/>
    <w:charset w:val="cc"/>
    <w:family w:val="roman"/>
    <w:pitch w:val="variable"/>
  </w:font>
  <w:font w:name="Tahoma">
    <w:charset w:val="cc"/>
    <w:family w:val="roman"/>
    <w:pitch w:val="variable"/>
  </w:font>
  <w:font w:name="Cambria">
    <w:charset w:val="cc"/>
    <w:family w:val="roman"/>
    <w:pitch w:val="variable"/>
  </w:font>
  <w:font w:name="Consolas">
    <w:charset w:val="cc"/>
    <w:family w:val="roman"/>
    <w:pitch w:val="variable"/>
  </w:font>
  <w:font w:name="OpenSymbol">
    <w:altName w:val="Arial Unicode MS"/>
    <w:charset w:val="cc"/>
    <w:family w:val="roman"/>
    <w:pitch w:val="variable"/>
  </w:font>
  <w:font w:name="Bookman Old Style">
    <w:charset w:val="cc"/>
    <w:family w:val="roman"/>
    <w:pitch w:val="variable"/>
  </w:font>
  <w:font w:name="Segoe UI">
    <w:charset w:val="cc"/>
    <w:family w:val="roman"/>
    <w:pitch w:val="variable"/>
  </w:font>
  <w:font w:name="Calibri">
    <w:charset w:val="cc"/>
    <w:family w:val="roman"/>
    <w:pitch w:val="variable"/>
  </w:font>
  <w:font w:name="Corbel">
    <w:charset w:val="cc"/>
    <w:family w:val="roman"/>
    <w:pitch w:val="variable"/>
  </w:font>
  <w:font w:name="Verdana">
    <w:charset w:val="cc"/>
    <w:family w:val="roman"/>
    <w:pitch w:val="variable"/>
  </w:font>
  <w:font w:name="Liberation Sans">
    <w:altName w:val="Arial"/>
    <w:charset w:val="cc"/>
    <w:family w:val="roman"/>
    <w:pitch w:val="variable"/>
  </w:font>
  <w:font w:name="Times New Roman CYR">
    <w:charset w:val="cc"/>
    <w:family w:val="roman"/>
    <w:pitch w:val="variable"/>
  </w:font>
  <w:font w:name="Arial CYR">
    <w:charset w:val="cc"/>
    <w:family w:val="roman"/>
    <w:pitch w:val="variable"/>
  </w:font>
  <w:font w:name="HelvDL">
    <w:charset w:val="cc"/>
    <w:family w:val="roman"/>
    <w:pitch w:val="variable"/>
  </w:font>
  <w:font w:name="Arial Narrow">
    <w:charset w:val="cc"/>
    <w:family w:val="roman"/>
    <w:pitch w:val="variable"/>
  </w:font>
  <w:font w:name="Arial Unicode MS">
    <w:charset w:val="cc"/>
    <w:family w:val="roman"/>
    <w:pitch w:val="variable"/>
  </w:font>
  <w:font w:name="AcademyACTT">
    <w:charset w:val="cc"/>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cen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23"/>
        </w:rPr>
        <w:footnoteRef/>
      </w:r>
      <w:r>
        <w:rPr/>
        <w:tab/>
        <w:t xml:space="preserve"> В разделе использованы материалы Калужского филиала ГУ Центра природопользования и охраны окружающей среды Всероссийского НИИ экономики минерального сырья и недропользования (ВИЭМС).</w:t>
      </w:r>
    </w:p>
    <w:p>
      <w:pPr>
        <w:pStyle w:val="FootnoteText"/>
        <w:rPr/>
      </w:pPr>
      <w:r>
        <w:rPr/>
      </w:r>
    </w:p>
  </w:footnote>
  <w:footnote w:id="3">
    <w:p>
      <w:pPr>
        <w:pStyle w:val="FootnoteText"/>
        <w:tabs>
          <w:tab w:val="left" w:pos="397" w:leader="none"/>
          <w:tab w:val="left" w:pos="794" w:leader="none"/>
          <w:tab w:val="left" w:pos="1191" w:leader="none"/>
          <w:tab w:val="left" w:pos="1588" w:leader="none"/>
          <w:tab w:val="left" w:pos="1985" w:leader="none"/>
          <w:tab w:val="left" w:pos="2382" w:leader="none"/>
          <w:tab w:val="left" w:pos="2779" w:leader="none"/>
          <w:tab w:val="left" w:pos="3176" w:leader="none"/>
          <w:tab w:val="left" w:pos="3573" w:leader="none"/>
          <w:tab w:val="left" w:pos="3970" w:leader="none"/>
          <w:tab w:val="left" w:pos="4367" w:leader="none"/>
          <w:tab w:val="left" w:pos="4764" w:leader="none"/>
          <w:tab w:val="left" w:pos="5161" w:leader="none"/>
          <w:tab w:val="left" w:pos="5558" w:leader="none"/>
          <w:tab w:val="left" w:pos="5955" w:leader="none"/>
          <w:tab w:val="left" w:pos="6352" w:leader="none"/>
          <w:tab w:val="left" w:pos="6749" w:leader="none"/>
          <w:tab w:val="left" w:pos="8041" w:leader="none"/>
        </w:tabs>
        <w:rPr/>
      </w:pPr>
      <w:r>
        <w:rPr>
          <w:rStyle w:val="Style23"/>
        </w:rPr>
        <w:footnoteRef/>
      </w:r>
      <w:r>
        <w:rPr/>
        <w:tab/>
        <w:t xml:space="preserve"> Состояние и охрана окружающей среды в Калуге. Информационный обзор.</w:t>
        <w:tab/>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9</w:t>
    </w:r>
    <w:r>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22</w:t>
    </w:r>
    <w:r>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26</w:t>
    </w:r>
    <w:r>
      <w:rPr/>
      <w:fldChar w:fldCharType="end"/>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23</w:t>
    </w:r>
    <w:r>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32</w:t>
    </w:r>
    <w:r>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27</w:t>
    </w:r>
    <w:r>
      <w:rPr/>
      <w:fldChar w:fldCharType="end"/>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42</w:t>
    </w:r>
    <w:r>
      <w:rPr/>
      <w:fldChar w:fldCharType="end"/>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33</w:t>
    </w:r>
    <w:r>
      <w:rPr/>
      <w:fldChar w:fldCharType="end"/>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50</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43</w:t>
    </w:r>
    <w:r>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56</w:t>
    </w:r>
    <w:r>
      <w:rPr/>
      <w:fldChar w:fldCharType="end"/>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51</w:t>
    </w:r>
    <w:r>
      <w:rPr/>
      <w:fldChar w:fldCharType="end"/>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72</w:t>
    </w:r>
    <w:r>
      <w:rPr/>
      <w:fldChar w:fldCharType="end"/>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57</w:t>
    </w:r>
    <w:r>
      <w:rPr/>
      <w:fldChar w:fldCharType="end"/>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96</w:t>
    </w:r>
    <w:r>
      <w:rPr/>
      <w:fldChar w:fldCharType="end"/>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102</w:t>
    </w:r>
    <w:r>
      <w:rPr/>
      <w:fldChar w:fldCharType="end"/>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97</w:t>
    </w:r>
    <w:r>
      <w:rPr/>
      <w:fldChar w:fldCharType="end"/>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109</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10</w:t>
    </w:r>
    <w:r>
      <w:rPr/>
      <w:fldChar w:fldCharType="end"/>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110</w:t>
    </w:r>
    <w:r>
      <w:rPr/>
      <w:fldChar w:fldCharType="end"/>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112</w:t>
    </w:r>
    <w:r>
      <w:rPr/>
      <w:fldChar w:fldCharType="end"/>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146</w:t>
    </w:r>
    <w:r>
      <w:rPr/>
      <w:fldChar w:fldCharType="end"/>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169</w:t>
    </w:r>
    <w:r>
      <w:rPr/>
      <w:fldChar w:fldCharType="end"/>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183</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191</w:t>
    </w:r>
    <w:r>
      <w:rPr/>
      <w:fldChar w:fldCharType="end"/>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184</w:t>
    </w:r>
    <w:r>
      <w:rPr/>
      <w:fldChar w:fldCharType="end"/>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198</w:t>
    </w:r>
    <w:r>
      <w:rPr/>
      <w:fldChar w:fldCharType="end"/>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214</w:t>
    </w:r>
    <w:r>
      <w:rPr/>
      <w:fldChar w:fldCharType="end"/>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199</w:t>
    </w:r>
    <w:r>
      <w:rPr/>
      <w:fldChar w:fldCharType="end"/>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222</w:t>
    </w:r>
    <w:r>
      <w:rPr/>
      <w:fldChar w:fldCharType="end"/>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215</w:t>
    </w:r>
    <w:r>
      <w:rPr/>
      <w:fldChar w:fldCharType="end"/>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231</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13</w:t>
    </w:r>
    <w:r>
      <w:rPr/>
      <w:fldChar w:fldCharType="end"/>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223</w:t>
    </w:r>
    <w:r>
      <w:rPr/>
      <w:fldChar w:fldCharType="end"/>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236</w:t>
    </w:r>
    <w:r>
      <w:rPr/>
      <w:fldChar w:fldCharType="end"/>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16</w:t>
    </w:r>
    <w:r>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14</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73"/>
      <w:jc w:val="center"/>
      <w:rPr/>
    </w:pPr>
    <w:r>
      <w:rPr/>
      <w:fldChar w:fldCharType="begin"/>
    </w:r>
    <w:r>
      <w:rPr/>
      <w:instrText xml:space="preserve"> PAGE </w:instrText>
    </w:r>
    <w:r>
      <w:rPr/>
      <w:fldChar w:fldCharType="separate"/>
    </w:r>
    <w:r>
      <w:rPr/>
      <w:t>17</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sz w:val="24"/>
      </w:rPr>
    </w:lvl>
    <w:lvl w:ilvl="2">
      <w:start w:val="1"/>
      <w:numFmt w:val="none"/>
      <w:suff w:val="nothing"/>
      <w:lvlText w:val=""/>
      <w:lvlJc w:val="left"/>
      <w:pPr>
        <w:tabs>
          <w:tab w:val="num" w:pos="0"/>
        </w:tabs>
        <w:ind w:left="720" w:hanging="720"/>
      </w:pPr>
      <w:rPr>
        <w:sz w:val="24"/>
      </w:rPr>
    </w:lvl>
    <w:lvl w:ilvl="3">
      <w:start w:val="1"/>
      <w:numFmt w:val="none"/>
      <w:suff w:val="nothing"/>
      <w:lvlText w:val=""/>
      <w:lvlJc w:val="left"/>
      <w:pPr>
        <w:tabs>
          <w:tab w:val="num" w:pos="0"/>
        </w:tabs>
        <w:ind w:left="864" w:hanging="864"/>
      </w:pPr>
      <w:rPr>
        <w:sz w:val="22"/>
        <w:b w:val="false"/>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sz w:val="24"/>
      </w:rPr>
    </w:lvl>
    <w:lvl w:ilvl="2">
      <w:start w:val="1"/>
      <w:numFmt w:val="none"/>
      <w:suff w:val="nothing"/>
      <w:lvlText w:val=""/>
      <w:lvlJc w:val="left"/>
      <w:pPr>
        <w:tabs>
          <w:tab w:val="num" w:pos="0"/>
        </w:tabs>
        <w:ind w:left="720" w:hanging="720"/>
      </w:pPr>
      <w:rPr>
        <w:sz w:val="24"/>
      </w:rPr>
    </w:lvl>
    <w:lvl w:ilvl="3">
      <w:start w:val="1"/>
      <w:numFmt w:val="none"/>
      <w:suff w:val="nothing"/>
      <w:lvlText w:val=""/>
      <w:lvlJc w:val="left"/>
      <w:pPr>
        <w:tabs>
          <w:tab w:val="num" w:pos="0"/>
        </w:tabs>
        <w:ind w:left="864" w:hanging="864"/>
      </w:pPr>
      <w:rPr>
        <w:sz w:val="22"/>
        <w:b w:val="false"/>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center"/>
      <w:pPr>
        <w:tabs>
          <w:tab w:val="num" w:pos="0"/>
        </w:tabs>
        <w:ind w:left="786"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center"/>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center"/>
      <w:pPr>
        <w:tabs>
          <w:tab w:val="num" w:pos="0"/>
        </w:tabs>
        <w:ind w:left="786"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embedSystemFonts/>
  <w:defaultTabStop w:val="397"/>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1" w:qFormat="1"/>
    <w:lsdException w:name="heading 2" w:uiPriority="13" w:qFormat="1"/>
    <w:lsdException w:name="heading 3" w:uiPriority="15" w:qFormat="1"/>
    <w:lsdException w:name="heading 4" w:uiPriority="17"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qFormat="1"/>
    <w:lsdException w:name="footnote text" w:semiHidden="1" w:unhideWhenUsed="1"/>
    <w:lsdException w:name="annotation text" w:uiPriority="0" w:semiHidden="1" w:unhideWhenUsed="1" w:qFormat="1"/>
    <w:lsdException w:name="header" w:uiPriority="0" w:semiHidden="1" w:unhideWhenUsed="1"/>
    <w:lsdException w:name="footer" w:semiHidden="1" w:unhideWhenUsed="1"/>
    <w:lsdException w:name="index heading" w:uiPriority="0" w:semiHidden="1" w:unhideWhenUsed="1" w:qFormat="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qFormat="1"/>
    <w:lsdException w:name="line number" w:semiHidden="1" w:unhideWhenUsed="1"/>
    <w:lsdException w:name="page number" w:uiPriority="0" w:semiHidden="1" w:unhideWhenUsed="1" w:qFormat="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0" w:semiHidden="1" w:unhideWhenUsed="1" w:qFormat="1"/>
    <w:lsdException w:name="List Bullet 4" w:semiHidden="1" w:unhideWhenUsed="1" w:qFormat="1"/>
    <w:lsdException w:name="List Bullet 5" w:uiPriority="0"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qFormat="1"/>
    <w:lsdException w:name="Body Text Indent" w:uiPriority="0" w:semiHidden="1" w:unhideWhenUsed="1" w:qFormat="1"/>
    <w:lsdException w:name="List Continue" w:semiHidden="1" w:unhideWhenUsed="1" w:qFormat="1"/>
    <w:lsdException w:name="List Continue 2" w:semiHidden="1" w:unhideWhenUsed="1" w:qFormat="1"/>
    <w:lsdException w:name="List Continue 3" w:uiPriority="0"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uiPriority="0"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uiPriority="0" w:semiHidden="1" w:unhideWhenUsed="1" w:qFormat="1"/>
    <w:lsdException w:name="Hyperlink" w:semiHidden="1" w:unhideWhenUsed="1"/>
    <w:lsdException w:name="FollowedHyperlink" w:uiPriority="0" w:semiHidden="1" w:unhideWhenUsed="1" w:qFormat="1"/>
    <w:lsdException w:name="Strong" w:uiPriority="22" w:qFormat="1"/>
    <w:lsdException w:name="Emphasis" w:uiPriority="20" w:qFormat="1"/>
    <w:lsdException w:name="Document Map" w:uiPriority="0"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uiPriority="0" w:semiHidden="1" w:unhideWhenUsed="1" w:qFormat="1"/>
    <w:lsdException w:name="Table Simple 1" w:uiPriority="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uiPriority="0" w:semiHidden="1" w:unhideWhenUsed="1"/>
    <w:lsdException w:name="Table Columns 2" w:semiHidden="1" w:unhideWhenUsed="1"/>
    <w:lsdException w:name="Table Columns 3" w:semiHidden="1" w:unhideWhenUsed="1"/>
    <w:lsdException w:name="Table Columns 4" w:semiHidden="1" w:unhideWhenUsed="1"/>
    <w:lsdException w:name="Table Columns 5" w:uiPriority="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uiPriority="0"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uiPriority="0" w:semiHidden="1" w:unhideWhenUsed="1"/>
    <w:lsdException w:name="Table List 8" w:uiPriority="0" w:semiHidden="1" w:unhideWhenUsed="1"/>
    <w:lsdException w:name="Table 3D effects 1" w:semiHidden="1" w:unhideWhenUsed="1"/>
    <w:lsdException w:name="Table 3D effects 2"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semiHidden="1" w:unhideWhenUsed="1"/>
    <w:lsdException w:name="Table Subtle 1" w:uiPriority="0" w:semiHidden="1" w:unhideWhenUsed="1"/>
    <w:lsdException w:name="Table Subtle 2" w:semiHidden="1" w:unhideWhenUsed="1"/>
    <w:lsdException w:name="Table Web 1" w:semiHidden="1" w:unhideWhenUsed="1"/>
    <w:lsdException w:name="Table Web 2" w:semiHidden="1" w:unhideWhenUsed="1"/>
    <w:lsdException w:name="Table Web 3" w:uiPriority="0"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Style70"/>
    <w:link w:val="119"/>
    <w:uiPriority w:val="11"/>
    <w:qFormat/>
    <w:pPr>
      <w:keepNext w:val="true"/>
      <w:pageBreakBefore/>
      <w:numPr>
        <w:ilvl w:val="0"/>
        <w:numId w:val="1"/>
      </w:numPr>
      <w:tabs>
        <w:tab w:val="clear" w:pos="397"/>
        <w:tab w:val="left" w:pos="851" w:leader="none"/>
      </w:tabs>
      <w:spacing w:before="240" w:after="120"/>
      <w:ind w:hanging="360" w:left="927"/>
      <w:jc w:val="center"/>
      <w:outlineLvl w:val="0"/>
    </w:pPr>
    <w:rPr>
      <w:b/>
      <w:bCs/>
      <w:caps/>
      <w:kern w:val="2"/>
      <w:sz w:val="28"/>
      <w:szCs w:val="28"/>
    </w:rPr>
  </w:style>
  <w:style w:type="paragraph" w:styleId="Heading2">
    <w:name w:val="Heading 2"/>
    <w:basedOn w:val="Normal"/>
    <w:next w:val="Style70"/>
    <w:uiPriority w:val="13"/>
    <w:qFormat/>
    <w:pPr>
      <w:keepNext w:val="true"/>
      <w:numPr>
        <w:ilvl w:val="1"/>
        <w:numId w:val="1"/>
      </w:numPr>
      <w:tabs>
        <w:tab w:val="clear" w:pos="397"/>
        <w:tab w:val="left" w:pos="1134" w:leader="none"/>
        <w:tab w:val="left" w:pos="1276" w:leader="none"/>
      </w:tabs>
      <w:spacing w:before="180" w:after="60"/>
      <w:jc w:val="center"/>
      <w:outlineLvl w:val="1"/>
    </w:pPr>
    <w:rPr>
      <w:b/>
      <w:bCs/>
      <w:sz w:val="28"/>
      <w:szCs w:val="28"/>
    </w:rPr>
  </w:style>
  <w:style w:type="paragraph" w:styleId="Heading3">
    <w:name w:val="Heading 3"/>
    <w:basedOn w:val="Normal"/>
    <w:next w:val="Style70"/>
    <w:uiPriority w:val="15"/>
    <w:qFormat/>
    <w:pPr>
      <w:keepNext w:val="true"/>
      <w:numPr>
        <w:ilvl w:val="2"/>
        <w:numId w:val="1"/>
      </w:numPr>
      <w:tabs>
        <w:tab w:val="clear" w:pos="397"/>
        <w:tab w:val="left" w:pos="1276" w:leader="none"/>
      </w:tabs>
      <w:spacing w:before="120" w:after="60"/>
      <w:jc w:val="center"/>
      <w:outlineLvl w:val="2"/>
    </w:pPr>
    <w:rPr>
      <w:b/>
      <w:bCs/>
      <w:sz w:val="26"/>
      <w:szCs w:val="26"/>
    </w:rPr>
  </w:style>
  <w:style w:type="paragraph" w:styleId="Heading4">
    <w:name w:val="Heading 4"/>
    <w:basedOn w:val="Normal"/>
    <w:next w:val="Style70"/>
    <w:link w:val="4"/>
    <w:uiPriority w:val="17"/>
    <w:qFormat/>
    <w:pPr>
      <w:keepNext w:val="true"/>
      <w:numPr>
        <w:ilvl w:val="3"/>
        <w:numId w:val="1"/>
      </w:numPr>
      <w:tabs>
        <w:tab w:val="clear" w:pos="397"/>
        <w:tab w:val="left" w:pos="1418" w:leader="none"/>
      </w:tabs>
      <w:spacing w:before="120" w:after="60"/>
      <w:outlineLvl w:val="3"/>
    </w:pPr>
    <w:rPr>
      <w:b/>
      <w:bCs/>
    </w:rPr>
  </w:style>
  <w:style w:type="paragraph" w:styleId="Heading5">
    <w:name w:val="Heading 5"/>
    <w:basedOn w:val="Normal"/>
    <w:next w:val="Style70"/>
    <w:uiPriority w:val="9"/>
    <w:qFormat/>
    <w:pPr>
      <w:numPr>
        <w:ilvl w:val="4"/>
        <w:numId w:val="1"/>
      </w:numPr>
      <w:tabs>
        <w:tab w:val="clear" w:pos="397"/>
        <w:tab w:val="left" w:pos="1701" w:leader="none"/>
      </w:tabs>
      <w:spacing w:before="240" w:after="60"/>
      <w:outlineLvl w:val="4"/>
    </w:pPr>
    <w:rPr>
      <w:b/>
      <w:bCs/>
      <w:sz w:val="22"/>
      <w:szCs w:val="22"/>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Symbol"/>
    </w:rPr>
  </w:style>
  <w:style w:type="character" w:styleId="WW8Num3z0" w:customStyle="1">
    <w:name w:val="WW8Num3z0"/>
    <w:qFormat/>
    <w:rPr>
      <w:rFonts w:ascii="Symbol" w:hAnsi="Symbol" w:cs="Symbol"/>
    </w:rPr>
  </w:style>
  <w:style w:type="character" w:styleId="WW8Num4z0" w:customStyle="1">
    <w:name w:val="WW8Num4z0"/>
    <w:qFormat/>
    <w:rPr>
      <w:rFonts w:ascii="Symbol" w:hAnsi="Symbol" w:cs="Symbol"/>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rFonts w:cs="Times New Roman"/>
    </w:rPr>
  </w:style>
  <w:style w:type="character" w:styleId="WW8Num7z0" w:customStyle="1">
    <w:name w:val="WW8Num7z0"/>
    <w:qFormat/>
    <w:rPr>
      <w:rFonts w:ascii="Wingdings" w:hAnsi="Wingdings" w:cs="Wingdings"/>
    </w:rPr>
  </w:style>
  <w:style w:type="character" w:styleId="WW8Num8z0" w:customStyle="1">
    <w:name w:val="WW8Num8z0"/>
    <w:qFormat/>
    <w:rPr>
      <w:rFonts w:ascii="Times New Roman" w:hAnsi="Times New Roman" w:cs="Times New Roman"/>
    </w:rPr>
  </w:style>
  <w:style w:type="character" w:styleId="WW8Num9z0" w:customStyle="1">
    <w:name w:val="WW8Num9z0"/>
    <w:qFormat/>
    <w:rPr>
      <w:rFonts w:ascii="Wingdings" w:hAnsi="Wingdings" w:cs="Wingdings"/>
    </w:rPr>
  </w:style>
  <w:style w:type="character" w:styleId="WW8Num10z0" w:customStyle="1">
    <w:name w:val="WW8Num10z0"/>
    <w:qFormat/>
    <w:rPr>
      <w:rFonts w:cs="Times New Roman"/>
    </w:rPr>
  </w:style>
  <w:style w:type="character" w:styleId="WW8Num11z0" w:customStyle="1">
    <w:name w:val="WW8Num11z0"/>
    <w:qFormat/>
    <w:rPr>
      <w:rFonts w:ascii="Times New Roman" w:hAnsi="Times New Roman" w:cs="Times New Roman"/>
      <w:b w:val="false"/>
      <w:bCs w:val="false"/>
      <w:i w:val="false"/>
      <w:iCs w:val="false"/>
      <w:caps w:val="false"/>
      <w:smallCaps w:val="false"/>
      <w:strike w:val="false"/>
      <w:dstrike w:val="false"/>
      <w:vanish w:val="false"/>
      <w:color w:val="000000"/>
      <w:spacing w:val="0"/>
      <w:kern w:val="2"/>
      <w:position w:val="0"/>
      <w:sz w:val="24"/>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1z1" w:customStyle="1">
    <w:name w:val="WW8Num11z1"/>
    <w:qFormat/>
    <w:rPr>
      <w:rFonts w:ascii="Times New Roman" w:hAnsi="Times New Roman" w:cs="Times New Roman"/>
      <w:b/>
      <w:i w:val="false"/>
      <w:spacing w:val="0"/>
      <w:w w:val="100"/>
      <w:position w:val="0"/>
      <w:sz w:val="28"/>
      <w:sz w:val="28"/>
      <w:szCs w:val="28"/>
      <w:vertAlign w:val="baseline"/>
    </w:rPr>
  </w:style>
  <w:style w:type="character" w:styleId="WW8Num11z2" w:customStyle="1">
    <w:name w:val="WW8Num11z2"/>
    <w:qFormat/>
    <w:rPr>
      <w:rFonts w:ascii="Times New Roman" w:hAnsi="Times New Roman" w:cs="Times New Roman"/>
      <w:b/>
      <w:i w:val="false"/>
      <w:color w:val="auto"/>
      <w:sz w:val="26"/>
    </w:rPr>
  </w:style>
  <w:style w:type="character" w:styleId="WW8Num11z3" w:customStyle="1">
    <w:name w:val="WW8Num11z3"/>
    <w:qFormat/>
    <w:rPr>
      <w:rFonts w:ascii="Times New Roman" w:hAnsi="Times New Roman" w:cs="Times New Roman"/>
      <w:b/>
      <w:i w:val="false"/>
      <w:color w:val="auto"/>
      <w:spacing w:val="0"/>
      <w:w w:val="100"/>
      <w:position w:val="0"/>
      <w:sz w:val="24"/>
      <w:sz w:val="24"/>
      <w:vertAlign w:val="baseline"/>
    </w:rPr>
  </w:style>
  <w:style w:type="character" w:styleId="WW8Num11z4" w:customStyle="1">
    <w:name w:val="WW8Num11z4"/>
    <w:qFormat/>
    <w:rPr>
      <w:rFonts w:cs="Times New Roman"/>
    </w:rPr>
  </w:style>
  <w:style w:type="character" w:styleId="WW8Num12z0" w:customStyle="1">
    <w:name w:val="WW8Num12z0"/>
    <w:qFormat/>
    <w:rPr>
      <w:rFonts w:ascii="Times New Roman" w:hAnsi="Times New Roman" w:cs="Times New Roman"/>
    </w:rPr>
  </w:style>
  <w:style w:type="character" w:styleId="WW8Num13z0" w:customStyle="1">
    <w:name w:val="WW8Num13z0"/>
    <w:qFormat/>
    <w:rPr>
      <w:rFonts w:eastAsia="Batang" w:cs="Times New Roman"/>
      <w:b/>
    </w:rPr>
  </w:style>
  <w:style w:type="character" w:styleId="WW8Num13z1" w:customStyle="1">
    <w:name w:val="WW8Num13z1"/>
    <w:qFormat/>
    <w:rPr>
      <w:rFonts w:ascii="Courier New" w:hAnsi="Courier New" w:eastAsia="Batang"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rFonts w:ascii="Wingdings" w:hAnsi="Wingdings" w:cs="Wingdings"/>
    </w:rPr>
  </w:style>
  <w:style w:type="character" w:styleId="WW8Num15z0" w:customStyle="1">
    <w:name w:val="WW8Num15z0"/>
    <w:qFormat/>
    <w:rPr>
      <w:rFonts w:ascii="Wingdings" w:hAnsi="Wingdings" w:cs="Wingdings"/>
      <w:spacing w:val="-2"/>
    </w:rPr>
  </w:style>
  <w:style w:type="character" w:styleId="WW8Num16z0" w:customStyle="1">
    <w:name w:val="WW8Num16z0"/>
    <w:qFormat/>
    <w:rPr>
      <w:rFonts w:cs="Times New Roman"/>
    </w:rPr>
  </w:style>
  <w:style w:type="character" w:styleId="WW8Num17z0" w:customStyle="1">
    <w:name w:val="WW8Num17z0"/>
    <w:qFormat/>
    <w:rPr>
      <w:rFonts w:ascii="Times New Roman" w:hAnsi="Times New Roman" w:cs="Times New Roman"/>
    </w:rPr>
  </w:style>
  <w:style w:type="character" w:styleId="WW8Num18z0" w:customStyle="1">
    <w:name w:val="WW8Num18z0"/>
    <w:qFormat/>
    <w:rPr>
      <w:rFonts w:ascii="Wingdings" w:hAnsi="Wingdings" w:cs="Wingdings"/>
    </w:rPr>
  </w:style>
  <w:style w:type="character" w:styleId="WW8Num19z0" w:customStyle="1">
    <w:name w:val="WW8Num19z0"/>
    <w:qFormat/>
    <w:rPr>
      <w:rFonts w:ascii="Symbol" w:hAnsi="Symbol" w:cs="Symbol"/>
      <w:sz w:val="20"/>
    </w:rPr>
  </w:style>
  <w:style w:type="character" w:styleId="WW8Num19z1" w:customStyle="1">
    <w:name w:val="WW8Num19z1"/>
    <w:qFormat/>
    <w:rPr>
      <w:rFonts w:ascii="Courier New" w:hAnsi="Courier New" w:cs="Courier New"/>
      <w:sz w:val="20"/>
    </w:rPr>
  </w:style>
  <w:style w:type="character" w:styleId="WW8Num19z2" w:customStyle="1">
    <w:name w:val="WW8Num19z2"/>
    <w:qFormat/>
    <w:rPr>
      <w:rFonts w:ascii="Wingdings" w:hAnsi="Wingdings" w:cs="Wingdings"/>
      <w:sz w:val="20"/>
    </w:rPr>
  </w:style>
  <w:style w:type="character" w:styleId="WW8Num20z0" w:customStyle="1">
    <w:name w:val="WW8Num20z0"/>
    <w:qFormat/>
    <w:rPr>
      <w:rFonts w:eastAsia="Calibri" w:cs="Times New Roman"/>
      <w:b w:val="false"/>
      <w:bCs w:val="false"/>
      <w:sz w:val="24"/>
      <w:szCs w:val="24"/>
      <w:lang w:eastAsia="en-US"/>
    </w:rPr>
  </w:style>
  <w:style w:type="character" w:styleId="WW8Num21z0" w:customStyle="1">
    <w:name w:val="WW8Num21z0"/>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3" w:customStyle="1">
    <w:name w:val="WW8Num21z3"/>
    <w:qFormat/>
    <w:rPr>
      <w:rFonts w:ascii="Symbol" w:hAnsi="Symbol" w:cs="Symbol"/>
    </w:rPr>
  </w:style>
  <w:style w:type="character" w:styleId="WW8Num22z0" w:customStyle="1">
    <w:name w:val="WW8Num22z0"/>
    <w:qFormat/>
    <w:rPr>
      <w:rFonts w:ascii="Wingdings" w:hAnsi="Wingdings" w:cs="Wingdings"/>
    </w:rPr>
  </w:style>
  <w:style w:type="character" w:styleId="WW8Num23z0" w:customStyle="1">
    <w:name w:val="WW8Num23z0"/>
    <w:qFormat/>
    <w:rPr>
      <w:rFonts w:ascii="Times New Roman" w:hAnsi="Times New Roman" w:cs="Times New Roman"/>
    </w:rPr>
  </w:style>
  <w:style w:type="character" w:styleId="WW8Num24z0" w:customStyle="1">
    <w:name w:val="WW8Num24z0"/>
    <w:qFormat/>
    <w:rPr>
      <w:rFonts w:cs="Times New Roman"/>
    </w:rPr>
  </w:style>
  <w:style w:type="character" w:styleId="WW8Num24z1" w:customStyle="1">
    <w:name w:val="WW8Num24z1"/>
    <w:qFormat/>
    <w:rPr>
      <w:rFonts w:ascii="Times New Roman" w:hAnsi="Times New Roman" w:cs="Times New Roman"/>
    </w:rPr>
  </w:style>
  <w:style w:type="character" w:styleId="WW8Num24z2" w:customStyle="1">
    <w:name w:val="WW8Num24z2"/>
    <w:qFormat/>
    <w:rPr>
      <w:rFonts w:ascii="Symbol" w:hAnsi="Symbol" w:cs="Symbol"/>
    </w:rPr>
  </w:style>
  <w:style w:type="character" w:styleId="WW8Num25z0" w:customStyle="1">
    <w:name w:val="WW8Num25z0"/>
    <w:qFormat/>
    <w:rPr>
      <w:rFonts w:ascii="Wingdings" w:hAnsi="Wingdings" w:cs="Wingdings"/>
    </w:rPr>
  </w:style>
  <w:style w:type="character" w:styleId="WW8Num26z0" w:customStyle="1">
    <w:name w:val="WW8Num26z0"/>
    <w:qFormat/>
    <w:rPr>
      <w:rFonts w:ascii="Times New Roman" w:hAnsi="Times New Roman" w:cs="Times New Roman"/>
      <w:spacing w:val="-1"/>
    </w:rPr>
  </w:style>
  <w:style w:type="character" w:styleId="WW8Num27z0" w:customStyle="1">
    <w:name w:val="WW8Num27z0"/>
    <w:qFormat/>
    <w:rPr>
      <w:rFonts w:ascii="Times New Roman" w:hAnsi="Times New Roman" w:cs="Times New Roman"/>
    </w:rPr>
  </w:style>
  <w:style w:type="character" w:styleId="WW8Num28z0" w:customStyle="1">
    <w:name w:val="WW8Num28z0"/>
    <w:qFormat/>
    <w:rPr>
      <w:rFonts w:ascii="Wingdings" w:hAnsi="Wingdings" w:cs="Wingdings"/>
    </w:rPr>
  </w:style>
  <w:style w:type="character" w:styleId="WW8Num29z0" w:customStyle="1">
    <w:name w:val="WW8Num29z0"/>
    <w:qFormat/>
    <w:rPr>
      <w:rFonts w:ascii="Times New Roman" w:hAnsi="Times New Roman" w:cs="Times New Roman"/>
    </w:rPr>
  </w:style>
  <w:style w:type="character" w:styleId="WW8Num30z0" w:customStyle="1">
    <w:name w:val="WW8Num30z0"/>
    <w:qFormat/>
    <w:rPr>
      <w:rFonts w:cs="Times New Roman"/>
    </w:rPr>
  </w:style>
  <w:style w:type="character" w:styleId="WW8Num31z0" w:customStyle="1">
    <w:name w:val="WW8Num31z0"/>
    <w:qFormat/>
    <w:rPr>
      <w:rFonts w:ascii="Wingdings" w:hAnsi="Wingdings" w:cs="Wingdings"/>
    </w:rPr>
  </w:style>
  <w:style w:type="character" w:styleId="WW8Num32z0" w:customStyle="1">
    <w:name w:val="WW8Num32z0"/>
    <w:qFormat/>
    <w:rPr>
      <w:rFonts w:cs="Times New Roman"/>
    </w:rPr>
  </w:style>
  <w:style w:type="character" w:styleId="WW8Num32z1" w:customStyle="1">
    <w:name w:val="WW8Num32z1"/>
    <w:qFormat/>
    <w:rPr>
      <w:rFonts w:ascii="Times New Roman" w:hAnsi="Times New Roman" w:cs="Times New Roman"/>
      <w:b/>
      <w:bCs/>
      <w:i w:val="false"/>
      <w:iCs w:val="false"/>
      <w:spacing w:val="0"/>
      <w:w w:val="100"/>
      <w:position w:val="0"/>
      <w:sz w:val="28"/>
      <w:sz w:val="28"/>
      <w:szCs w:val="28"/>
      <w:vertAlign w:val="baseline"/>
    </w:rPr>
  </w:style>
  <w:style w:type="character" w:styleId="WW8Num32z2" w:customStyle="1">
    <w:name w:val="WW8Num32z2"/>
    <w:qFormat/>
    <w:rPr>
      <w:rFonts w:ascii="Times New Roman" w:hAnsi="Times New Roman" w:cs="Times New Roman"/>
      <w:b/>
      <w:bCs/>
      <w:i w:val="false"/>
      <w:iCs w:val="false"/>
      <w:color w:val="auto"/>
      <w:sz w:val="26"/>
      <w:szCs w:val="26"/>
    </w:rPr>
  </w:style>
  <w:style w:type="character" w:styleId="WW8Num32z3" w:customStyle="1">
    <w:name w:val="WW8Num32z3"/>
    <w:qFormat/>
    <w:rPr>
      <w:rFonts w:ascii="Times New Roman" w:hAnsi="Times New Roman" w:cs="Times New Roman"/>
      <w:b/>
      <w:bCs/>
      <w:i w:val="false"/>
      <w:iCs w:val="false"/>
      <w:color w:val="auto"/>
      <w:spacing w:val="0"/>
      <w:w w:val="100"/>
      <w:position w:val="0"/>
      <w:sz w:val="24"/>
      <w:sz w:val="24"/>
      <w:szCs w:val="24"/>
      <w:vertAlign w:val="baseline"/>
    </w:rPr>
  </w:style>
  <w:style w:type="character" w:styleId="WW8Num33z0" w:customStyle="1">
    <w:name w:val="WW8Num33z0"/>
    <w:qFormat/>
    <w:rPr>
      <w:rFonts w:ascii="Wingdings" w:hAnsi="Wingdings" w:cs="Wingdings"/>
    </w:rPr>
  </w:style>
  <w:style w:type="character" w:styleId="WW8Num34z0" w:customStyle="1">
    <w:name w:val="WW8Num34z0"/>
    <w:qFormat/>
    <w:rPr>
      <w:rFonts w:ascii="Times New Roman" w:hAnsi="Times New Roman" w:cs="Times New Roman"/>
    </w:rPr>
  </w:style>
  <w:style w:type="character" w:styleId="WW8Num34z2" w:customStyle="1">
    <w:name w:val="WW8Num34z2"/>
    <w:qFormat/>
    <w:rPr>
      <w:rFonts w:ascii="Symbol" w:hAnsi="Symbol" w:cs="Symbol"/>
    </w:rPr>
  </w:style>
  <w:style w:type="character" w:styleId="WW8Num35z0" w:customStyle="1">
    <w:name w:val="WW8Num35z0"/>
    <w:qFormat/>
    <w:rPr>
      <w:rFonts w:cs="Times New Roman"/>
    </w:rPr>
  </w:style>
  <w:style w:type="character" w:styleId="WW8Num36z0" w:customStyle="1">
    <w:name w:val="WW8Num36z0"/>
    <w:qFormat/>
    <w:rPr>
      <w:rFonts w:ascii="Wingdings" w:hAnsi="Wingdings" w:cs="Wingdings"/>
      <w:sz w:val="22"/>
      <w:szCs w:val="22"/>
      <w:lang w:val="ru-RU" w:eastAsia="ru-RU"/>
    </w:rPr>
  </w:style>
  <w:style w:type="character" w:styleId="WW8Num37z0" w:customStyle="1">
    <w:name w:val="WW8Num37z0"/>
    <w:qFormat/>
    <w:rPr>
      <w:rFonts w:ascii="Wingdings" w:hAnsi="Wingdings" w:cs="Wingdings"/>
    </w:rPr>
  </w:style>
  <w:style w:type="character" w:styleId="WW8Num38z0" w:customStyle="1">
    <w:name w:val="WW8Num38z0"/>
    <w:qFormat/>
    <w:rPr>
      <w:rFonts w:ascii="Wingdings" w:hAnsi="Wingdings" w:eastAsia="Symbol" w:cs="Wingdings"/>
      <w:lang w:eastAsia="en-US"/>
    </w:rPr>
  </w:style>
  <w:style w:type="character" w:styleId="WW8Num38z1" w:customStyle="1">
    <w:name w:val="WW8Num38z1"/>
    <w:qFormat/>
    <w:rPr>
      <w:rFonts w:ascii="Symbol" w:hAnsi="Symbol" w:eastAsia="Batang" w:cs="Symbol"/>
    </w:rPr>
  </w:style>
  <w:style w:type="character" w:styleId="WW8Num38z3" w:customStyle="1">
    <w:name w:val="WW8Num38z3"/>
    <w:qFormat/>
    <w:rPr>
      <w:rFonts w:ascii="Times New Roman" w:hAnsi="Times New Roman" w:cs="Times New Roman"/>
    </w:rPr>
  </w:style>
  <w:style w:type="character" w:styleId="WW8Num39z0" w:customStyle="1">
    <w:name w:val="WW8Num39z0"/>
    <w:qFormat/>
    <w:rPr>
      <w:rFonts w:ascii="Wingdings" w:hAnsi="Wingdings" w:cs="Wingdings"/>
    </w:rPr>
  </w:style>
  <w:style w:type="character" w:styleId="WW8Num40z0" w:customStyle="1">
    <w:name w:val="WW8Num40z0"/>
    <w:qFormat/>
    <w:rPr>
      <w:rFonts w:ascii="Wingdings" w:hAnsi="Wingdings" w:cs="Wingdings"/>
    </w:rPr>
  </w:style>
  <w:style w:type="character" w:styleId="WW8Num41z0" w:customStyle="1">
    <w:name w:val="WW8Num41z0"/>
    <w:qFormat/>
    <w:rPr>
      <w:rFonts w:ascii="Symbol" w:hAnsi="Symbol" w:cs="Symbol"/>
      <w:sz w:val="20"/>
    </w:rPr>
  </w:style>
  <w:style w:type="character" w:styleId="WW8Num41z1" w:customStyle="1">
    <w:name w:val="WW8Num41z1"/>
    <w:qFormat/>
    <w:rPr>
      <w:rFonts w:ascii="Courier New" w:hAnsi="Courier New" w:cs="Courier New"/>
      <w:sz w:val="20"/>
    </w:rPr>
  </w:style>
  <w:style w:type="character" w:styleId="WW8Num41z2" w:customStyle="1">
    <w:name w:val="WW8Num41z2"/>
    <w:qFormat/>
    <w:rPr>
      <w:rFonts w:ascii="Wingdings" w:hAnsi="Wingdings" w:cs="Wingdings"/>
      <w:sz w:val="20"/>
    </w:rPr>
  </w:style>
  <w:style w:type="character" w:styleId="WW8Num42z0" w:customStyle="1">
    <w:name w:val="WW8Num42z0"/>
    <w:qFormat/>
    <w:rPr>
      <w:rFonts w:ascii="Times New Roman" w:hAnsi="Times New Roman" w:cs="Times New Roman"/>
      <w:spacing w:val="-15"/>
    </w:rPr>
  </w:style>
  <w:style w:type="character" w:styleId="WW8Num43z0" w:customStyle="1">
    <w:name w:val="WW8Num43z0"/>
    <w:qFormat/>
    <w:rPr>
      <w:b w:val="false"/>
    </w:rPr>
  </w:style>
  <w:style w:type="character" w:styleId="WW8Num43z1" w:customStyle="1">
    <w:name w:val="WW8Num43z1"/>
    <w:qFormat/>
    <w:rPr/>
  </w:style>
  <w:style w:type="character" w:styleId="WW8Num43z2" w:customStyle="1">
    <w:name w:val="WW8Num43z2"/>
    <w:qFormat/>
    <w:rPr/>
  </w:style>
  <w:style w:type="character" w:styleId="WW8Num43z3" w:customStyle="1">
    <w:name w:val="WW8Num43z3"/>
    <w:qFormat/>
    <w:rPr/>
  </w:style>
  <w:style w:type="character" w:styleId="WW8Num43z4" w:customStyle="1">
    <w:name w:val="WW8Num43z4"/>
    <w:qFormat/>
    <w:rPr/>
  </w:style>
  <w:style w:type="character" w:styleId="WW8Num43z5" w:customStyle="1">
    <w:name w:val="WW8Num43z5"/>
    <w:qFormat/>
    <w:rPr/>
  </w:style>
  <w:style w:type="character" w:styleId="WW8Num43z6" w:customStyle="1">
    <w:name w:val="WW8Num43z6"/>
    <w:qFormat/>
    <w:rPr/>
  </w:style>
  <w:style w:type="character" w:styleId="WW8Num43z7" w:customStyle="1">
    <w:name w:val="WW8Num43z7"/>
    <w:qFormat/>
    <w:rPr/>
  </w:style>
  <w:style w:type="character" w:styleId="WW8Num43z8" w:customStyle="1">
    <w:name w:val="WW8Num43z8"/>
    <w:qFormat/>
    <w:rPr/>
  </w:style>
  <w:style w:type="character" w:styleId="4" w:customStyle="1">
    <w:name w:val="Основной шрифт абзаца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7z1" w:customStyle="1">
    <w:name w:val="WW8Num7z1"/>
    <w:qFormat/>
    <w:rPr>
      <w:rFonts w:ascii="Wingdings 2" w:hAnsi="Wingdings 2" w:cs="Wingdings 2"/>
    </w:rPr>
  </w:style>
  <w:style w:type="character" w:styleId="WW8Num7z2" w:customStyle="1">
    <w:name w:val="WW8Num7z2"/>
    <w:qFormat/>
    <w:rPr>
      <w:rFonts w:ascii="StarSymbol" w:hAnsi="StarSymbol" w:eastAsia="StarSymbol" w:cs="StarSymbol"/>
    </w:rPr>
  </w:style>
  <w:style w:type="character" w:styleId="WW8Num14z1" w:customStyle="1">
    <w:name w:val="WW8Num14z1"/>
    <w:qFormat/>
    <w:rPr>
      <w:rFonts w:cs="Times New Roman"/>
    </w:rPr>
  </w:style>
  <w:style w:type="character" w:styleId="WW8Num15z1" w:customStyle="1">
    <w:name w:val="WW8Num15z1"/>
    <w:qFormat/>
    <w:rPr>
      <w:rFonts w:ascii="Courier New" w:hAnsi="Courier New" w:cs="Courier New"/>
    </w:rPr>
  </w:style>
  <w:style w:type="character" w:styleId="WW8Num15z3" w:customStyle="1">
    <w:name w:val="WW8Num15z3"/>
    <w:qFormat/>
    <w:rPr>
      <w:rFonts w:ascii="Symbol" w:hAnsi="Symbol" w:cs="Symbol"/>
    </w:rPr>
  </w:style>
  <w:style w:type="character" w:styleId="WW8Num16z1" w:customStyle="1">
    <w:name w:val="WW8Num16z1"/>
    <w:qFormat/>
    <w:rPr>
      <w:rFonts w:ascii="Times New Roman" w:hAnsi="Times New Roman" w:cs="Times New Roman"/>
      <w:b/>
      <w:i w:val="false"/>
      <w:spacing w:val="0"/>
      <w:w w:val="100"/>
      <w:position w:val="0"/>
      <w:sz w:val="28"/>
      <w:sz w:val="28"/>
      <w:szCs w:val="28"/>
      <w:vertAlign w:val="baseline"/>
    </w:rPr>
  </w:style>
  <w:style w:type="character" w:styleId="WW8Num16z2" w:customStyle="1">
    <w:name w:val="WW8Num16z2"/>
    <w:qFormat/>
    <w:rPr>
      <w:rFonts w:ascii="Times New Roman" w:hAnsi="Times New Roman" w:cs="Times New Roman"/>
      <w:b/>
      <w:i w:val="false"/>
      <w:color w:val="auto"/>
      <w:sz w:val="26"/>
    </w:rPr>
  </w:style>
  <w:style w:type="character" w:styleId="WW8Num16z3" w:customStyle="1">
    <w:name w:val="WW8Num16z3"/>
    <w:qFormat/>
    <w:rPr>
      <w:rFonts w:ascii="Times New Roman" w:hAnsi="Times New Roman" w:cs="Times New Roman"/>
      <w:b/>
      <w:i w:val="false"/>
      <w:color w:val="auto"/>
      <w:spacing w:val="0"/>
      <w:w w:val="100"/>
      <w:position w:val="0"/>
      <w:sz w:val="24"/>
      <w:sz w:val="24"/>
      <w:vertAlign w:val="baseline"/>
    </w:rPr>
  </w:style>
  <w:style w:type="character" w:styleId="WW8Num16z4" w:customStyle="1">
    <w:name w:val="WW8Num16z4"/>
    <w:qFormat/>
    <w:rPr>
      <w:rFonts w:cs="Times New Roman"/>
    </w:rPr>
  </w:style>
  <w:style w:type="character" w:styleId="WW8Num17z1" w:customStyle="1">
    <w:name w:val="WW8Num17z1"/>
    <w:qFormat/>
    <w:rPr>
      <w:rFonts w:ascii="Courier New" w:hAnsi="Courier New" w:cs="Courier New"/>
    </w:rPr>
  </w:style>
  <w:style w:type="character" w:styleId="WW8Num17z3" w:customStyle="1">
    <w:name w:val="WW8Num17z3"/>
    <w:qFormat/>
    <w:rPr>
      <w:rFonts w:ascii="Symbol" w:hAnsi="Symbol" w:cs="Symbol"/>
    </w:rPr>
  </w:style>
  <w:style w:type="character" w:styleId="WW8Num19z3" w:customStyle="1">
    <w:name w:val="WW8Num19z3"/>
    <w:qFormat/>
    <w:rPr>
      <w:rFonts w:ascii="Symbol" w:hAnsi="Symbol" w:cs="Symbol"/>
    </w:rPr>
  </w:style>
  <w:style w:type="character" w:styleId="WW8Num20z1" w:customStyle="1">
    <w:name w:val="WW8Num20z1"/>
    <w:qFormat/>
    <w:rPr>
      <w:rFonts w:ascii="Courier New" w:hAnsi="Courier New" w:cs="Courier New"/>
    </w:rPr>
  </w:style>
  <w:style w:type="character" w:styleId="WW8Num20z3" w:customStyle="1">
    <w:name w:val="WW8Num20z3"/>
    <w:qFormat/>
    <w:rPr>
      <w:rFonts w:ascii="Symbol" w:hAnsi="Symbol" w:cs="Symbol"/>
    </w:rPr>
  </w:style>
  <w:style w:type="character" w:styleId="WW8Num22z1" w:customStyle="1">
    <w:name w:val="WW8Num22z1"/>
    <w:qFormat/>
    <w:rPr>
      <w:rFonts w:ascii="Courier New" w:hAnsi="Courier New" w:cs="Courier New"/>
    </w:rPr>
  </w:style>
  <w:style w:type="character" w:styleId="WW8Num22z3" w:customStyle="1">
    <w:name w:val="WW8Num22z3"/>
    <w:qFormat/>
    <w:rPr>
      <w:rFonts w:ascii="Symbol" w:hAnsi="Symbol" w:cs="Symbol"/>
    </w:rPr>
  </w:style>
  <w:style w:type="character" w:styleId="WW8Num25z1" w:customStyle="1">
    <w:name w:val="WW8Num25z1"/>
    <w:qFormat/>
    <w:rPr>
      <w:rFonts w:ascii="Courier New" w:hAnsi="Courier New" w:cs="Courier New"/>
    </w:rPr>
  </w:style>
  <w:style w:type="character" w:styleId="WW8Num25z3" w:customStyle="1">
    <w:name w:val="WW8Num25z3"/>
    <w:qFormat/>
    <w:rPr>
      <w:rFonts w:ascii="Symbol" w:hAnsi="Symbol" w:cs="Symbol"/>
    </w:rPr>
  </w:style>
  <w:style w:type="character" w:styleId="WW8Num26z1" w:customStyle="1">
    <w:name w:val="WW8Num26z1"/>
    <w:qFormat/>
    <w:rPr>
      <w:rFonts w:ascii="Courier New" w:hAnsi="Courier New" w:cs="Courier New"/>
      <w:sz w:val="20"/>
    </w:rPr>
  </w:style>
  <w:style w:type="character" w:styleId="WW8Num26z2" w:customStyle="1">
    <w:name w:val="WW8Num26z2"/>
    <w:qFormat/>
    <w:rPr>
      <w:rFonts w:ascii="Wingdings" w:hAnsi="Wingdings" w:cs="Wingdings"/>
      <w:sz w:val="20"/>
    </w:rPr>
  </w:style>
  <w:style w:type="character" w:styleId="WW8Num27z1" w:customStyle="1">
    <w:name w:val="WW8Num27z1"/>
    <w:qFormat/>
    <w:rPr>
      <w:rFonts w:cs="Times New Roman"/>
    </w:rPr>
  </w:style>
  <w:style w:type="character" w:styleId="WW8Num28z1" w:customStyle="1">
    <w:name w:val="WW8Num28z1"/>
    <w:qFormat/>
    <w:rPr>
      <w:rFonts w:ascii="Courier New" w:hAnsi="Courier New" w:cs="Courier New"/>
    </w:rPr>
  </w:style>
  <w:style w:type="character" w:styleId="WW8Num28z3" w:customStyle="1">
    <w:name w:val="WW8Num28z3"/>
    <w:qFormat/>
    <w:rPr>
      <w:rFonts w:ascii="Symbol" w:hAnsi="Symbol" w:cs="Symbol"/>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1z1" w:customStyle="1">
    <w:name w:val="WW8Num31z1"/>
    <w:qFormat/>
    <w:rPr>
      <w:rFonts w:ascii="Times New Roman" w:hAnsi="Times New Roman" w:cs="Times New Roman"/>
    </w:rPr>
  </w:style>
  <w:style w:type="character" w:styleId="WW8Num31z2" w:customStyle="1">
    <w:name w:val="WW8Num31z2"/>
    <w:qFormat/>
    <w:rPr>
      <w:rFonts w:ascii="Symbol" w:hAnsi="Symbol" w:cs="Symbol"/>
    </w:rPr>
  </w:style>
  <w:style w:type="character" w:styleId="WW8Num35z1" w:customStyle="1">
    <w:name w:val="WW8Num35z1"/>
    <w:qFormat/>
    <w:rPr>
      <w:rFonts w:ascii="Courier New" w:hAnsi="Courier New" w:cs="Courier New"/>
    </w:rPr>
  </w:style>
  <w:style w:type="character" w:styleId="WW8Num35z3" w:customStyle="1">
    <w:name w:val="WW8Num35z3"/>
    <w:qFormat/>
    <w:rPr>
      <w:rFonts w:ascii="Symbol" w:hAnsi="Symbol" w:cs="Symbol"/>
    </w:rPr>
  </w:style>
  <w:style w:type="character" w:styleId="WW8Num36z1" w:customStyle="1">
    <w:name w:val="WW8Num36z1"/>
    <w:qFormat/>
    <w:rPr>
      <w:rFonts w:ascii="Times New Roman" w:hAnsi="Times New Roman" w:eastAsia="Times New Roman" w:cs="Times New Roman"/>
    </w:rPr>
  </w:style>
  <w:style w:type="character" w:styleId="WW8Num36z2" w:customStyle="1">
    <w:name w:val="WW8Num36z2"/>
    <w:qFormat/>
    <w:rPr>
      <w:rFonts w:ascii="Times New Roman" w:hAnsi="Times New Roman" w:eastAsia="Times New Roman" w:cs="Times New Roman"/>
    </w:rPr>
  </w:style>
  <w:style w:type="character" w:styleId="WW8Num36z3" w:customStyle="1">
    <w:name w:val="WW8Num36z3"/>
    <w:qFormat/>
    <w:rPr>
      <w:rFonts w:ascii="Symbol" w:hAnsi="Symbol" w:cs="Symbol"/>
    </w:rPr>
  </w:style>
  <w:style w:type="character" w:styleId="WW8Num36z4" w:customStyle="1">
    <w:name w:val="WW8Num36z4"/>
    <w:qFormat/>
    <w:rPr>
      <w:rFonts w:cs="Times New Roman"/>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1" w:customStyle="1">
    <w:name w:val="WW8Num40z1"/>
    <w:qFormat/>
    <w:rPr>
      <w:rFonts w:ascii="Times New Roman" w:hAnsi="Times New Roman" w:cs="Times New Roman"/>
      <w:b/>
      <w:bCs/>
      <w:i w:val="false"/>
      <w:iCs w:val="false"/>
      <w:spacing w:val="0"/>
      <w:w w:val="100"/>
      <w:position w:val="0"/>
      <w:sz w:val="28"/>
      <w:sz w:val="28"/>
      <w:szCs w:val="28"/>
      <w:vertAlign w:val="baseline"/>
    </w:rPr>
  </w:style>
  <w:style w:type="character" w:styleId="WW8Num40z2" w:customStyle="1">
    <w:name w:val="WW8Num40z2"/>
    <w:qFormat/>
    <w:rPr>
      <w:rFonts w:ascii="Times New Roman" w:hAnsi="Times New Roman" w:cs="Times New Roman"/>
      <w:b/>
      <w:bCs/>
      <w:i w:val="false"/>
      <w:iCs w:val="false"/>
      <w:color w:val="auto"/>
      <w:sz w:val="26"/>
      <w:szCs w:val="26"/>
    </w:rPr>
  </w:style>
  <w:style w:type="character" w:styleId="WW8Num40z3" w:customStyle="1">
    <w:name w:val="WW8Num40z3"/>
    <w:qFormat/>
    <w:rPr>
      <w:rFonts w:ascii="Times New Roman" w:hAnsi="Times New Roman" w:cs="Times New Roman"/>
      <w:b/>
      <w:bCs/>
      <w:i w:val="false"/>
      <w:iCs w:val="false"/>
      <w:color w:val="auto"/>
      <w:spacing w:val="0"/>
      <w:w w:val="100"/>
      <w:position w:val="0"/>
      <w:sz w:val="24"/>
      <w:sz w:val="24"/>
      <w:szCs w:val="24"/>
      <w:vertAlign w:val="baseline"/>
    </w:rPr>
  </w:style>
  <w:style w:type="character" w:styleId="WW8Num41z3" w:customStyle="1">
    <w:name w:val="WW8Num41z3"/>
    <w:qFormat/>
    <w:rPr>
      <w:rFonts w:ascii="Symbol" w:hAnsi="Symbol" w:cs="Symbol"/>
    </w:rPr>
  </w:style>
  <w:style w:type="character" w:styleId="WW8Num42z2" w:customStyle="1">
    <w:name w:val="WW8Num42z2"/>
    <w:qFormat/>
    <w:rPr>
      <w:rFonts w:ascii="Symbol" w:hAnsi="Symbol" w:cs="Symbol"/>
    </w:rPr>
  </w:style>
  <w:style w:type="character" w:styleId="WW8Num44z0" w:customStyle="1">
    <w:name w:val="WW8Num44z0"/>
    <w:qFormat/>
    <w:rPr>
      <w:rFonts w:ascii="Wingdings" w:hAnsi="Wingdings" w:cs="Wingdings"/>
      <w:sz w:val="22"/>
      <w:szCs w:val="22"/>
      <w:lang w:val="ru-RU"/>
    </w:rPr>
  </w:style>
  <w:style w:type="character" w:styleId="WW8Num44z1" w:customStyle="1">
    <w:name w:val="WW8Num44z1"/>
    <w:qFormat/>
    <w:rPr>
      <w:rFonts w:ascii="Courier New" w:hAnsi="Courier New" w:cs="Courier New"/>
    </w:rPr>
  </w:style>
  <w:style w:type="character" w:styleId="WW8Num44z3" w:customStyle="1">
    <w:name w:val="WW8Num44z3"/>
    <w:qFormat/>
    <w:rPr>
      <w:rFonts w:ascii="Symbol" w:hAnsi="Symbol" w:cs="Symbol"/>
    </w:rPr>
  </w:style>
  <w:style w:type="character" w:styleId="WW8Num45z0" w:customStyle="1">
    <w:name w:val="WW8Num45z0"/>
    <w:qFormat/>
    <w:rPr>
      <w:rFonts w:ascii="Wingdings" w:hAnsi="Wingdings" w:cs="Wingdings"/>
    </w:rPr>
  </w:style>
  <w:style w:type="character" w:styleId="WW8Num45z1" w:customStyle="1">
    <w:name w:val="WW8Num45z1"/>
    <w:qFormat/>
    <w:rPr>
      <w:rFonts w:ascii="Courier New" w:hAnsi="Courier New" w:cs="Courier New"/>
    </w:rPr>
  </w:style>
  <w:style w:type="character" w:styleId="WW8Num45z3" w:customStyle="1">
    <w:name w:val="WW8Num45z3"/>
    <w:qFormat/>
    <w:rPr>
      <w:rFonts w:ascii="Symbol" w:hAnsi="Symbol" w:cs="Symbol"/>
    </w:rPr>
  </w:style>
  <w:style w:type="character" w:styleId="WW8Num46z0" w:customStyle="1">
    <w:name w:val="WW8Num46z0"/>
    <w:qFormat/>
    <w:rPr>
      <w:rFonts w:ascii="Wingdings" w:hAnsi="Wingdings" w:eastAsia="Symbol" w:cs="Wingdings"/>
    </w:rPr>
  </w:style>
  <w:style w:type="character" w:styleId="WW8Num46z1" w:customStyle="1">
    <w:name w:val="WW8Num46z1"/>
    <w:qFormat/>
    <w:rPr>
      <w:rFonts w:ascii="Symbol" w:hAnsi="Symbol" w:eastAsia="Batang" w:cs="Symbol"/>
    </w:rPr>
  </w:style>
  <w:style w:type="character" w:styleId="WW8Num46z3" w:customStyle="1">
    <w:name w:val="WW8Num46z3"/>
    <w:qFormat/>
    <w:rPr>
      <w:rFonts w:ascii="Times New Roman" w:hAnsi="Times New Roman" w:cs="Times New Roman"/>
    </w:rPr>
  </w:style>
  <w:style w:type="character" w:styleId="WW8Num47z0" w:customStyle="1">
    <w:name w:val="WW8Num47z0"/>
    <w:qFormat/>
    <w:rPr>
      <w:rFonts w:ascii="Wingdings" w:hAnsi="Wingdings" w:cs="Wingdings"/>
    </w:rPr>
  </w:style>
  <w:style w:type="character" w:styleId="WW8Num47z1" w:customStyle="1">
    <w:name w:val="WW8Num47z1"/>
    <w:qFormat/>
    <w:rPr>
      <w:rFonts w:ascii="Courier New" w:hAnsi="Courier New" w:cs="Courier New"/>
    </w:rPr>
  </w:style>
  <w:style w:type="character" w:styleId="WW8Num47z3" w:customStyle="1">
    <w:name w:val="WW8Num47z3"/>
    <w:qFormat/>
    <w:rPr>
      <w:rFonts w:ascii="Symbol" w:hAnsi="Symbol" w:cs="Symbol"/>
    </w:rPr>
  </w:style>
  <w:style w:type="character" w:styleId="WW8Num48z0" w:customStyle="1">
    <w:name w:val="WW8Num48z0"/>
    <w:qFormat/>
    <w:rPr>
      <w:rFonts w:ascii="Wingdings" w:hAnsi="Wingdings" w:cs="Wingdings"/>
    </w:rPr>
  </w:style>
  <w:style w:type="character" w:styleId="WW8Num48z1" w:customStyle="1">
    <w:name w:val="WW8Num48z1"/>
    <w:qFormat/>
    <w:rPr>
      <w:rFonts w:ascii="Courier New" w:hAnsi="Courier New" w:cs="Courier New"/>
    </w:rPr>
  </w:style>
  <w:style w:type="character" w:styleId="WW8Num48z3" w:customStyle="1">
    <w:name w:val="WW8Num48z3"/>
    <w:qFormat/>
    <w:rPr>
      <w:rFonts w:ascii="Symbol" w:hAnsi="Symbol" w:cs="Symbol"/>
    </w:rPr>
  </w:style>
  <w:style w:type="character" w:styleId="WW8Num49z0" w:customStyle="1">
    <w:name w:val="WW8Num49z0"/>
    <w:qFormat/>
    <w:rPr>
      <w:rFonts w:ascii="Symbol" w:hAnsi="Symbol" w:cs="Symbol"/>
      <w:sz w:val="20"/>
    </w:rPr>
  </w:style>
  <w:style w:type="character" w:styleId="WW8Num49z1" w:customStyle="1">
    <w:name w:val="WW8Num49z1"/>
    <w:qFormat/>
    <w:rPr>
      <w:rFonts w:ascii="Courier New" w:hAnsi="Courier New" w:cs="Courier New"/>
      <w:sz w:val="20"/>
    </w:rPr>
  </w:style>
  <w:style w:type="character" w:styleId="WW8Num49z2" w:customStyle="1">
    <w:name w:val="WW8Num49z2"/>
    <w:qFormat/>
    <w:rPr>
      <w:rFonts w:ascii="Wingdings" w:hAnsi="Wingdings" w:cs="Wingdings"/>
      <w:sz w:val="20"/>
    </w:rPr>
  </w:style>
  <w:style w:type="character" w:styleId="WW8NumSt40z0" w:customStyle="1">
    <w:name w:val="WW8NumSt40z0"/>
    <w:qFormat/>
    <w:rPr>
      <w:rFonts w:ascii="Times New Roman" w:hAnsi="Times New Roman" w:cs="Times New Roman"/>
      <w:spacing w:val="-15"/>
    </w:rPr>
  </w:style>
  <w:style w:type="character" w:styleId="WW8NumSt43z0" w:customStyle="1">
    <w:name w:val="WW8NumSt43z0"/>
    <w:qFormat/>
    <w:rPr>
      <w:rFonts w:ascii="Times New Roman" w:hAnsi="Times New Roman" w:cs="Times New Roman"/>
    </w:rPr>
  </w:style>
  <w:style w:type="character" w:styleId="3" w:customStyle="1">
    <w:name w:val="Основной шрифт абзаца3"/>
    <w:qFormat/>
    <w:rPr/>
  </w:style>
  <w:style w:type="character" w:styleId="1" w:customStyle="1">
    <w:name w:val="Заголовок 1 Знак"/>
    <w:qFormat/>
    <w:rPr>
      <w:rFonts w:cs="Times New Roman"/>
      <w:b/>
      <w:bCs/>
      <w:caps/>
      <w:kern w:val="2"/>
      <w:sz w:val="28"/>
      <w:szCs w:val="28"/>
    </w:rPr>
  </w:style>
  <w:style w:type="character" w:styleId="2" w:customStyle="1">
    <w:name w:val="Заголовок 2 Знак"/>
    <w:qFormat/>
    <w:rPr>
      <w:rFonts w:cs="Times New Roman"/>
      <w:b/>
      <w:bCs/>
      <w:sz w:val="28"/>
      <w:szCs w:val="28"/>
    </w:rPr>
  </w:style>
  <w:style w:type="character" w:styleId="31" w:customStyle="1">
    <w:name w:val="Заголовок 3 Знак"/>
    <w:qFormat/>
    <w:rPr>
      <w:rFonts w:cs="Times New Roman"/>
      <w:b/>
      <w:bCs/>
      <w:sz w:val="26"/>
      <w:szCs w:val="26"/>
    </w:rPr>
  </w:style>
  <w:style w:type="character" w:styleId="41" w:customStyle="1">
    <w:name w:val="Заголовок 4 Знак"/>
    <w:qFormat/>
    <w:rPr>
      <w:rFonts w:cs="Times New Roman"/>
      <w:b/>
      <w:bCs/>
      <w:sz w:val="24"/>
      <w:szCs w:val="24"/>
    </w:rPr>
  </w:style>
  <w:style w:type="character" w:styleId="5" w:customStyle="1">
    <w:name w:val="Заголовок 5 Знак"/>
    <w:uiPriority w:val="9"/>
    <w:qFormat/>
    <w:rPr>
      <w:rFonts w:cs="Times New Roman"/>
      <w:b/>
      <w:bCs/>
      <w:sz w:val="22"/>
      <w:szCs w:val="22"/>
    </w:rPr>
  </w:style>
  <w:style w:type="character" w:styleId="6" w:customStyle="1">
    <w:name w:val="Заголовок 6 Знак"/>
    <w:qFormat/>
    <w:rPr>
      <w:rFonts w:cs="Times New Roman"/>
      <w:b/>
      <w:bCs/>
      <w:sz w:val="22"/>
      <w:szCs w:val="22"/>
    </w:rPr>
  </w:style>
  <w:style w:type="character" w:styleId="7" w:customStyle="1">
    <w:name w:val="Заголовок 7 Знак"/>
    <w:qFormat/>
    <w:rPr>
      <w:rFonts w:cs="Times New Roman"/>
      <w:sz w:val="24"/>
      <w:szCs w:val="24"/>
    </w:rPr>
  </w:style>
  <w:style w:type="character" w:styleId="8" w:customStyle="1">
    <w:name w:val="Заголовок 8 Знак"/>
    <w:qFormat/>
    <w:rPr>
      <w:rFonts w:cs="Times New Roman"/>
      <w:i/>
      <w:iCs/>
      <w:sz w:val="24"/>
      <w:szCs w:val="24"/>
    </w:rPr>
  </w:style>
  <w:style w:type="character" w:styleId="9" w:customStyle="1">
    <w:name w:val="Заголовок 9 Знак"/>
    <w:qFormat/>
    <w:rPr>
      <w:rFonts w:ascii="Arial" w:hAnsi="Arial" w:cs="Arial"/>
      <w:sz w:val="22"/>
      <w:szCs w:val="22"/>
    </w:rPr>
  </w:style>
  <w:style w:type="character" w:styleId="Style5" w:customStyle="1">
    <w:name w:val="Абзац Знак"/>
    <w:qFormat/>
    <w:rPr>
      <w:sz w:val="24"/>
      <w:szCs w:val="24"/>
      <w:lang w:val="ru-RU" w:bidi="ar-SA"/>
    </w:rPr>
  </w:style>
  <w:style w:type="character" w:styleId="Style6" w:customStyle="1">
    <w:name w:val="Список Знак"/>
    <w:qFormat/>
    <w:rPr>
      <w:sz w:val="24"/>
      <w:szCs w:val="24"/>
    </w:rPr>
  </w:style>
  <w:style w:type="character" w:styleId="Style7" w:customStyle="1">
    <w:name w:val="Верхний колонтитул Знак"/>
    <w:qFormat/>
    <w:rPr>
      <w:rFonts w:cs="Times New Roman"/>
      <w:color w:val="808080"/>
    </w:rPr>
  </w:style>
  <w:style w:type="character" w:styleId="Style8" w:customStyle="1">
    <w:name w:val="Текст выноски Знак"/>
    <w:uiPriority w:val="99"/>
    <w:qFormat/>
    <w:rPr>
      <w:rFonts w:ascii="Tahoma" w:hAnsi="Tahoma" w:cs="Tahoma"/>
      <w:sz w:val="16"/>
      <w:szCs w:val="16"/>
    </w:rPr>
  </w:style>
  <w:style w:type="character" w:styleId="51" w:customStyle="1">
    <w:name w:val="Пункт 5 Знак"/>
    <w:qFormat/>
    <w:rPr>
      <w:rFonts w:cs="Times New Roman"/>
      <w:sz w:val="24"/>
      <w:szCs w:val="24"/>
    </w:rPr>
  </w:style>
  <w:style w:type="character" w:styleId="Style9" w:customStyle="1">
    <w:name w:val="Оглавление Знак"/>
    <w:qFormat/>
    <w:rPr>
      <w:b/>
      <w:bCs/>
      <w:caps/>
      <w:sz w:val="28"/>
      <w:szCs w:val="28"/>
      <w:lang w:val="ru-RU" w:bidi="ar-SA"/>
    </w:rPr>
  </w:style>
  <w:style w:type="character" w:styleId="Style10" w:customStyle="1">
    <w:name w:val="Таблица_номер_таблицы Знак"/>
    <w:qFormat/>
    <w:rPr>
      <w:sz w:val="24"/>
      <w:szCs w:val="24"/>
      <w:lang w:val="ru-RU" w:bidi="ar-SA"/>
    </w:rPr>
  </w:style>
  <w:style w:type="character" w:styleId="11" w:customStyle="1">
    <w:name w:val="Примечания Знак1"/>
    <w:qFormat/>
    <w:rPr>
      <w:rFonts w:cs="Times New Roman"/>
      <w:spacing w:val="80"/>
      <w:sz w:val="24"/>
      <w:szCs w:val="24"/>
      <w:lang w:val="ru-RU"/>
    </w:rPr>
  </w:style>
  <w:style w:type="character" w:styleId="21" w:customStyle="1">
    <w:name w:val="Заголовок_подзаголовок_2 Знак"/>
    <w:qFormat/>
    <w:rPr>
      <w:b/>
      <w:bCs/>
      <w:sz w:val="24"/>
      <w:szCs w:val="24"/>
      <w:lang w:val="ru-RU" w:bidi="ar-SA"/>
    </w:rPr>
  </w:style>
  <w:style w:type="character" w:styleId="Hyperlink" w:customStyle="1">
    <w:name w:val="Hyperlink"/>
    <w:basedOn w:val="DefaultParagraphFont"/>
    <w:uiPriority w:val="99"/>
    <w:unhideWhenUsed/>
    <w:qFormat/>
    <w:rPr>
      <w:color w:val="0000FF"/>
      <w:u w:val="single"/>
    </w:rPr>
  </w:style>
  <w:style w:type="character" w:styleId="Style11" w:customStyle="1">
    <w:name w:val="Основной текст Знак"/>
    <w:qFormat/>
    <w:rPr>
      <w:rFonts w:cs="Times New Roman"/>
      <w:sz w:val="24"/>
      <w:szCs w:val="24"/>
      <w:lang w:val="ru-RU"/>
    </w:rPr>
  </w:style>
  <w:style w:type="character" w:styleId="Style12" w:customStyle="1">
    <w:name w:val="Схема документа Знак"/>
    <w:qFormat/>
    <w:rPr>
      <w:rFonts w:ascii="Tahoma" w:hAnsi="Tahoma" w:cs="Tahoma"/>
      <w:sz w:val="24"/>
      <w:szCs w:val="24"/>
      <w:shd w:fill="000080" w:val="clear"/>
    </w:rPr>
  </w:style>
  <w:style w:type="character" w:styleId="12" w:customStyle="1">
    <w:name w:val="Знак примечания1"/>
    <w:qFormat/>
    <w:rPr>
      <w:rFonts w:cs="Times New Roman"/>
      <w:sz w:val="16"/>
      <w:szCs w:val="16"/>
    </w:rPr>
  </w:style>
  <w:style w:type="character" w:styleId="Style13" w:customStyle="1">
    <w:name w:val="Нижний колонтитул Знак"/>
    <w:uiPriority w:val="99"/>
    <w:qFormat/>
    <w:rPr>
      <w:rFonts w:cs="Times New Roman"/>
      <w:sz w:val="24"/>
      <w:szCs w:val="24"/>
    </w:rPr>
  </w:style>
  <w:style w:type="character" w:styleId="FollowedHyperlink" w:customStyle="1">
    <w:name w:val="FollowedHyperlink"/>
    <w:qFormat/>
    <w:rPr>
      <w:rFonts w:cs="Times New Roman"/>
      <w:color w:val="800080"/>
      <w:u w:val="single"/>
    </w:rPr>
  </w:style>
  <w:style w:type="character" w:styleId="Style14" w:customStyle="1">
    <w:name w:val="Текст_Жирный"/>
    <w:qFormat/>
    <w:rPr>
      <w:rFonts w:ascii="Times New Roman" w:hAnsi="Times New Roman" w:cs="Times New Roman"/>
      <w:b/>
      <w:bCs/>
    </w:rPr>
  </w:style>
  <w:style w:type="character" w:styleId="Style15" w:customStyle="1">
    <w:name w:val="Текст_Подчеркнутый"/>
    <w:qFormat/>
    <w:rPr>
      <w:rFonts w:ascii="Times New Roman" w:hAnsi="Times New Roman" w:cs="Times New Roman"/>
      <w:u w:val="single"/>
    </w:rPr>
  </w:style>
  <w:style w:type="character" w:styleId="Style16" w:customStyle="1">
    <w:name w:val="Таблица_название_таблицы Знак"/>
    <w:qFormat/>
    <w:rPr>
      <w:sz w:val="24"/>
      <w:szCs w:val="24"/>
      <w:lang w:val="ru-RU" w:bidi="ar-SA"/>
    </w:rPr>
  </w:style>
  <w:style w:type="character" w:styleId="13" w:customStyle="1">
    <w:name w:val="Заголовок_подзаголовок_1 Знак"/>
    <w:qFormat/>
    <w:rPr>
      <w:b/>
      <w:bCs/>
      <w:sz w:val="24"/>
      <w:szCs w:val="24"/>
      <w:u w:val="single"/>
      <w:lang w:val="ru-RU" w:bidi="ar-SA"/>
    </w:rPr>
  </w:style>
  <w:style w:type="character" w:styleId="01" w:customStyle="1">
    <w:name w:val="Заголовок 01 Знак"/>
    <w:qFormat/>
    <w:rPr>
      <w:rFonts w:cs="Times New Roman"/>
      <w:b/>
      <w:bCs/>
      <w:caps/>
      <w:kern w:val="2"/>
      <w:sz w:val="28"/>
      <w:szCs w:val="28"/>
      <w:lang w:val="ru-RU" w:bidi="ar-SA"/>
    </w:rPr>
  </w:style>
  <w:style w:type="character" w:styleId="14" w:customStyle="1">
    <w:name w:val="Список_маркерный_1_уровень Знак"/>
    <w:qFormat/>
    <w:rPr>
      <w:sz w:val="24"/>
      <w:szCs w:val="24"/>
      <w:lang w:val="ru-RU" w:bidi="ar-SA"/>
    </w:rPr>
  </w:style>
  <w:style w:type="character" w:styleId="22" w:customStyle="1">
    <w:name w:val="Список_маркерный_2_уровень Знак"/>
    <w:basedOn w:val="Style6"/>
    <w:qFormat/>
    <w:rPr>
      <w:sz w:val="24"/>
      <w:szCs w:val="24"/>
    </w:rPr>
  </w:style>
  <w:style w:type="character" w:styleId="15" w:customStyle="1">
    <w:name w:val="Список_нумерованный_1_уровень Знак"/>
    <w:qFormat/>
    <w:rPr>
      <w:sz w:val="24"/>
      <w:szCs w:val="24"/>
    </w:rPr>
  </w:style>
  <w:style w:type="character" w:styleId="23" w:customStyle="1">
    <w:name w:val="Список_нумерованный_2_уровень Знак"/>
    <w:basedOn w:val="15"/>
    <w:qFormat/>
    <w:rPr>
      <w:sz w:val="24"/>
      <w:szCs w:val="24"/>
    </w:rPr>
  </w:style>
  <w:style w:type="character" w:styleId="32" w:customStyle="1">
    <w:name w:val="Список_нумерованный_3_уровень Знак"/>
    <w:basedOn w:val="15"/>
    <w:qFormat/>
    <w:rPr>
      <w:sz w:val="24"/>
      <w:szCs w:val="24"/>
    </w:rPr>
  </w:style>
  <w:style w:type="character" w:styleId="Style17" w:customStyle="1">
    <w:name w:val="Текст_Желтый"/>
    <w:qFormat/>
    <w:rPr>
      <w:rFonts w:cs="Times New Roman"/>
      <w:color w:val="000000"/>
      <w:shd w:fill="FFFF00" w:val="clear"/>
    </w:rPr>
  </w:style>
  <w:style w:type="character" w:styleId="111" w:customStyle="1">
    <w:name w:val="Табличный_таблица_11 Знак"/>
    <w:qFormat/>
    <w:rPr>
      <w:sz w:val="22"/>
      <w:szCs w:val="22"/>
      <w:lang w:val="ru-RU" w:bidi="ar-SA"/>
    </w:rPr>
  </w:style>
  <w:style w:type="character" w:styleId="112" w:customStyle="1">
    <w:name w:val="Табличный_нумерация_11 Знак"/>
    <w:qFormat/>
    <w:rPr>
      <w:sz w:val="22"/>
      <w:szCs w:val="22"/>
      <w:lang w:val="ru-RU" w:bidi="ar-SA"/>
    </w:rPr>
  </w:style>
  <w:style w:type="character" w:styleId="113" w:customStyle="1">
    <w:name w:val="Табличный_маркированный_11 Знак"/>
    <w:qFormat/>
    <w:rPr>
      <w:sz w:val="22"/>
      <w:szCs w:val="22"/>
    </w:rPr>
  </w:style>
  <w:style w:type="character" w:styleId="114" w:customStyle="1">
    <w:name w:val="Табличный_боковик_правый_11 Знак"/>
    <w:qFormat/>
    <w:rPr>
      <w:sz w:val="22"/>
      <w:szCs w:val="22"/>
      <w:lang w:val="ru-RU" w:bidi="ar-SA"/>
    </w:rPr>
  </w:style>
  <w:style w:type="character" w:styleId="115" w:customStyle="1">
    <w:name w:val="Табличный_боковик_11 Знак"/>
    <w:qFormat/>
    <w:rPr>
      <w:sz w:val="22"/>
      <w:szCs w:val="22"/>
      <w:lang w:val="ru-RU" w:bidi="ar-SA"/>
    </w:rPr>
  </w:style>
  <w:style w:type="character" w:styleId="33" w:customStyle="1">
    <w:name w:val="Заголовок_подзаголовок_3 Знак"/>
    <w:qFormat/>
    <w:rPr>
      <w:b/>
      <w:bCs/>
      <w:sz w:val="24"/>
      <w:szCs w:val="24"/>
      <w:u w:val="single"/>
      <w:lang w:val="ru-RU" w:bidi="ar-SA"/>
    </w:rPr>
  </w:style>
  <w:style w:type="character" w:styleId="Style18" w:customStyle="1">
    <w:name w:val="Текст_Обычный"/>
    <w:qFormat/>
    <w:rPr>
      <w:rFonts w:cs="Times New Roman"/>
    </w:rPr>
  </w:style>
  <w:style w:type="character" w:styleId="Style19" w:customStyle="1">
    <w:name w:val="Примечание Знак"/>
    <w:qFormat/>
    <w:rPr>
      <w:sz w:val="22"/>
      <w:szCs w:val="22"/>
      <w:lang w:val="ru-RU" w:bidi="ar-SA"/>
    </w:rPr>
  </w:style>
  <w:style w:type="character" w:styleId="Style20" w:customStyle="1">
    <w:name w:val="Текст_Скрытый"/>
    <w:qFormat/>
    <w:rPr>
      <w:rFonts w:cs="Times New Roman"/>
      <w:vanish/>
    </w:rPr>
  </w:style>
  <w:style w:type="character" w:styleId="Style21" w:customStyle="1">
    <w:name w:val="Текст_Красный"/>
    <w:qFormat/>
    <w:rPr>
      <w:rFonts w:cs="Times New Roman"/>
      <w:color w:val="FF0000"/>
    </w:rPr>
  </w:style>
  <w:style w:type="character" w:styleId="PlaceholderText">
    <w:name w:val="Placeholder Text"/>
    <w:uiPriority w:val="99"/>
    <w:qFormat/>
    <w:rPr>
      <w:rFonts w:cs="Times New Roman"/>
      <w:color w:val="808080"/>
    </w:rPr>
  </w:style>
  <w:style w:type="character" w:styleId="Style22" w:customStyle="1">
    <w:name w:val="Текст сноски Знак"/>
    <w:uiPriority w:val="99"/>
    <w:qFormat/>
    <w:rPr>
      <w:rFonts w:cs="Times New Roman"/>
    </w:rPr>
  </w:style>
  <w:style w:type="character" w:styleId="Style23" w:customStyle="1">
    <w:name w:val="Символ сноски"/>
    <w:qFormat/>
    <w:rPr>
      <w:vertAlign w:val="superscript"/>
    </w:rPr>
  </w:style>
  <w:style w:type="character" w:styleId="Style24" w:customStyle="1">
    <w:name w:val="Текст концевой сноски Знак"/>
    <w:qFormat/>
    <w:rPr>
      <w:rFonts w:cs="Times New Roman"/>
    </w:rPr>
  </w:style>
  <w:style w:type="character" w:styleId="Style25" w:customStyle="1">
    <w:name w:val="Символы концевой сноски"/>
    <w:qFormat/>
    <w:rPr>
      <w:rFonts w:cs="Times New Roman"/>
      <w:vertAlign w:val="superscript"/>
    </w:rPr>
  </w:style>
  <w:style w:type="character" w:styleId="Pagenumber">
    <w:name w:val="page number"/>
    <w:qFormat/>
    <w:rPr>
      <w:rFonts w:cs="Times New Roman"/>
    </w:rPr>
  </w:style>
  <w:style w:type="character" w:styleId="24" w:customStyle="1">
    <w:name w:val="Основной текст с отступом 2 Знак"/>
    <w:uiPriority w:val="99"/>
    <w:qFormat/>
    <w:rPr>
      <w:rFonts w:cs="Times New Roman"/>
      <w:sz w:val="24"/>
      <w:szCs w:val="24"/>
    </w:rPr>
  </w:style>
  <w:style w:type="character" w:styleId="25" w:customStyle="1">
    <w:name w:val="Основной текст 2 Знак"/>
    <w:qFormat/>
    <w:rPr>
      <w:rFonts w:cs="Times New Roman"/>
      <w:sz w:val="24"/>
      <w:szCs w:val="24"/>
    </w:rPr>
  </w:style>
  <w:style w:type="character" w:styleId="Style26" w:customStyle="1">
    <w:name w:val="Основной текст с отступом Знак"/>
    <w:qFormat/>
    <w:rPr>
      <w:rFonts w:cs="Times New Roman"/>
      <w:sz w:val="24"/>
      <w:szCs w:val="24"/>
    </w:rPr>
  </w:style>
  <w:style w:type="character" w:styleId="34" w:customStyle="1">
    <w:name w:val="Основной текст 3 Знак"/>
    <w:uiPriority w:val="99"/>
    <w:qFormat/>
    <w:rPr>
      <w:rFonts w:cs="Times New Roman"/>
      <w:sz w:val="16"/>
      <w:szCs w:val="16"/>
    </w:rPr>
  </w:style>
  <w:style w:type="character" w:styleId="Style27" w:customStyle="1">
    <w:name w:val="Название Знак"/>
    <w:uiPriority w:val="10"/>
    <w:qFormat/>
    <w:rPr>
      <w:rFonts w:ascii="Cambria" w:hAnsi="Cambria" w:cs="Cambria"/>
      <w:color w:val="17365D"/>
      <w:spacing w:val="5"/>
      <w:kern w:val="2"/>
      <w:sz w:val="52"/>
      <w:szCs w:val="52"/>
    </w:rPr>
  </w:style>
  <w:style w:type="character" w:styleId="Strong">
    <w:name w:val="Strong"/>
    <w:uiPriority w:val="22"/>
    <w:qFormat/>
    <w:rPr>
      <w:rFonts w:cs="Times New Roman"/>
      <w:b/>
      <w:bCs/>
    </w:rPr>
  </w:style>
  <w:style w:type="character" w:styleId="HTML" w:customStyle="1">
    <w:name w:val="Стандартный HTML Знак"/>
    <w:qFormat/>
    <w:rPr>
      <w:rFonts w:ascii="Consolas" w:hAnsi="Consolas" w:cs="Consolas"/>
    </w:rPr>
  </w:style>
  <w:style w:type="character" w:styleId="Style28" w:customStyle="1">
    <w:name w:val="Текст Знак"/>
    <w:uiPriority w:val="99"/>
    <w:qFormat/>
    <w:rPr>
      <w:rFonts w:ascii="Consolas" w:hAnsi="Consolas" w:cs="Consolas"/>
      <w:sz w:val="21"/>
      <w:szCs w:val="21"/>
    </w:rPr>
  </w:style>
  <w:style w:type="character" w:styleId="Style29" w:customStyle="1">
    <w:name w:val="Текст примечания Знак"/>
    <w:qFormat/>
    <w:rPr>
      <w:rFonts w:cs="Times New Roman"/>
    </w:rPr>
  </w:style>
  <w:style w:type="character" w:styleId="Iceouttxt" w:customStyle="1">
    <w:name w:val="iceouttxt"/>
    <w:qFormat/>
    <w:rPr>
      <w:rFonts w:cs="Times New Roman"/>
    </w:rPr>
  </w:style>
  <w:style w:type="character" w:styleId="Style30" w:customStyle="1">
    <w:name w:val="Гипертекстовая ссылка"/>
    <w:uiPriority w:val="99"/>
    <w:qFormat/>
    <w:rPr>
      <w:rFonts w:cs="Times New Roman"/>
      <w:color w:val="auto"/>
    </w:rPr>
  </w:style>
  <w:style w:type="character" w:styleId="Style31" w:customStyle="1">
    <w:name w:val="Абзац списка Знак"/>
    <w:uiPriority w:val="34"/>
    <w:qFormat/>
    <w:rPr>
      <w:sz w:val="24"/>
    </w:rPr>
  </w:style>
  <w:style w:type="character" w:styleId="Style32" w:customStyle="1">
    <w:name w:val="Основной текст_"/>
    <w:qFormat/>
    <w:rPr>
      <w:rFonts w:cs="Times New Roman"/>
      <w:sz w:val="27"/>
      <w:szCs w:val="27"/>
      <w:shd w:fill="FFFFFF" w:val="clear"/>
    </w:rPr>
  </w:style>
  <w:style w:type="character" w:styleId="Apple-converted-space" w:customStyle="1">
    <w:name w:val="apple-converted-space"/>
    <w:qFormat/>
    <w:rPr>
      <w:rFonts w:cs="Times New Roman"/>
    </w:rPr>
  </w:style>
  <w:style w:type="character" w:styleId="35" w:customStyle="1">
    <w:name w:val="Основной текст с отступом 3 Знак"/>
    <w:uiPriority w:val="99"/>
    <w:qFormat/>
    <w:rPr>
      <w:rFonts w:cs="Times New Roman"/>
      <w:sz w:val="16"/>
      <w:szCs w:val="16"/>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26" w:customStyle="1">
    <w:name w:val="Основной шрифт абзаца2"/>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Absatz-Standardschriftart1111111111111111" w:customStyle="1">
    <w:name w:val="WW-Absatz-Standardschriftart1111111111111111"/>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Absatz-Standardschriftart1111111111111111111" w:customStyle="1">
    <w:name w:val="WW-Absatz-Standardschriftart1111111111111111111"/>
    <w:qFormat/>
    <w:rPr/>
  </w:style>
  <w:style w:type="character" w:styleId="WW-Absatz-Standardschriftart11111111111111111111" w:customStyle="1">
    <w:name w:val="WW-Absatz-Standardschriftart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11" w:customStyle="1">
    <w:name w:val="WW-Absatz-Standardschriftart1111111111111111111111111"/>
    <w:qFormat/>
    <w:rPr/>
  </w:style>
  <w:style w:type="character" w:styleId="WW8Num42z1" w:customStyle="1">
    <w:name w:val="WW8Num42z1"/>
    <w:qFormat/>
    <w:rPr>
      <w:rFonts w:ascii="Courier New" w:hAnsi="Courier New" w:cs="Courier New"/>
    </w:rPr>
  </w:style>
  <w:style w:type="character" w:styleId="WW8Num42z3" w:customStyle="1">
    <w:name w:val="WW8Num42z3"/>
    <w:qFormat/>
    <w:rPr>
      <w:rFonts w:ascii="Symbol" w:hAnsi="Symbol" w:cs="Symbol"/>
    </w:rPr>
  </w:style>
  <w:style w:type="character" w:styleId="16" w:customStyle="1">
    <w:name w:val="Основной шрифт абзаца1"/>
    <w:qFormat/>
    <w:rPr/>
  </w:style>
  <w:style w:type="character" w:styleId="Style33" w:customStyle="1">
    <w:name w:val="Маркеры списка"/>
    <w:qFormat/>
    <w:rPr>
      <w:rFonts w:ascii="OpenSymbol" w:hAnsi="OpenSymbol" w:cs="OpenSymbol"/>
    </w:rPr>
  </w:style>
  <w:style w:type="character" w:styleId="Style34" w:customStyle="1">
    <w:name w:val="Подзаголовок Знак"/>
    <w:uiPriority w:val="11"/>
    <w:qFormat/>
    <w:rPr>
      <w:rFonts w:eastAsia="Times New Roman" w:cs="Times New Roman"/>
      <w:i/>
      <w:iCs/>
      <w:sz w:val="28"/>
      <w:szCs w:val="28"/>
      <w:lang w:val="x-none" w:bidi="ar-SA"/>
    </w:rPr>
  </w:style>
  <w:style w:type="character" w:styleId="17" w:customStyle="1">
    <w:name w:val="Основной текст с отступом Знак1"/>
    <w:uiPriority w:val="99"/>
    <w:qFormat/>
    <w:rPr>
      <w:rFonts w:cs="Times New Roman"/>
      <w:sz w:val="24"/>
      <w:szCs w:val="24"/>
      <w:lang w:val="x-none" w:bidi="ar-SA"/>
    </w:rPr>
  </w:style>
  <w:style w:type="character" w:styleId="Style35" w:customStyle="1">
    <w:name w:val="Текст_Ж"/>
    <w:qFormat/>
    <w:rPr>
      <w:rFonts w:ascii="Times New Roman" w:hAnsi="Times New Roman" w:cs="Times New Roman"/>
      <w:b/>
      <w:bCs/>
      <w:sz w:val="24"/>
      <w:szCs w:val="24"/>
      <w:lang w:val="ru-RU" w:bidi="ar-SA"/>
    </w:rPr>
  </w:style>
  <w:style w:type="character" w:styleId="121" w:customStyle="1">
    <w:name w:val="Табличный_таблица_12 Знак"/>
    <w:qFormat/>
    <w:rPr>
      <w:rFonts w:cs="Times New Roman"/>
      <w:sz w:val="24"/>
      <w:szCs w:val="24"/>
    </w:rPr>
  </w:style>
  <w:style w:type="character" w:styleId="Style36">
    <w:name w:val="Выделение"/>
    <w:uiPriority w:val="20"/>
    <w:qFormat/>
    <w:rPr>
      <w:rFonts w:cs="Times New Roman"/>
      <w:i/>
      <w:iCs/>
    </w:rPr>
  </w:style>
  <w:style w:type="character" w:styleId="Style37" w:customStyle="1">
    <w:name w:val="термин"/>
    <w:qFormat/>
    <w:rPr>
      <w:rFonts w:cs="Times New Roman"/>
      <w:u w:val="single"/>
    </w:rPr>
  </w:style>
  <w:style w:type="character" w:styleId="Style38" w:customStyle="1">
    <w:name w:val="Шапка Знак"/>
    <w:qFormat/>
    <w:rPr>
      <w:rFonts w:cs="Times New Roman"/>
      <w:b/>
      <w:bCs/>
      <w:sz w:val="24"/>
      <w:szCs w:val="24"/>
    </w:rPr>
  </w:style>
  <w:style w:type="character" w:styleId="Style39" w:customStyle="1">
    <w:name w:val="Заголовок записки Знак"/>
    <w:qFormat/>
    <w:rPr>
      <w:rFonts w:cs="Times New Roman"/>
      <w:b/>
      <w:bCs/>
      <w:sz w:val="24"/>
      <w:szCs w:val="24"/>
    </w:rPr>
  </w:style>
  <w:style w:type="character" w:styleId="TableFootnotelast1" w:customStyle="1">
    <w:name w:val="Table_Footnote_last Знак Знак1"/>
    <w:qFormat/>
    <w:rPr>
      <w:rFonts w:cs="Times New Roman"/>
      <w:lang w:val="ru-RU"/>
    </w:rPr>
  </w:style>
  <w:style w:type="character" w:styleId="18" w:customStyle="1">
    <w:name w:val="Список 1) Знак"/>
    <w:qFormat/>
    <w:rPr>
      <w:rFonts w:ascii="Bookman Old Style" w:hAnsi="Bookman Old Style" w:cs="Bookman Old Style"/>
      <w:sz w:val="24"/>
      <w:szCs w:val="24"/>
    </w:rPr>
  </w:style>
  <w:style w:type="character" w:styleId="Style40" w:customStyle="1">
    <w:name w:val="Абзац_Желтая_заливка Знак"/>
    <w:basedOn w:val="Style5"/>
    <w:qFormat/>
    <w:rPr>
      <w:sz w:val="24"/>
      <w:szCs w:val="24"/>
      <w:lang w:val="ru-RU" w:bidi="ar-SA"/>
    </w:rPr>
  </w:style>
  <w:style w:type="character" w:styleId="Main" w:customStyle="1">
    <w:name w:val="Main Знак"/>
    <w:qFormat/>
    <w:rPr>
      <w:rFonts w:cs="Tahoma"/>
      <w:sz w:val="24"/>
      <w:szCs w:val="16"/>
    </w:rPr>
  </w:style>
  <w:style w:type="character" w:styleId="19" w:customStyle="1">
    <w:name w:val="Знак сноски1"/>
    <w:qFormat/>
    <w:rPr>
      <w:vertAlign w:val="superscript"/>
    </w:rPr>
  </w:style>
  <w:style w:type="character" w:styleId="110" w:customStyle="1">
    <w:name w:val="Знак концевой сноски1"/>
    <w:qFormat/>
    <w:rPr>
      <w:vertAlign w:val="superscript"/>
    </w:rPr>
  </w:style>
  <w:style w:type="character" w:styleId="FootnoteReference" w:customStyle="1">
    <w:name w:val="Footnote Reference"/>
    <w:rPr>
      <w:vertAlign w:val="superscript"/>
    </w:rPr>
  </w:style>
  <w:style w:type="character" w:styleId="FootnoteCharacters" w:customStyle="1">
    <w:name w:val="Footnote Characters"/>
    <w:uiPriority w:val="99"/>
    <w:unhideWhenUsed/>
    <w:qFormat/>
    <w:locked/>
    <w:rPr>
      <w:vertAlign w:val="superscript"/>
    </w:rPr>
  </w:style>
  <w:style w:type="character" w:styleId="Style41" w:customStyle="1">
    <w:name w:val="Символ концевой сноски"/>
    <w:qFormat/>
    <w:rPr>
      <w:vertAlign w:val="superscript"/>
    </w:rPr>
  </w:style>
  <w:style w:type="character" w:styleId="EndnoteReference" w:customStyle="1">
    <w:name w:val="Endnote Reference"/>
    <w:rPr>
      <w:vertAlign w:val="superscript"/>
    </w:rPr>
  </w:style>
  <w:style w:type="character" w:styleId="EndnoteCharacters" w:customStyle="1">
    <w:name w:val="Endnote Characters"/>
    <w:unhideWhenUsed/>
    <w:qFormat/>
    <w:locked/>
    <w:rPr>
      <w:vertAlign w:val="superscript"/>
    </w:rPr>
  </w:style>
  <w:style w:type="character" w:styleId="Res" w:customStyle="1">
    <w:name w:val="res"/>
    <w:basedOn w:val="DefaultParagraphFont"/>
    <w:qFormat/>
    <w:rPr/>
  </w:style>
  <w:style w:type="character" w:styleId="HTMLCite">
    <w:name w:val="HTML Cite"/>
    <w:basedOn w:val="DefaultParagraphFont"/>
    <w:uiPriority w:val="99"/>
    <w:semiHidden/>
    <w:unhideWhenUsed/>
    <w:qFormat/>
    <w:rPr>
      <w:i/>
      <w:iCs/>
    </w:rPr>
  </w:style>
  <w:style w:type="character" w:styleId="116" w:customStyle="1">
    <w:name w:val="Схема документа Знак1"/>
    <w:basedOn w:val="DefaultParagraphFont"/>
    <w:uiPriority w:val="99"/>
    <w:semiHidden/>
    <w:qFormat/>
    <w:rPr>
      <w:rFonts w:ascii="Segoe UI" w:hAnsi="Segoe UI" w:cs="Segoe UI"/>
      <w:sz w:val="16"/>
      <w:szCs w:val="16"/>
      <w:lang w:eastAsia="zh-CN"/>
    </w:rPr>
  </w:style>
  <w:style w:type="character" w:styleId="2Exact" w:customStyle="1">
    <w:name w:val="Основной текст (2) Exact"/>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Annotationreference">
    <w:name w:val="annotation reference"/>
    <w:semiHidden/>
    <w:qFormat/>
    <w:rPr>
      <w:sz w:val="16"/>
      <w:szCs w:val="16"/>
    </w:rPr>
  </w:style>
  <w:style w:type="character" w:styleId="122" w:customStyle="1">
    <w:name w:val="Заголовок 1 Знак2"/>
    <w:uiPriority w:val="11"/>
    <w:qFormat/>
    <w:rPr>
      <w:b/>
      <w:bCs/>
      <w:caps/>
      <w:kern w:val="2"/>
      <w:sz w:val="28"/>
      <w:szCs w:val="28"/>
      <w:lang w:eastAsia="zh-CN"/>
    </w:rPr>
  </w:style>
  <w:style w:type="character" w:styleId="Style42" w:customStyle="1">
    <w:name w:val="Название объекта Знак"/>
    <w:uiPriority w:val="35"/>
    <w:qFormat/>
    <w:locked/>
    <w:rPr>
      <w:rFonts w:eastAsia="ArialMT"/>
      <w:bCs/>
    </w:rPr>
  </w:style>
  <w:style w:type="character" w:styleId="ListParagraphChar" w:customStyle="1">
    <w:name w:val="List Paragraph Char"/>
    <w:qFormat/>
    <w:locked/>
    <w:rPr>
      <w:rFonts w:ascii="Calibri" w:hAnsi="Calibri" w:eastAsia="Calibri"/>
      <w:sz w:val="22"/>
      <w:szCs w:val="22"/>
    </w:rPr>
  </w:style>
  <w:style w:type="character" w:styleId="Style43" w:customStyle="1">
    <w:name w:val="Название таблицы Знак"/>
    <w:qFormat/>
    <w:locked/>
    <w:rPr>
      <w:sz w:val="28"/>
      <w:szCs w:val="28"/>
      <w:lang w:val="ru-RU" w:eastAsia="ru-RU" w:bidi="ar-SA"/>
    </w:rPr>
  </w:style>
  <w:style w:type="character" w:styleId="Style44" w:customStyle="1">
    <w:name w:val="Тема примечания Знак"/>
    <w:semiHidden/>
    <w:qFormat/>
    <w:rPr>
      <w:b/>
      <w:bCs/>
    </w:rPr>
  </w:style>
  <w:style w:type="character" w:styleId="Style45" w:customStyle="1">
    <w:name w:val="Название таблиц Знак"/>
    <w:basedOn w:val="DefaultParagraphFont"/>
    <w:uiPriority w:val="39"/>
    <w:qFormat/>
    <w:rPr/>
  </w:style>
  <w:style w:type="character" w:styleId="27" w:customStyle="1">
    <w:name w:val="Оглавление 2 Знак"/>
    <w:uiPriority w:val="39"/>
    <w:qFormat/>
    <w:locked/>
    <w:rPr>
      <w:smallCaps/>
      <w:sz w:val="24"/>
      <w:szCs w:val="24"/>
      <w:lang w:eastAsia="zh-CN"/>
    </w:rPr>
  </w:style>
  <w:style w:type="character" w:styleId="Style46" w:customStyle="1">
    <w:name w:val="Таблица Знак"/>
    <w:uiPriority w:val="31"/>
    <w:qFormat/>
    <w:rPr>
      <w:rFonts w:eastAsia="Times New Roman"/>
      <w:color w:val="000000"/>
      <w:lang w:eastAsia="en-US"/>
    </w:rPr>
  </w:style>
  <w:style w:type="character" w:styleId="117" w:customStyle="1">
    <w:name w:val="Оглавление 1 Знак1"/>
    <w:uiPriority w:val="39"/>
    <w:qFormat/>
    <w:rPr>
      <w:b/>
      <w:bCs/>
      <w:caps/>
      <w:sz w:val="24"/>
      <w:szCs w:val="24"/>
      <w:lang w:eastAsia="zh-CN"/>
    </w:rPr>
  </w:style>
  <w:style w:type="character" w:styleId="36" w:customStyle="1">
    <w:name w:val="Заголовок №3_"/>
    <w:qFormat/>
    <w:rPr>
      <w:shd w:fill="FFFFFF" w:val="clear"/>
    </w:rPr>
  </w:style>
  <w:style w:type="character" w:styleId="118" w:customStyle="1">
    <w:name w:val="Оглавление 1 Знак"/>
    <w:uiPriority w:val="39"/>
    <w:qFormat/>
    <w:rPr>
      <w:bCs/>
      <w:color w:val="000000"/>
      <w:sz w:val="28"/>
      <w:szCs w:val="28"/>
    </w:rPr>
  </w:style>
  <w:style w:type="character" w:styleId="37" w:customStyle="1">
    <w:name w:val="Оглавление (3)_"/>
    <w:qFormat/>
    <w:rPr>
      <w:shd w:fill="FFFFFF" w:val="clear"/>
    </w:rPr>
  </w:style>
  <w:style w:type="character" w:styleId="71" w:customStyle="1">
    <w:name w:val="Основной текст (7)"/>
    <w:qFormat/>
    <w:rPr>
      <w:rFonts w:ascii="Corbel" w:hAnsi="Corbel" w:eastAsia="Corbel" w:cs="Corbel"/>
      <w:b w:val="false"/>
      <w:bCs w:val="false"/>
      <w:i w:val="false"/>
      <w:iCs w:val="false"/>
      <w:caps w:val="false"/>
      <w:smallCaps w:val="false"/>
      <w:strike w:val="false"/>
      <w:dstrike w:val="false"/>
      <w:color w:val="000000"/>
      <w:spacing w:val="-10"/>
      <w:w w:val="100"/>
      <w:sz w:val="11"/>
      <w:szCs w:val="11"/>
      <w:u w:val="none"/>
      <w:lang w:val="en-US" w:eastAsia="en-US" w:bidi="en-US"/>
    </w:rPr>
  </w:style>
  <w:style w:type="character" w:styleId="38" w:customStyle="1">
    <w:name w:val="Оглавление 3 Знак"/>
    <w:uiPriority w:val="39"/>
    <w:qFormat/>
    <w:rPr>
      <w:i/>
      <w:iCs/>
      <w:lang w:eastAsia="zh-CN"/>
    </w:rPr>
  </w:style>
  <w:style w:type="character" w:styleId="28" w:customStyle="1">
    <w:name w:val="Заголовок №2_"/>
    <w:qFormat/>
    <w:rPr>
      <w:sz w:val="30"/>
      <w:szCs w:val="30"/>
      <w:shd w:fill="FFFFFF" w:val="clear"/>
    </w:rPr>
  </w:style>
  <w:style w:type="character" w:styleId="Mw-headline" w:customStyle="1">
    <w:name w:val="mw-headline"/>
    <w:qFormat/>
    <w:rPr/>
  </w:style>
  <w:style w:type="character" w:styleId="Mw-editsection" w:customStyle="1">
    <w:name w:val="mw-editsection"/>
    <w:qFormat/>
    <w:rPr/>
  </w:style>
  <w:style w:type="character" w:styleId="Mw-editsection-bracket" w:customStyle="1">
    <w:name w:val="mw-editsection-bracket"/>
    <w:qFormat/>
    <w:rPr/>
  </w:style>
  <w:style w:type="character" w:styleId="Mw-editsection-divider" w:customStyle="1">
    <w:name w:val="mw-editsection-divider"/>
    <w:qFormat/>
    <w:rPr/>
  </w:style>
  <w:style w:type="character" w:styleId="29" w:customStyle="1">
    <w:name w:val="Стиль2 Знак"/>
    <w:uiPriority w:val="31"/>
    <w:qFormat/>
    <w:rPr>
      <w:bCs/>
      <w:kern w:val="2"/>
      <w:sz w:val="36"/>
    </w:rPr>
  </w:style>
  <w:style w:type="character" w:styleId="42" w:customStyle="1">
    <w:name w:val="Основной текст (4)_"/>
    <w:qFormat/>
    <w:rPr>
      <w:rFonts w:ascii="Times New Roman" w:hAnsi="Times New Roman" w:eastAsia="Times New Roman" w:cs="Times New Roman"/>
      <w:b/>
      <w:bCs/>
      <w:i w:val="false"/>
      <w:iCs w:val="false"/>
      <w:caps w:val="false"/>
      <w:smallCaps w:val="false"/>
      <w:strike w:val="false"/>
      <w:dstrike w:val="false"/>
      <w:sz w:val="40"/>
      <w:szCs w:val="40"/>
      <w:u w:val="none"/>
    </w:rPr>
  </w:style>
  <w:style w:type="character" w:styleId="411" w:customStyle="1">
    <w:name w:val="Заголовок 4 Знак1"/>
    <w:uiPriority w:val="17"/>
    <w:qFormat/>
    <w:rPr>
      <w:b/>
      <w:bCs/>
      <w:sz w:val="24"/>
      <w:szCs w:val="24"/>
      <w:lang w:eastAsia="zh-CN"/>
    </w:rPr>
  </w:style>
  <w:style w:type="character" w:styleId="-" w:customStyle="1">
    <w:name w:val="Таблица - текст основной Знак"/>
    <w:qFormat/>
    <w:rPr>
      <w:rFonts w:ascii="Arial" w:hAnsi="Arial" w:eastAsia="Calibri" w:cs="Arial"/>
      <w:color w:val="000000"/>
      <w:lang w:eastAsia="en-US"/>
    </w:rPr>
  </w:style>
  <w:style w:type="character" w:styleId="210" w:customStyle="1">
    <w:name w:val="Цитата 2 Знак"/>
    <w:uiPriority w:val="29"/>
    <w:qFormat/>
    <w:rPr>
      <w:rFonts w:ascii="Calibri" w:hAnsi="Calibri"/>
      <w:i/>
      <w:iCs/>
      <w:color w:val="000000"/>
      <w:sz w:val="22"/>
      <w:szCs w:val="22"/>
      <w:lang w:val="en-US" w:eastAsia="en-US" w:bidi="en-US"/>
    </w:rPr>
  </w:style>
  <w:style w:type="character" w:styleId="Style47" w:customStyle="1">
    <w:name w:val="Выделенная цитата Знак"/>
    <w:uiPriority w:val="30"/>
    <w:qFormat/>
    <w:rPr>
      <w:rFonts w:ascii="Calibri" w:hAnsi="Calibri"/>
      <w:b/>
      <w:bCs/>
      <w:i/>
      <w:iCs/>
      <w:color w:val="4F81BD"/>
      <w:sz w:val="22"/>
      <w:szCs w:val="22"/>
      <w:lang w:val="en-US" w:eastAsia="en-US" w:bidi="en-US"/>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1" w:customStyle="1">
    <w:name w:val="Таблица - Текст основной Знак"/>
    <w:qFormat/>
    <w:rPr>
      <w:rFonts w:ascii="Arial" w:hAnsi="Arial"/>
    </w:rPr>
  </w:style>
  <w:style w:type="character" w:styleId="52" w:customStyle="1">
    <w:name w:val="Стиль5 Знак"/>
    <w:qFormat/>
    <w:rPr>
      <w:b/>
      <w:bCs/>
      <w:iCs/>
      <w:sz w:val="24"/>
      <w:szCs w:val="32"/>
    </w:rPr>
  </w:style>
  <w:style w:type="character" w:styleId="61" w:customStyle="1">
    <w:name w:val="Стиль6 Знак"/>
    <w:qFormat/>
    <w:rPr>
      <w:rFonts w:cs="Arial"/>
      <w:b/>
      <w:bCs/>
      <w:sz w:val="24"/>
      <w:szCs w:val="24"/>
      <w:lang w:bidi="ru-RU"/>
    </w:rPr>
  </w:style>
  <w:style w:type="character" w:styleId="Exact" w:customStyle="1">
    <w:name w:val="Подпись к картинке Exact"/>
    <w:qFormat/>
    <w:rPr>
      <w:b w:val="false"/>
      <w:bCs w:val="false"/>
      <w:i w:val="false"/>
      <w:iCs w:val="false"/>
      <w:caps w:val="false"/>
      <w:smallCaps w:val="false"/>
      <w:strike w:val="false"/>
      <w:dstrike w:val="false"/>
      <w:sz w:val="28"/>
      <w:szCs w:val="28"/>
      <w:u w:val="none"/>
    </w:rPr>
  </w:style>
  <w:style w:type="character" w:styleId="Style48" w:customStyle="1">
    <w:name w:val="Подпись к картинке_"/>
    <w:qFormat/>
    <w:rPr>
      <w:sz w:val="28"/>
      <w:szCs w:val="28"/>
      <w:shd w:fill="FFFFFF" w:val="clear"/>
    </w:rPr>
  </w:style>
  <w:style w:type="character" w:styleId="Style49" w:customStyle="1">
    <w:name w:val="Без интервала Знак"/>
    <w:qFormat/>
    <w:rPr>
      <w:rFonts w:ascii="Calibri" w:hAnsi="Calibri"/>
      <w:sz w:val="22"/>
      <w:szCs w:val="22"/>
      <w:lang w:val="en-US" w:eastAsia="en-US" w:bidi="en-US"/>
    </w:rPr>
  </w:style>
  <w:style w:type="character" w:styleId="2Exact1" w:customStyle="1">
    <w:name w:val="Подпись к таблице (2) Exact"/>
    <w:qFormat/>
    <w:rPr>
      <w:shd w:fill="FFFFFF" w:val="clear"/>
    </w:rPr>
  </w:style>
  <w:style w:type="character" w:styleId="Style50" w:customStyle="1">
    <w:name w:val="Основной текст + 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rPr>
  </w:style>
  <w:style w:type="character" w:styleId="145pt" w:customStyle="1">
    <w:name w:val="Основной текст + 14;5 pt;Не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9"/>
      <w:szCs w:val="29"/>
      <w:u w:val="none"/>
      <w:lang w:val="ru-RU"/>
    </w:rPr>
  </w:style>
  <w:style w:type="character" w:styleId="119" w:customStyle="1">
    <w:name w:val="Стиль1 Знак"/>
    <w:uiPriority w:val="31"/>
    <w:qFormat/>
    <w:rPr>
      <w:rFonts w:ascii="Times New Roman" w:hAnsi="Times New Roman" w:cs="Times New Roman"/>
      <w:color w:val="000000"/>
      <w:sz w:val="28"/>
      <w:szCs w:val="24"/>
      <w:lang w:eastAsia="ru-RU"/>
    </w:rPr>
  </w:style>
  <w:style w:type="character" w:styleId="Style51" w:customStyle="1">
    <w:name w:val="Стандарт Знак"/>
    <w:qFormat/>
    <w:rPr>
      <w:color w:val="000000"/>
      <w:sz w:val="28"/>
      <w:szCs w:val="24"/>
    </w:rPr>
  </w:style>
  <w:style w:type="character" w:styleId="Style52" w:customStyle="1">
    <w:name w:val="для рисунков Знак"/>
    <w:qFormat/>
    <w:rPr>
      <w:rFonts w:cs="Calibri"/>
      <w:color w:val="000000"/>
      <w:sz w:val="28"/>
      <w:szCs w:val="28"/>
      <w:lang w:eastAsia="en-US"/>
    </w:rPr>
  </w:style>
  <w:style w:type="character" w:styleId="Style53" w:customStyle="1">
    <w:name w:val="Перечисление Знак"/>
    <w:qFormat/>
    <w:rPr>
      <w:sz w:val="28"/>
      <w:szCs w:val="28"/>
    </w:rPr>
  </w:style>
  <w:style w:type="character" w:styleId="120" w:customStyle="1">
    <w:name w:val="1 Уровень Знак"/>
    <w:qFormat/>
    <w:rPr>
      <w:sz w:val="24"/>
      <w:szCs w:val="24"/>
    </w:rPr>
  </w:style>
  <w:style w:type="character" w:styleId="95pt" w:customStyle="1">
    <w:name w:val="Основной текст + 9;5 pt;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19"/>
      <w:szCs w:val="19"/>
      <w:u w:val="none"/>
      <w:lang w:val="ru-RU"/>
    </w:rPr>
  </w:style>
  <w:style w:type="character" w:styleId="8pt" w:customStyle="1">
    <w:name w:val="Основной текст + 8 pt;Курсив"/>
    <w:qFormat/>
    <w:rPr>
      <w:rFonts w:ascii="Times New Roman" w:hAnsi="Times New Roman" w:eastAsia="Times New Roman" w:cs="Times New Roman"/>
      <w:b w:val="false"/>
      <w:bCs w:val="false"/>
      <w:i/>
      <w:iCs/>
      <w:caps w:val="false"/>
      <w:smallCaps w:val="false"/>
      <w:strike w:val="false"/>
      <w:dstrike w:val="false"/>
      <w:color w:val="000000"/>
      <w:spacing w:val="0"/>
      <w:w w:val="100"/>
      <w:sz w:val="16"/>
      <w:szCs w:val="16"/>
      <w:u w:val="none"/>
    </w:rPr>
  </w:style>
  <w:style w:type="character" w:styleId="Js-extracted-address" w:customStyle="1">
    <w:name w:val="js-extracted-address"/>
    <w:basedOn w:val="DefaultParagraphFont"/>
    <w:qFormat/>
    <w:rPr/>
  </w:style>
  <w:style w:type="character" w:styleId="Mail-message-map-nobreak" w:customStyle="1">
    <w:name w:val="mail-message-map-nobreak"/>
    <w:basedOn w:val="DefaultParagraphFont"/>
    <w:qFormat/>
    <w:rPr/>
  </w:style>
  <w:style w:type="character" w:styleId="Wmi-callto" w:customStyle="1">
    <w:name w:val="wmi-callto"/>
    <w:basedOn w:val="DefaultParagraphFont"/>
    <w:qFormat/>
    <w:rPr/>
  </w:style>
  <w:style w:type="character" w:styleId="Style54" w:customStyle="1">
    <w:name w:val="Рисунок Знак Знак"/>
    <w:qFormat/>
    <w:locked/>
    <w:rPr>
      <w:b/>
      <w:color w:val="000000"/>
    </w:rPr>
  </w:style>
  <w:style w:type="character" w:styleId="Style55" w:customStyle="1">
    <w:name w:val="Нумерованный Знак"/>
    <w:qFormat/>
    <w:locked/>
    <w:rPr>
      <w:color w:val="000000"/>
    </w:rPr>
  </w:style>
  <w:style w:type="character" w:styleId="311" w:customStyle="1">
    <w:name w:val="Заголовок 3 Знак1"/>
    <w:qFormat/>
    <w:locked/>
    <w:rPr>
      <w:rFonts w:eastAsia="Calibri"/>
      <w:sz w:val="28"/>
      <w:szCs w:val="28"/>
      <w:u w:val="thick"/>
      <w:lang w:val="ru-RU" w:eastAsia="ru-RU" w:bidi="ar-SA"/>
    </w:rPr>
  </w:style>
  <w:style w:type="character" w:styleId="212pt" w:customStyle="1">
    <w:name w:val="Заголовок 2 + 12 pt Знак Знак Знак"/>
    <w:uiPriority w:val="99"/>
    <w:qFormat/>
    <w:rPr>
      <w:b/>
      <w:bCs/>
      <w:color w:val="000000"/>
      <w:sz w:val="24"/>
    </w:rPr>
  </w:style>
  <w:style w:type="character" w:styleId="1110" w:customStyle="1">
    <w:name w:val="Заголовок 1 Знак1"/>
    <w:uiPriority w:val="99"/>
    <w:qFormat/>
    <w:rPr>
      <w:b/>
      <w:bCs/>
      <w:sz w:val="24"/>
      <w:szCs w:val="24"/>
      <w:lang w:val="ru-RU" w:eastAsia="ru-RU" w:bidi="ar-SA"/>
    </w:rPr>
  </w:style>
  <w:style w:type="character" w:styleId="Style56" w:customStyle="1">
    <w:name w:val="Основной текст с точкой Знак"/>
    <w:uiPriority w:val="99"/>
    <w:qFormat/>
    <w:rPr>
      <w:rFonts w:cs="Arial"/>
      <w:color w:val="000000"/>
      <w:sz w:val="24"/>
      <w:szCs w:val="26"/>
    </w:rPr>
  </w:style>
  <w:style w:type="character" w:styleId="Style57" w:customStyle="1">
    <w:name w:val="Подпись Знак"/>
    <w:qFormat/>
    <w:rPr>
      <w:color w:val="000000"/>
      <w:sz w:val="24"/>
    </w:rPr>
  </w:style>
  <w:style w:type="character" w:styleId="212pt1" w:customStyle="1">
    <w:name w:val="Заголовок 2 + 12 pt Знак Знак Знак Знак Знак"/>
    <w:qFormat/>
    <w:rPr>
      <w:b/>
      <w:bCs/>
      <w:sz w:val="24"/>
      <w:lang w:val="ru-RU" w:eastAsia="ru-RU" w:bidi="ar-SA"/>
    </w:rPr>
  </w:style>
  <w:style w:type="character" w:styleId="212pt2" w:customStyle="1">
    <w:name w:val="Заголовок 2 + 12 pt Знак Знак Знак Знак"/>
    <w:qFormat/>
    <w:rPr>
      <w:bCs/>
      <w:sz w:val="24"/>
      <w:szCs w:val="24"/>
      <w:lang w:val="ru-RU" w:eastAsia="ru-RU" w:bidi="ar-SA"/>
    </w:rPr>
  </w:style>
  <w:style w:type="character" w:styleId="Style58" w:customStyle="1">
    <w:name w:val="Основной жирный Знак"/>
    <w:uiPriority w:val="99"/>
    <w:qFormat/>
    <w:rPr>
      <w:rFonts w:cs="Arial"/>
      <w:b/>
      <w:bCs/>
      <w:color w:val="000000"/>
      <w:sz w:val="24"/>
      <w:szCs w:val="24"/>
    </w:rPr>
  </w:style>
  <w:style w:type="character" w:styleId="Style59" w:customStyle="1">
    <w:name w:val="Стиль полужирный"/>
    <w:uiPriority w:val="99"/>
    <w:qFormat/>
    <w:rPr>
      <w:b/>
      <w:bCs/>
      <w:strike w:val="false"/>
      <w:dstrike w:val="false"/>
      <w:position w:val="0"/>
      <w:sz w:val="28"/>
      <w:sz w:val="28"/>
      <w:u w:val="none"/>
      <w:effect w:val="none"/>
      <w:vertAlign w:val="baseline"/>
    </w:rPr>
  </w:style>
  <w:style w:type="character" w:styleId="Style60" w:customStyle="1">
    <w:name w:val="Красная строка Знак"/>
    <w:qFormat/>
    <w:rPr>
      <w:color w:val="000000"/>
      <w:sz w:val="24"/>
      <w:szCs w:val="24"/>
    </w:rPr>
  </w:style>
  <w:style w:type="character" w:styleId="211" w:customStyle="1">
    <w:name w:val="Красная строка 2 Знак"/>
    <w:uiPriority w:val="99"/>
    <w:qFormat/>
    <w:rPr>
      <w:color w:val="000000"/>
      <w:sz w:val="24"/>
      <w:szCs w:val="24"/>
    </w:rPr>
  </w:style>
  <w:style w:type="character" w:styleId="123" w:customStyle="1">
    <w:name w:val="Список маркированный 1 Знак"/>
    <w:qFormat/>
    <w:rPr>
      <w:rFonts w:cs="Arial"/>
      <w:color w:val="000000"/>
      <w:sz w:val="24"/>
      <w:szCs w:val="24"/>
    </w:rPr>
  </w:style>
  <w:style w:type="character" w:styleId="212" w:customStyle="1">
    <w:name w:val="Список маркированный 2 Знак"/>
    <w:qFormat/>
    <w:rPr>
      <w:rFonts w:cs="Arial"/>
      <w:color w:val="000000"/>
      <w:sz w:val="24"/>
      <w:szCs w:val="24"/>
    </w:rPr>
  </w:style>
  <w:style w:type="character" w:styleId="FontStyle371" w:customStyle="1">
    <w:name w:val="Font Style371"/>
    <w:qFormat/>
    <w:rPr>
      <w:rFonts w:ascii="Times New Roman" w:hAnsi="Times New Roman" w:cs="Times New Roman"/>
      <w:sz w:val="20"/>
      <w:szCs w:val="20"/>
    </w:rPr>
  </w:style>
  <w:style w:type="character" w:styleId="511" w:customStyle="1">
    <w:name w:val="Заголовок 5 Знак1"/>
    <w:uiPriority w:val="99"/>
    <w:semiHidden/>
    <w:qFormat/>
    <w:rPr>
      <w:rFonts w:ascii="Cambria" w:hAnsi="Cambria" w:eastAsia="Times New Roman" w:cs="Times New Roman"/>
      <w:color w:val="243F60"/>
      <w:sz w:val="24"/>
      <w:szCs w:val="24"/>
      <w:lang w:eastAsia="ru-RU"/>
    </w:rPr>
  </w:style>
  <w:style w:type="character" w:styleId="Style61" w:customStyle="1">
    <w:name w:val="Обычный отступ Знак"/>
    <w:qFormat/>
    <w:locked/>
    <w:rPr>
      <w:color w:val="000000"/>
      <w:sz w:val="24"/>
    </w:rPr>
  </w:style>
  <w:style w:type="character" w:styleId="124" w:customStyle="1">
    <w:name w:val="Основной текст Знак1"/>
    <w:semiHidden/>
    <w:qFormat/>
    <w:rPr>
      <w:sz w:val="24"/>
      <w:szCs w:val="24"/>
    </w:rPr>
  </w:style>
  <w:style w:type="character" w:styleId="213" w:customStyle="1">
    <w:name w:val="Основной текст с отступом 2 Знак1"/>
    <w:uiPriority w:val="99"/>
    <w:semiHidden/>
    <w:qFormat/>
    <w:rPr>
      <w:sz w:val="24"/>
      <w:szCs w:val="24"/>
    </w:rPr>
  </w:style>
  <w:style w:type="character" w:styleId="1111" w:customStyle="1">
    <w:name w:val="1.1.1.1_ норм Знак"/>
    <w:qFormat/>
    <w:locked/>
    <w:rPr>
      <w:bCs/>
      <w:sz w:val="24"/>
      <w:szCs w:val="24"/>
      <w:lang w:bidi="en-US"/>
    </w:rPr>
  </w:style>
  <w:style w:type="character" w:styleId="Style62" w:customStyle="1">
    <w:name w:val="Список с точкой Знак"/>
    <w:uiPriority w:val="99"/>
    <w:qFormat/>
    <w:locked/>
    <w:rPr>
      <w:color w:val="000000"/>
      <w:sz w:val="24"/>
      <w:szCs w:val="24"/>
    </w:rPr>
  </w:style>
  <w:style w:type="character" w:styleId="125" w:customStyle="1">
    <w:name w:val="Заголовок 1 с Нум Знак"/>
    <w:uiPriority w:val="99"/>
    <w:qFormat/>
    <w:rPr>
      <w:rFonts w:ascii="Arial" w:hAnsi="Arial" w:cs="Arial"/>
      <w:b/>
      <w:bCs/>
      <w:kern w:val="2"/>
      <w:sz w:val="32"/>
      <w:szCs w:val="32"/>
      <w:lang w:val="ru-RU" w:eastAsia="ru-RU" w:bidi="ar-SA"/>
    </w:rPr>
  </w:style>
  <w:style w:type="character" w:styleId="V121" w:customStyle="1">
    <w:name w:val="v121"/>
    <w:qFormat/>
    <w:rPr>
      <w:rFonts w:ascii="Verdana" w:hAnsi="Verdana"/>
      <w:sz w:val="18"/>
      <w:szCs w:val="18"/>
    </w:rPr>
  </w:style>
  <w:style w:type="character" w:styleId="Style63" w:customStyle="1">
    <w:name w:val="Основной текст Знак Знак Знак Знак Знак Знак Знак"/>
    <w:uiPriority w:val="99"/>
    <w:qFormat/>
    <w:rPr>
      <w:rFonts w:ascii="Times New Roman" w:hAnsi="Times New Roman" w:cs="Times New Roman"/>
      <w:sz w:val="24"/>
      <w:szCs w:val="24"/>
      <w:lang w:val="ru-RU" w:eastAsia="ru-RU" w:bidi="ar-SA"/>
    </w:rPr>
  </w:style>
  <w:style w:type="character" w:styleId="20" w:customStyle="1">
    <w:name w:val="Знак Знак20"/>
    <w:uiPriority w:val="99"/>
    <w:qFormat/>
    <w:locked/>
    <w:rPr>
      <w:rFonts w:ascii="Times New Roman" w:hAnsi="Times New Roman" w:cs="Times New Roman"/>
      <w:b/>
      <w:bCs w:val="false"/>
      <w:sz w:val="22"/>
      <w:lang w:val="ru-RU" w:eastAsia="ru-RU" w:bidi="ar-SA"/>
    </w:rPr>
  </w:style>
  <w:style w:type="character" w:styleId="HTML1" w:customStyle="1">
    <w:name w:val="Стандартный HTML Знак1"/>
    <w:uiPriority w:val="99"/>
    <w:qFormat/>
    <w:rPr>
      <w:rFonts w:ascii="Consolas" w:hAnsi="Consolas" w:cs="Consolas"/>
    </w:rPr>
  </w:style>
  <w:style w:type="character" w:styleId="HTMLPreformattedChar1" w:customStyle="1">
    <w:name w:val="HTML Preformatted Char1"/>
    <w:uiPriority w:val="99"/>
    <w:semiHidden/>
    <w:qFormat/>
    <w:rPr>
      <w:rFonts w:ascii="Courier New" w:hAnsi="Courier New" w:cs="Courier New"/>
      <w:color w:val="000000"/>
      <w:sz w:val="20"/>
      <w:szCs w:val="20"/>
    </w:rPr>
  </w:style>
  <w:style w:type="character" w:styleId="39" w:customStyle="1">
    <w:name w:val="Знак Знак3"/>
    <w:uiPriority w:val="99"/>
    <w:qFormat/>
    <w:locked/>
    <w:rPr>
      <w:rFonts w:ascii="Times New Roman" w:hAnsi="Times New Roman" w:cs="Times New Roman"/>
      <w:lang w:val="ru-RU" w:eastAsia="ru-RU" w:bidi="ar-SA"/>
    </w:rPr>
  </w:style>
  <w:style w:type="character" w:styleId="126" w:customStyle="1">
    <w:name w:val="Текст примечания Знак1"/>
    <w:basedOn w:val="DefaultParagraphFont"/>
    <w:uiPriority w:val="99"/>
    <w:qFormat/>
    <w:rPr/>
  </w:style>
  <w:style w:type="character" w:styleId="CommentTextChar1" w:customStyle="1">
    <w:name w:val="Comment Text Char1"/>
    <w:uiPriority w:val="99"/>
    <w:semiHidden/>
    <w:qFormat/>
    <w:rPr>
      <w:color w:val="000000"/>
      <w:sz w:val="20"/>
      <w:szCs w:val="20"/>
    </w:rPr>
  </w:style>
  <w:style w:type="character" w:styleId="10" w:customStyle="1">
    <w:name w:val="Знак Знак10"/>
    <w:uiPriority w:val="99"/>
    <w:qFormat/>
    <w:locked/>
    <w:rPr>
      <w:rFonts w:ascii="Times New Roman" w:hAnsi="Times New Roman" w:cs="Times New Roman"/>
      <w:b/>
      <w:bCs w:val="false"/>
      <w:sz w:val="24"/>
      <w:lang w:val="ru-RU" w:eastAsia="ru-RU" w:bidi="ar-SA"/>
    </w:rPr>
  </w:style>
  <w:style w:type="character" w:styleId="127" w:customStyle="1">
    <w:name w:val="Текст Знак1"/>
    <w:uiPriority w:val="99"/>
    <w:qFormat/>
    <w:rPr>
      <w:rFonts w:ascii="Consolas" w:hAnsi="Consolas" w:cs="Consolas"/>
      <w:sz w:val="21"/>
      <w:szCs w:val="21"/>
    </w:rPr>
  </w:style>
  <w:style w:type="character" w:styleId="PlainTextChar1" w:customStyle="1">
    <w:name w:val="Plain Text Char1"/>
    <w:uiPriority w:val="99"/>
    <w:semiHidden/>
    <w:qFormat/>
    <w:rPr>
      <w:rFonts w:ascii="Courier New" w:hAnsi="Courier New" w:cs="Courier New"/>
      <w:color w:val="000000"/>
      <w:sz w:val="20"/>
      <w:szCs w:val="20"/>
    </w:rPr>
  </w:style>
  <w:style w:type="character" w:styleId="128" w:customStyle="1">
    <w:name w:val="Знак Знак1"/>
    <w:qFormat/>
    <w:rPr>
      <w:rFonts w:ascii="Times New Roman" w:hAnsi="Times New Roman" w:cs="Times New Roman"/>
    </w:rPr>
  </w:style>
  <w:style w:type="character" w:styleId="FootnoteTextChar" w:customStyle="1">
    <w:name w:val="Footnote Text Char"/>
    <w:qFormat/>
    <w:locked/>
    <w:rPr>
      <w:rFonts w:ascii="Calibri" w:hAnsi="Calibri"/>
      <w:lang w:val="ru-RU" w:eastAsia="ru-RU" w:bidi="ar-SA"/>
    </w:rPr>
  </w:style>
  <w:style w:type="character" w:styleId="MTEquationSection" w:customStyle="1">
    <w:name w:val="MTEquationSection"/>
    <w:qFormat/>
    <w:rPr>
      <w:vanish/>
      <w:color w:val="FF0000"/>
    </w:rPr>
  </w:style>
  <w:style w:type="character" w:styleId="Style64" w:customStyle="1">
    <w:name w:val="Подпункт Знак"/>
    <w:qFormat/>
    <w:rPr>
      <w:b/>
      <w:sz w:val="28"/>
      <w:szCs w:val="28"/>
    </w:rPr>
  </w:style>
  <w:style w:type="character" w:styleId="129" w:customStyle="1">
    <w:name w:val="Таблица заголовок 1 Знак"/>
    <w:qFormat/>
    <w:locked/>
    <w:rPr>
      <w:rFonts w:ascii="Tahoma" w:hAnsi="Tahoma" w:eastAsia="Calibri"/>
      <w:b/>
      <w:bCs/>
      <w:sz w:val="16"/>
      <w:szCs w:val="16"/>
    </w:rPr>
  </w:style>
  <w:style w:type="character" w:styleId="Style65" w:customStyle="1">
    <w:name w:val="Обычный Р Знак"/>
    <w:qFormat/>
    <w:rPr>
      <w:sz w:val="28"/>
    </w:rPr>
  </w:style>
  <w:style w:type="character" w:styleId="1-" w:customStyle="1">
    <w:name w:val="Перечисление 1-го уровня Знак"/>
    <w:qFormat/>
    <w:rPr>
      <w:sz w:val="28"/>
      <w:szCs w:val="28"/>
    </w:rPr>
  </w:style>
  <w:style w:type="character" w:styleId="Blk" w:customStyle="1">
    <w:name w:val="blk"/>
    <w:basedOn w:val="DefaultParagraphFont"/>
    <w:qFormat/>
    <w:rPr/>
  </w:style>
  <w:style w:type="character" w:styleId="Style66" w:customStyle="1">
    <w:name w:val="Ссылка указателя"/>
    <w:qFormat/>
    <w:rPr/>
  </w:style>
  <w:style w:type="character" w:styleId="214" w:customStyle="1">
    <w:name w:val="Текст примечания Знак2"/>
    <w:basedOn w:val="DefaultParagraphFont"/>
    <w:semiHidden/>
    <w:qFormat/>
    <w:rPr/>
  </w:style>
  <w:style w:type="character" w:styleId="130" w:customStyle="1">
    <w:name w:val="Тема примечания Знак1"/>
    <w:basedOn w:val="214"/>
    <w:semiHidden/>
    <w:qFormat/>
    <w:rPr>
      <w:b/>
      <w:bCs/>
    </w:rPr>
  </w:style>
  <w:style w:type="character" w:styleId="215" w:customStyle="1">
    <w:name w:val="Цитата 2 Знак1"/>
    <w:basedOn w:val="DefaultParagraphFont"/>
    <w:uiPriority w:val="29"/>
    <w:qFormat/>
    <w:rPr>
      <w:rFonts w:ascii="Calibri" w:hAnsi="Calibri"/>
      <w:i/>
      <w:iCs/>
      <w:color w:val="000000"/>
      <w:sz w:val="22"/>
      <w:szCs w:val="22"/>
      <w:lang w:val="en-US" w:eastAsia="en-US" w:bidi="en-US"/>
    </w:rPr>
  </w:style>
  <w:style w:type="character" w:styleId="131" w:customStyle="1">
    <w:name w:val="Выделенная цитата Знак1"/>
    <w:basedOn w:val="DefaultParagraphFont"/>
    <w:uiPriority w:val="30"/>
    <w:qFormat/>
    <w:rPr>
      <w:rFonts w:ascii="Calibri" w:hAnsi="Calibri"/>
      <w:b/>
      <w:bCs/>
      <w:i/>
      <w:iCs/>
      <w:color w:val="4F81BD"/>
      <w:sz w:val="22"/>
      <w:szCs w:val="22"/>
      <w:lang w:val="en-US" w:eastAsia="en-US" w:bidi="en-US"/>
    </w:rPr>
  </w:style>
  <w:style w:type="character" w:styleId="216" w:customStyle="1">
    <w:name w:val="Основной текст 2 Знак1"/>
    <w:basedOn w:val="DefaultParagraphFont"/>
    <w:qFormat/>
    <w:rPr>
      <w:color w:val="000000"/>
      <w:sz w:val="24"/>
      <w:szCs w:val="24"/>
    </w:rPr>
  </w:style>
  <w:style w:type="character" w:styleId="221" w:customStyle="1">
    <w:name w:val="Основной текст с отступом 2 Знак2"/>
    <w:basedOn w:val="DefaultParagraphFont"/>
    <w:uiPriority w:val="99"/>
    <w:qFormat/>
    <w:rPr>
      <w:color w:val="000000"/>
      <w:sz w:val="24"/>
      <w:szCs w:val="24"/>
    </w:rPr>
  </w:style>
  <w:style w:type="character" w:styleId="312" w:customStyle="1">
    <w:name w:val="Основной текст с отступом 3 Знак1"/>
    <w:basedOn w:val="DefaultParagraphFont"/>
    <w:uiPriority w:val="99"/>
    <w:qFormat/>
    <w:rPr>
      <w:color w:val="000000"/>
      <w:sz w:val="16"/>
      <w:szCs w:val="16"/>
    </w:rPr>
  </w:style>
  <w:style w:type="character" w:styleId="313" w:customStyle="1">
    <w:name w:val="Основной текст 3 Знак1"/>
    <w:basedOn w:val="DefaultParagraphFont"/>
    <w:uiPriority w:val="99"/>
    <w:qFormat/>
    <w:rPr>
      <w:color w:val="000000"/>
      <w:sz w:val="24"/>
      <w:szCs w:val="24"/>
    </w:rPr>
  </w:style>
  <w:style w:type="character" w:styleId="132" w:customStyle="1">
    <w:name w:val="Подпись Знак1"/>
    <w:basedOn w:val="DefaultParagraphFont"/>
    <w:qFormat/>
    <w:rPr>
      <w:color w:val="000000"/>
      <w:sz w:val="24"/>
    </w:rPr>
  </w:style>
  <w:style w:type="character" w:styleId="217" w:customStyle="1">
    <w:name w:val="Текст Знак2"/>
    <w:basedOn w:val="DefaultParagraphFont"/>
    <w:uiPriority w:val="99"/>
    <w:qFormat/>
    <w:rPr>
      <w:rFonts w:ascii="Courier New" w:hAnsi="Courier New"/>
      <w:color w:val="000000"/>
    </w:rPr>
  </w:style>
  <w:style w:type="character" w:styleId="218" w:customStyle="1">
    <w:name w:val="Основной текст с отступом Знак2"/>
    <w:basedOn w:val="DefaultParagraphFont"/>
    <w:qFormat/>
    <w:rPr>
      <w:sz w:val="24"/>
      <w:szCs w:val="24"/>
      <w:lang w:eastAsia="zh-CN"/>
    </w:rPr>
  </w:style>
  <w:style w:type="character" w:styleId="219" w:customStyle="1">
    <w:name w:val="Красная строка 2 Знак1"/>
    <w:basedOn w:val="218"/>
    <w:uiPriority w:val="99"/>
    <w:qFormat/>
    <w:rPr>
      <w:color w:val="000000"/>
      <w:sz w:val="24"/>
      <w:szCs w:val="24"/>
      <w:lang w:eastAsia="zh-CN"/>
    </w:rPr>
  </w:style>
  <w:style w:type="character" w:styleId="Button-search" w:customStyle="1">
    <w:name w:val="button-search"/>
    <w:basedOn w:val="DefaultParagraphFont"/>
    <w:qFormat/>
    <w:rPr/>
  </w:style>
  <w:style w:type="character" w:styleId="Style67" w:customStyle="1">
    <w:name w:val="Другое_"/>
    <w:basedOn w:val="DefaultParagraphFont"/>
    <w:qFormat/>
    <w:rPr>
      <w:sz w:val="28"/>
      <w:szCs w:val="28"/>
    </w:rPr>
  </w:style>
  <w:style w:type="paragraph" w:styleId="Style68" w:customStyle="1">
    <w:name w:val="Заголовок"/>
    <w:basedOn w:val="Normal"/>
    <w:next w:val="Normal"/>
    <w:uiPriority w:val="10"/>
    <w:qFormat/>
    <w:pPr>
      <w:pBdr>
        <w:bottom w:val="single" w:sz="8" w:space="4" w:color="4F81BD"/>
      </w:pBdr>
      <w:spacing w:before="0" w:after="300"/>
    </w:pPr>
    <w:rPr>
      <w:rFonts w:ascii="Cambria" w:hAnsi="Cambria" w:cs="Cambria"/>
      <w:color w:val="17365D"/>
      <w:spacing w:val="5"/>
      <w:kern w:val="2"/>
      <w:sz w:val="52"/>
      <w:szCs w:val="52"/>
    </w:rPr>
  </w:style>
  <w:style w:type="paragraph" w:styleId="BodyText">
    <w:name w:val="Body Text"/>
    <w:basedOn w:val="Normal"/>
    <w:qFormat/>
    <w:pPr>
      <w:spacing w:before="0" w:after="60"/>
      <w:ind w:firstLine="567"/>
      <w:jc w:val="both"/>
    </w:pPr>
    <w:rPr/>
  </w:style>
  <w:style w:type="paragraph" w:styleId="List">
    <w:name w:val="List"/>
    <w:basedOn w:val="Normal"/>
    <w:uiPriority w:val="99"/>
    <w:pPr>
      <w:spacing w:before="0" w:after="60"/>
      <w:jc w:val="both"/>
    </w:pPr>
    <w:rPr/>
  </w:style>
  <w:style w:type="paragraph" w:styleId="Caption">
    <w:name w:val="Caption"/>
    <w:basedOn w:val="Normal"/>
    <w:qFormat/>
    <w:pPr>
      <w:suppressLineNumbers/>
      <w:spacing w:before="120" w:after="120"/>
    </w:pPr>
    <w:rPr>
      <w:rFonts w:cs="Lucida Sans"/>
      <w:i/>
      <w:iCs/>
      <w:sz w:val="24"/>
      <w:szCs w:val="24"/>
    </w:rPr>
  </w:style>
  <w:style w:type="paragraph" w:styleId="Style69">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Arial"/>
      <w:i/>
      <w:iCs/>
    </w:rPr>
  </w:style>
  <w:style w:type="paragraph" w:styleId="Indexheading1">
    <w:name w:val="index heading1"/>
    <w:basedOn w:val="Style68"/>
    <w:qFormat/>
    <w:pPr/>
    <w:rPr/>
  </w:style>
  <w:style w:type="paragraph" w:styleId="Caption11" w:customStyle="1">
    <w:name w:val="caption11"/>
    <w:basedOn w:val="Style68"/>
    <w:next w:val="BodyText"/>
    <w:uiPriority w:val="35"/>
    <w:qFormat/>
    <w:pPr>
      <w:jc w:val="center"/>
    </w:pPr>
    <w:rPr>
      <w:b/>
      <w:bCs/>
      <w:sz w:val="56"/>
      <w:szCs w:val="56"/>
    </w:rPr>
  </w:style>
  <w:style w:type="paragraph" w:styleId="43" w:customStyle="1">
    <w:name w:val="Указатель4"/>
    <w:basedOn w:val="Normal"/>
    <w:qFormat/>
    <w:pPr>
      <w:suppressLineNumbers/>
    </w:pPr>
    <w:rPr>
      <w:rFonts w:cs="Mangal"/>
    </w:rPr>
  </w:style>
  <w:style w:type="paragraph" w:styleId="220" w:customStyle="1">
    <w:name w:val="Название объекта2"/>
    <w:basedOn w:val="Normal"/>
    <w:qFormat/>
    <w:pPr>
      <w:suppressLineNumbers/>
      <w:spacing w:before="120" w:after="120"/>
    </w:pPr>
    <w:rPr>
      <w:rFonts w:cs="Mangal"/>
      <w:i/>
      <w:iCs/>
    </w:rPr>
  </w:style>
  <w:style w:type="paragraph" w:styleId="310" w:customStyle="1">
    <w:name w:val="Указатель3"/>
    <w:basedOn w:val="Normal"/>
    <w:qFormat/>
    <w:pPr>
      <w:suppressLineNumbers/>
    </w:pPr>
    <w:rPr>
      <w:rFonts w:cs="Mangal"/>
    </w:rPr>
  </w:style>
  <w:style w:type="paragraph" w:styleId="Style70" w:customStyle="1">
    <w:name w:val="Абзац"/>
    <w:qFormat/>
    <w:pPr>
      <w:widowControl/>
      <w:suppressAutoHyphens w:val="true"/>
      <w:bidi w:val="0"/>
      <w:spacing w:before="120" w:after="60"/>
      <w:ind w:firstLine="567"/>
      <w:jc w:val="both"/>
    </w:pPr>
    <w:rPr>
      <w:rFonts w:ascii="Times New Roman" w:hAnsi="Times New Roman" w:eastAsia="Times New Roman" w:cs="Times New Roman"/>
      <w:color w:val="auto"/>
      <w:kern w:val="0"/>
      <w:sz w:val="24"/>
      <w:szCs w:val="24"/>
      <w:lang w:val="ru-RU" w:eastAsia="zh-CN" w:bidi="ar-SA"/>
    </w:rPr>
  </w:style>
  <w:style w:type="paragraph" w:styleId="Style71" w:customStyle="1">
    <w:name w:val="Год утверждения"/>
    <w:basedOn w:val="Normal"/>
    <w:qFormat/>
    <w:pPr>
      <w:jc w:val="center"/>
    </w:pPr>
    <w:rPr>
      <w:b/>
      <w:bCs/>
      <w:sz w:val="28"/>
      <w:szCs w:val="28"/>
    </w:rPr>
  </w:style>
  <w:style w:type="paragraph" w:styleId="Style72" w:customStyle="1">
    <w:name w:val="Колонтитулы"/>
    <w:basedOn w:val="Normal"/>
    <w:qFormat/>
    <w:pPr/>
    <w:rPr/>
  </w:style>
  <w:style w:type="paragraph" w:styleId="Style73" w:customStyle="1">
    <w:name w:val="Колонтитул"/>
    <w:basedOn w:val="Normal"/>
    <w:qFormat/>
    <w:pPr/>
    <w:rPr/>
  </w:style>
  <w:style w:type="paragraph" w:styleId="Style74">
    <w:name w:val="Верхний и нижний колонтитулы"/>
    <w:basedOn w:val="Normal"/>
    <w:qFormat/>
    <w:pPr/>
    <w:rPr/>
  </w:style>
  <w:style w:type="paragraph" w:styleId="Header">
    <w:name w:val="Header"/>
    <w:basedOn w:val="Normal"/>
    <w:pPr>
      <w:pBdr>
        <w:top w:val="double" w:sz="2" w:space="1" w:color="808080"/>
        <w:bottom w:val="double" w:sz="2" w:space="1" w:color="808080"/>
      </w:pBdr>
      <w:tabs>
        <w:tab w:val="clear" w:pos="397"/>
        <w:tab w:val="center" w:pos="4677" w:leader="none"/>
        <w:tab w:val="left" w:pos="9355" w:leader="none"/>
      </w:tabs>
      <w:spacing w:before="0" w:after="120"/>
      <w:jc w:val="center"/>
    </w:pPr>
    <w:rPr>
      <w:color w:val="808080"/>
      <w:sz w:val="20"/>
      <w:szCs w:val="20"/>
    </w:rPr>
  </w:style>
  <w:style w:type="paragraph" w:styleId="BalloonText">
    <w:name w:val="Balloon Text"/>
    <w:basedOn w:val="Normal"/>
    <w:uiPriority w:val="99"/>
    <w:qFormat/>
    <w:pPr/>
    <w:rPr>
      <w:rFonts w:ascii="Tahoma" w:hAnsi="Tahoma" w:cs="Tahoma"/>
      <w:sz w:val="16"/>
      <w:szCs w:val="16"/>
    </w:rPr>
  </w:style>
  <w:style w:type="paragraph" w:styleId="TOC3">
    <w:name w:val="TOC 3"/>
    <w:basedOn w:val="Normal"/>
    <w:next w:val="Normal"/>
    <w:link w:val="38"/>
    <w:uiPriority w:val="39"/>
    <w:pPr>
      <w:ind w:hanging="0" w:left="480"/>
    </w:pPr>
    <w:rPr>
      <w:i/>
      <w:iCs/>
      <w:sz w:val="20"/>
      <w:szCs w:val="20"/>
    </w:rPr>
  </w:style>
  <w:style w:type="paragraph" w:styleId="222" w:customStyle="1">
    <w:name w:val="Пункт 2"/>
    <w:basedOn w:val="Heading2"/>
    <w:qFormat/>
    <w:pPr>
      <w:keepNext w:val="false"/>
      <w:numPr>
        <w:ilvl w:val="0"/>
        <w:numId w:val="0"/>
      </w:numPr>
      <w:tabs>
        <w:tab w:val="clear" w:pos="1276"/>
        <w:tab w:val="left" w:pos="1134" w:leader="none"/>
      </w:tabs>
      <w:spacing w:before="120" w:after="60"/>
      <w:ind w:firstLine="567"/>
      <w:jc w:val="both"/>
    </w:pPr>
    <w:rPr>
      <w:b w:val="false"/>
      <w:bCs w:val="false"/>
      <w:sz w:val="24"/>
      <w:szCs w:val="24"/>
    </w:rPr>
  </w:style>
  <w:style w:type="paragraph" w:styleId="314" w:customStyle="1">
    <w:name w:val="Пункт 3"/>
    <w:basedOn w:val="Heading3"/>
    <w:qFormat/>
    <w:pPr>
      <w:keepNext w:val="false"/>
      <w:numPr>
        <w:ilvl w:val="0"/>
        <w:numId w:val="0"/>
      </w:numPr>
      <w:ind w:hanging="0" w:left="567"/>
      <w:jc w:val="both"/>
    </w:pPr>
    <w:rPr>
      <w:b w:val="false"/>
      <w:bCs w:val="false"/>
    </w:rPr>
  </w:style>
  <w:style w:type="paragraph" w:styleId="44" w:customStyle="1">
    <w:name w:val="Пункт 4"/>
    <w:basedOn w:val="Heading4"/>
    <w:qFormat/>
    <w:pPr>
      <w:keepNext w:val="false"/>
      <w:numPr>
        <w:ilvl w:val="0"/>
        <w:numId w:val="0"/>
      </w:numPr>
      <w:jc w:val="both"/>
    </w:pPr>
    <w:rPr>
      <w:b w:val="false"/>
      <w:bCs w:val="false"/>
    </w:rPr>
  </w:style>
  <w:style w:type="paragraph" w:styleId="53" w:customStyle="1">
    <w:name w:val="Пункт 5"/>
    <w:basedOn w:val="Heading5"/>
    <w:qFormat/>
    <w:pPr>
      <w:numPr>
        <w:ilvl w:val="0"/>
        <w:numId w:val="0"/>
      </w:numPr>
      <w:spacing w:before="60" w:after="60"/>
    </w:pPr>
    <w:rPr>
      <w:b w:val="false"/>
      <w:bCs w:val="false"/>
      <w:sz w:val="24"/>
      <w:szCs w:val="24"/>
    </w:rPr>
  </w:style>
  <w:style w:type="paragraph" w:styleId="133" w:customStyle="1">
    <w:name w:val="Прощание1"/>
    <w:basedOn w:val="Normal"/>
    <w:next w:val="Normal"/>
    <w:qFormat/>
    <w:pPr>
      <w:keepNext w:val="true"/>
      <w:pageBreakBefore/>
      <w:spacing w:before="120" w:after="120"/>
      <w:jc w:val="center"/>
    </w:pPr>
    <w:rPr>
      <w:b/>
      <w:bCs/>
      <w:kern w:val="2"/>
      <w:sz w:val="28"/>
      <w:szCs w:val="28"/>
    </w:rPr>
  </w:style>
  <w:style w:type="paragraph" w:styleId="Style75" w:customStyle="1">
    <w:name w:val="Оглавление"/>
    <w:qFormat/>
    <w:pPr>
      <w:keepNext w:val="true"/>
      <w:keepLines/>
      <w:widowControl w:val="false"/>
      <w:suppressAutoHyphens w:val="true"/>
      <w:bidi w:val="0"/>
      <w:spacing w:before="240" w:after="120"/>
      <w:ind w:hanging="0" w:left="510"/>
      <w:jc w:val="center"/>
    </w:pPr>
    <w:rPr>
      <w:rFonts w:ascii="Times New Roman" w:hAnsi="Times New Roman" w:eastAsia="Times New Roman" w:cs="Times New Roman"/>
      <w:b/>
      <w:bCs/>
      <w:caps/>
      <w:color w:val="auto"/>
      <w:kern w:val="0"/>
      <w:sz w:val="28"/>
      <w:szCs w:val="28"/>
      <w:lang w:val="ru-RU" w:eastAsia="zh-CN" w:bidi="ar-SA"/>
    </w:rPr>
  </w:style>
  <w:style w:type="paragraph" w:styleId="Style76" w:customStyle="1">
    <w:name w:val="Верх. колонт. четн."/>
    <w:basedOn w:val="Normal"/>
    <w:qFormat/>
    <w:pPr>
      <w:widowControl w:val="false"/>
      <w:spacing w:lineRule="exact" w:line="240"/>
      <w:jc w:val="right"/>
    </w:pPr>
    <w:rPr>
      <w:rFonts w:ascii="Arial" w:hAnsi="Arial" w:cs="Arial"/>
      <w:b/>
      <w:bCs/>
      <w:i/>
      <w:iCs/>
    </w:rPr>
  </w:style>
  <w:style w:type="paragraph" w:styleId="Style77" w:customStyle="1">
    <w:name w:val="Верх. колонт. нечет."/>
    <w:basedOn w:val="Normal"/>
    <w:qFormat/>
    <w:pPr>
      <w:widowControl w:val="false"/>
      <w:spacing w:lineRule="exact" w:line="240"/>
    </w:pPr>
    <w:rPr>
      <w:rFonts w:ascii="Arial" w:hAnsi="Arial" w:cs="Arial"/>
      <w:b/>
      <w:bCs/>
      <w:i/>
      <w:iCs/>
    </w:rPr>
  </w:style>
  <w:style w:type="paragraph" w:styleId="TOC1">
    <w:name w:val="TOC 1"/>
    <w:basedOn w:val="Normal"/>
    <w:next w:val="Normal"/>
    <w:link w:val="110"/>
    <w:uiPriority w:val="39"/>
    <w:pPr>
      <w:spacing w:before="120" w:after="120"/>
    </w:pPr>
    <w:rPr>
      <w:b/>
      <w:bCs/>
      <w:caps/>
    </w:rPr>
  </w:style>
  <w:style w:type="paragraph" w:styleId="TOC2">
    <w:name w:val="TOC 2"/>
    <w:basedOn w:val="Normal"/>
    <w:next w:val="Normal"/>
    <w:link w:val="28"/>
    <w:uiPriority w:val="39"/>
    <w:pPr>
      <w:ind w:hanging="0" w:left="240"/>
    </w:pPr>
    <w:rPr>
      <w:smallCaps/>
    </w:rPr>
  </w:style>
  <w:style w:type="paragraph" w:styleId="134" w:customStyle="1">
    <w:name w:val="Название объекта1"/>
    <w:basedOn w:val="Normal"/>
    <w:next w:val="Normal"/>
    <w:qFormat/>
    <w:pPr>
      <w:spacing w:before="120" w:after="120"/>
      <w:jc w:val="center"/>
    </w:pPr>
    <w:rPr>
      <w:b/>
      <w:bCs/>
      <w:sz w:val="22"/>
      <w:szCs w:val="22"/>
    </w:rPr>
  </w:style>
  <w:style w:type="paragraph" w:styleId="Style78" w:customStyle="1">
    <w:name w:val="Таблица_номер_таблицы"/>
    <w:qFormat/>
    <w:pPr>
      <w:keepNext w:val="true"/>
      <w:widowControl/>
      <w:suppressAutoHyphens w:val="true"/>
      <w:bidi w:val="0"/>
      <w:spacing w:before="0" w:after="0"/>
      <w:jc w:val="right"/>
    </w:pPr>
    <w:rPr>
      <w:rFonts w:ascii="Times New Roman" w:hAnsi="Times New Roman" w:eastAsia="Times New Roman" w:cs="Times New Roman"/>
      <w:color w:val="auto"/>
      <w:kern w:val="0"/>
      <w:sz w:val="24"/>
      <w:szCs w:val="24"/>
      <w:lang w:val="ru-RU" w:eastAsia="zh-CN" w:bidi="ar-SA"/>
    </w:rPr>
  </w:style>
  <w:style w:type="paragraph" w:styleId="Style79" w:customStyle="1">
    <w:name w:val="Примечания"/>
    <w:basedOn w:val="Normal"/>
    <w:qFormat/>
    <w:pPr>
      <w:spacing w:before="120" w:after="0"/>
      <w:ind w:firstLine="567"/>
      <w:jc w:val="both"/>
    </w:pPr>
    <w:rPr>
      <w:spacing w:val="80"/>
    </w:rPr>
  </w:style>
  <w:style w:type="paragraph" w:styleId="223" w:customStyle="1">
    <w:name w:val="Заголовок_подзаголовок_2"/>
    <w:next w:val="Style70"/>
    <w:qFormat/>
    <w:pPr>
      <w:keepNext w:val="true"/>
      <w:widowControl/>
      <w:suppressAutoHyphens w:val="true"/>
      <w:bidi w:val="0"/>
      <w:spacing w:before="120" w:after="60"/>
      <w:ind w:hanging="0" w:left="567"/>
      <w:jc w:val="both"/>
    </w:pPr>
    <w:rPr>
      <w:rFonts w:ascii="Times New Roman" w:hAnsi="Times New Roman" w:eastAsia="Times New Roman" w:cs="Times New Roman"/>
      <w:b/>
      <w:bCs/>
      <w:color w:val="auto"/>
      <w:kern w:val="0"/>
      <w:sz w:val="24"/>
      <w:szCs w:val="24"/>
      <w:lang w:val="ru-RU" w:eastAsia="zh-CN" w:bidi="ar-SA"/>
    </w:rPr>
  </w:style>
  <w:style w:type="paragraph" w:styleId="TOC4">
    <w:name w:val="TOC 4"/>
    <w:basedOn w:val="Normal"/>
    <w:next w:val="Normal"/>
    <w:pPr>
      <w:ind w:hanging="0" w:left="720"/>
    </w:pPr>
    <w:rPr>
      <w:sz w:val="18"/>
      <w:szCs w:val="18"/>
    </w:rPr>
  </w:style>
  <w:style w:type="paragraph" w:styleId="TOC5">
    <w:name w:val="TOC 5"/>
    <w:basedOn w:val="Normal"/>
    <w:next w:val="Normal"/>
    <w:pPr>
      <w:ind w:hanging="0" w:left="960"/>
    </w:pPr>
    <w:rPr>
      <w:sz w:val="18"/>
      <w:szCs w:val="18"/>
    </w:rPr>
  </w:style>
  <w:style w:type="paragraph" w:styleId="TOC6">
    <w:name w:val="TOC 6"/>
    <w:basedOn w:val="Normal"/>
    <w:next w:val="Normal"/>
    <w:pPr>
      <w:ind w:hanging="0" w:left="1200"/>
    </w:pPr>
    <w:rPr>
      <w:sz w:val="18"/>
      <w:szCs w:val="18"/>
    </w:rPr>
  </w:style>
  <w:style w:type="paragraph" w:styleId="TOC7">
    <w:name w:val="TOC 7"/>
    <w:basedOn w:val="Normal"/>
    <w:next w:val="Normal"/>
    <w:pPr>
      <w:ind w:hanging="0" w:left="1440"/>
    </w:pPr>
    <w:rPr>
      <w:sz w:val="18"/>
      <w:szCs w:val="18"/>
    </w:rPr>
  </w:style>
  <w:style w:type="paragraph" w:styleId="TOC8">
    <w:name w:val="TOC 8"/>
    <w:basedOn w:val="Normal"/>
    <w:next w:val="Normal"/>
    <w:pPr>
      <w:ind w:hanging="0" w:left="1680"/>
    </w:pPr>
    <w:rPr>
      <w:sz w:val="18"/>
      <w:szCs w:val="18"/>
    </w:rPr>
  </w:style>
  <w:style w:type="paragraph" w:styleId="TOC9">
    <w:name w:val="TOC 9"/>
    <w:basedOn w:val="Normal"/>
    <w:next w:val="Normal"/>
    <w:pPr>
      <w:ind w:hanging="0" w:left="1920"/>
    </w:pPr>
    <w:rPr>
      <w:sz w:val="18"/>
      <w:szCs w:val="18"/>
    </w:rPr>
  </w:style>
  <w:style w:type="paragraph" w:styleId="Style80" w:customStyle="1">
    <w:name w:val="Верхняя шапка"/>
    <w:basedOn w:val="Normal"/>
    <w:qFormat/>
    <w:pPr>
      <w:jc w:val="center"/>
    </w:pPr>
    <w:rPr>
      <w:b/>
      <w:bCs/>
      <w:sz w:val="28"/>
      <w:szCs w:val="28"/>
    </w:rPr>
  </w:style>
  <w:style w:type="paragraph" w:styleId="135" w:customStyle="1">
    <w:name w:val="Схема документа1"/>
    <w:basedOn w:val="Normal"/>
    <w:qFormat/>
    <w:pPr>
      <w:widowControl w:val="false"/>
      <w:shd w:val="clear" w:color="auto" w:fill="000080"/>
      <w:jc w:val="both"/>
    </w:pPr>
    <w:rPr>
      <w:rFonts w:ascii="Tahoma" w:hAnsi="Tahoma" w:cs="Tahoma"/>
    </w:rPr>
  </w:style>
  <w:style w:type="paragraph" w:styleId="136" w:customStyle="1">
    <w:name w:val="Обычный 1"/>
    <w:basedOn w:val="Normal"/>
    <w:next w:val="Normal"/>
    <w:qFormat/>
    <w:pPr>
      <w:tabs>
        <w:tab w:val="clear" w:pos="397"/>
        <w:tab w:val="left" w:pos="360" w:leader="none"/>
      </w:tabs>
      <w:spacing w:before="120" w:after="0"/>
      <w:ind w:hanging="360" w:left="360"/>
      <w:jc w:val="both"/>
    </w:pPr>
    <w:rPr/>
  </w:style>
  <w:style w:type="paragraph" w:styleId="Footer">
    <w:name w:val="Footer"/>
    <w:basedOn w:val="Normal"/>
    <w:uiPriority w:val="99"/>
    <w:pPr>
      <w:tabs>
        <w:tab w:val="clear" w:pos="397"/>
        <w:tab w:val="center" w:pos="4677" w:leader="none"/>
        <w:tab w:val="right" w:pos="9355" w:leader="none"/>
      </w:tabs>
      <w:spacing w:before="120" w:after="0"/>
      <w:jc w:val="center"/>
    </w:pPr>
    <w:rPr/>
  </w:style>
  <w:style w:type="paragraph" w:styleId="Style81" w:customStyle="1">
    <w:name w:val="Обычный влево"/>
    <w:basedOn w:val="136"/>
    <w:qFormat/>
    <w:pPr>
      <w:tabs>
        <w:tab w:val="clear" w:pos="360"/>
      </w:tabs>
      <w:spacing w:before="0" w:after="0"/>
      <w:ind w:hanging="0" w:left="0"/>
      <w:jc w:val="left"/>
    </w:pPr>
    <w:rPr/>
  </w:style>
  <w:style w:type="paragraph" w:styleId="Style82" w:customStyle="1">
    <w:name w:val="Лист согласования"/>
    <w:basedOn w:val="Normal"/>
    <w:qFormat/>
    <w:pPr>
      <w:ind w:firstLine="851"/>
      <w:jc w:val="center"/>
    </w:pPr>
    <w:rPr>
      <w:b/>
      <w:bCs/>
    </w:rPr>
  </w:style>
  <w:style w:type="paragraph" w:styleId="Style83" w:customStyle="1">
    <w:name w:val="Таблица_название_таблицы"/>
    <w:next w:val="Style70"/>
    <w:qFormat/>
    <w:pPr>
      <w:keepNext w:val="true"/>
      <w:widowControl/>
      <w:suppressAutoHyphens w:val="true"/>
      <w:bidi w:val="0"/>
      <w:spacing w:before="0" w:after="120"/>
      <w:jc w:val="center"/>
    </w:pPr>
    <w:rPr>
      <w:rFonts w:ascii="Times New Roman" w:hAnsi="Times New Roman" w:eastAsia="Times New Roman" w:cs="Times New Roman"/>
      <w:color w:val="auto"/>
      <w:kern w:val="0"/>
      <w:sz w:val="24"/>
      <w:szCs w:val="24"/>
      <w:lang w:val="ru-RU" w:eastAsia="zh-CN" w:bidi="ar-SA"/>
    </w:rPr>
  </w:style>
  <w:style w:type="paragraph" w:styleId="137" w:customStyle="1">
    <w:name w:val="Заголовок_подзаголовок_1"/>
    <w:next w:val="Style70"/>
    <w:qFormat/>
    <w:pPr>
      <w:keepNext w:val="true"/>
      <w:widowControl/>
      <w:suppressAutoHyphens w:val="true"/>
      <w:bidi w:val="0"/>
      <w:spacing w:before="120" w:after="60"/>
      <w:ind w:hanging="0" w:left="567"/>
      <w:jc w:val="both"/>
    </w:pPr>
    <w:rPr>
      <w:rFonts w:ascii="Times New Roman" w:hAnsi="Times New Roman" w:eastAsia="Times New Roman" w:cs="Times New Roman"/>
      <w:b/>
      <w:bCs/>
      <w:color w:val="auto"/>
      <w:kern w:val="0"/>
      <w:sz w:val="24"/>
      <w:szCs w:val="24"/>
      <w:u w:val="single"/>
      <w:lang w:val="ru-RU" w:eastAsia="zh-CN" w:bidi="ar-SA"/>
    </w:rPr>
  </w:style>
  <w:style w:type="paragraph" w:styleId="011" w:customStyle="1">
    <w:name w:val="Заголовок 01"/>
    <w:qFormat/>
    <w:pPr>
      <w:keepNext w:val="true"/>
      <w:pageBreakBefore/>
      <w:widowControl/>
      <w:suppressAutoHyphens w:val="true"/>
      <w:bidi w:val="0"/>
      <w:spacing w:before="240" w:after="120"/>
      <w:ind w:hanging="0" w:left="567"/>
      <w:jc w:val="center"/>
    </w:pPr>
    <w:rPr>
      <w:rFonts w:ascii="Times New Roman" w:hAnsi="Times New Roman" w:eastAsia="Times New Roman" w:cs="Times New Roman"/>
      <w:b/>
      <w:bCs/>
      <w:caps/>
      <w:color w:val="auto"/>
      <w:kern w:val="2"/>
      <w:sz w:val="28"/>
      <w:szCs w:val="28"/>
      <w:lang w:val="ru-RU" w:eastAsia="zh-CN" w:bidi="ar-SA"/>
    </w:rPr>
  </w:style>
  <w:style w:type="paragraph" w:styleId="138" w:customStyle="1">
    <w:name w:val="Список_маркерный_1_уровень"/>
    <w:qFormat/>
    <w:pPr>
      <w:widowControl/>
      <w:suppressAutoHyphens w:val="true"/>
      <w:bidi w:val="0"/>
      <w:spacing w:before="60" w:after="100"/>
      <w:ind w:hanging="0" w:left="426"/>
      <w:jc w:val="both"/>
    </w:pPr>
    <w:rPr>
      <w:rFonts w:ascii="Times New Roman" w:hAnsi="Times New Roman" w:eastAsia="Times New Roman" w:cs="Times New Roman"/>
      <w:color w:val="auto"/>
      <w:kern w:val="0"/>
      <w:sz w:val="24"/>
      <w:szCs w:val="24"/>
      <w:lang w:val="ru-RU" w:eastAsia="zh-CN" w:bidi="ar-SA"/>
    </w:rPr>
  </w:style>
  <w:style w:type="paragraph" w:styleId="224" w:customStyle="1">
    <w:name w:val="Список_маркерный_2_уровень"/>
    <w:basedOn w:val="138"/>
    <w:qFormat/>
    <w:pPr>
      <w:ind w:hanging="0" w:left="964"/>
    </w:pPr>
    <w:rPr/>
  </w:style>
  <w:style w:type="paragraph" w:styleId="139" w:customStyle="1">
    <w:name w:val="Список_нумерованный_1_уровень"/>
    <w:qFormat/>
    <w:pPr>
      <w:widowControl/>
      <w:suppressAutoHyphens w:val="true"/>
      <w:bidi w:val="0"/>
      <w:spacing w:before="60" w:after="100"/>
      <w:jc w:val="both"/>
    </w:pPr>
    <w:rPr>
      <w:rFonts w:ascii="Times New Roman" w:hAnsi="Times New Roman" w:eastAsia="Times New Roman" w:cs="Times New Roman"/>
      <w:color w:val="auto"/>
      <w:kern w:val="0"/>
      <w:sz w:val="24"/>
      <w:szCs w:val="24"/>
      <w:lang w:val="ru-RU" w:eastAsia="zh-CN" w:bidi="ar-SA"/>
    </w:rPr>
  </w:style>
  <w:style w:type="paragraph" w:styleId="225" w:customStyle="1">
    <w:name w:val="Список_нумерованный_2_уровень"/>
    <w:basedOn w:val="139"/>
    <w:qFormat/>
    <w:pPr/>
    <w:rPr/>
  </w:style>
  <w:style w:type="paragraph" w:styleId="315" w:customStyle="1">
    <w:name w:val="Список_нумерованный_3_уровень"/>
    <w:basedOn w:val="139"/>
    <w:qFormat/>
    <w:pPr/>
    <w:rPr/>
  </w:style>
  <w:style w:type="paragraph" w:styleId="1112" w:customStyle="1">
    <w:name w:val="Табличный_таблица_11"/>
    <w:qFormat/>
    <w:pPr>
      <w:widowControl/>
      <w:suppressAutoHyphens w:val="true"/>
      <w:bidi w:val="0"/>
      <w:spacing w:before="0" w:after="0"/>
      <w:jc w:val="center"/>
    </w:pPr>
    <w:rPr>
      <w:rFonts w:ascii="Times New Roman" w:hAnsi="Times New Roman" w:eastAsia="Times New Roman" w:cs="Times New Roman"/>
      <w:color w:val="auto"/>
      <w:kern w:val="0"/>
      <w:sz w:val="22"/>
      <w:szCs w:val="22"/>
      <w:lang w:val="ru-RU" w:eastAsia="zh-CN" w:bidi="ar-SA"/>
    </w:rPr>
  </w:style>
  <w:style w:type="paragraph" w:styleId="1113" w:customStyle="1">
    <w:name w:val="Табличный_нумерация_11"/>
    <w:qFormat/>
    <w:pPr>
      <w:widowControl/>
      <w:suppressAutoHyphens w:val="true"/>
      <w:bidi w:val="0"/>
      <w:spacing w:before="0" w:after="0"/>
      <w:ind w:hanging="360" w:left="720"/>
      <w:jc w:val="both"/>
    </w:pPr>
    <w:rPr>
      <w:rFonts w:ascii="Times New Roman" w:hAnsi="Times New Roman" w:eastAsia="Times New Roman" w:cs="Times New Roman"/>
      <w:color w:val="auto"/>
      <w:kern w:val="0"/>
      <w:sz w:val="22"/>
      <w:szCs w:val="22"/>
      <w:lang w:val="ru-RU" w:eastAsia="zh-CN" w:bidi="ar-SA"/>
    </w:rPr>
  </w:style>
  <w:style w:type="paragraph" w:styleId="1114" w:customStyle="1">
    <w:name w:val="Табличный_маркированный_11"/>
    <w:qFormat/>
    <w:pPr>
      <w:widowControl/>
      <w:suppressAutoHyphens w:val="true"/>
      <w:bidi w:val="0"/>
      <w:spacing w:before="0" w:after="0"/>
      <w:jc w:val="both"/>
    </w:pPr>
    <w:rPr>
      <w:rFonts w:ascii="Times New Roman" w:hAnsi="Times New Roman" w:eastAsia="Times New Roman" w:cs="Times New Roman"/>
      <w:color w:val="auto"/>
      <w:kern w:val="0"/>
      <w:sz w:val="22"/>
      <w:szCs w:val="22"/>
      <w:lang w:val="ru-RU" w:eastAsia="zh-CN" w:bidi="ar-SA"/>
    </w:rPr>
  </w:style>
  <w:style w:type="paragraph" w:styleId="1115" w:customStyle="1">
    <w:name w:val="Табличный_боковик_правый_11"/>
    <w:qFormat/>
    <w:pPr>
      <w:widowControl/>
      <w:suppressAutoHyphens w:val="true"/>
      <w:bidi w:val="0"/>
      <w:spacing w:before="0" w:after="0"/>
      <w:jc w:val="right"/>
    </w:pPr>
    <w:rPr>
      <w:rFonts w:ascii="Times New Roman" w:hAnsi="Times New Roman" w:eastAsia="Times New Roman" w:cs="Times New Roman"/>
      <w:color w:val="auto"/>
      <w:kern w:val="0"/>
      <w:sz w:val="22"/>
      <w:szCs w:val="22"/>
      <w:lang w:val="ru-RU" w:eastAsia="zh-CN" w:bidi="ar-SA"/>
    </w:rPr>
  </w:style>
  <w:style w:type="paragraph" w:styleId="1116" w:customStyle="1">
    <w:name w:val="Табличный_боковик_11"/>
    <w:qFormat/>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zh-CN" w:bidi="ar-SA"/>
    </w:rPr>
  </w:style>
  <w:style w:type="paragraph" w:styleId="316" w:customStyle="1">
    <w:name w:val="Заголовок_подзаголовок_3"/>
    <w:next w:val="Style70"/>
    <w:qFormat/>
    <w:pPr>
      <w:keepNext w:val="true"/>
      <w:widowControl/>
      <w:suppressAutoHyphens w:val="true"/>
      <w:bidi w:val="0"/>
      <w:spacing w:before="120" w:after="60"/>
      <w:ind w:hanging="0" w:left="567"/>
      <w:jc w:val="both"/>
    </w:pPr>
    <w:rPr>
      <w:rFonts w:ascii="Times New Roman" w:hAnsi="Times New Roman" w:eastAsia="Times New Roman" w:cs="Times New Roman"/>
      <w:color w:val="auto"/>
      <w:kern w:val="0"/>
      <w:sz w:val="24"/>
      <w:szCs w:val="24"/>
      <w:u w:val="single"/>
      <w:lang w:val="ru-RU" w:eastAsia="zh-CN" w:bidi="ar-SA"/>
    </w:rPr>
  </w:style>
  <w:style w:type="paragraph" w:styleId="Style84" w:customStyle="1">
    <w:name w:val="Примечание"/>
    <w:next w:val="Style70"/>
    <w:qFormat/>
    <w:pPr>
      <w:widowControl/>
      <w:suppressAutoHyphens w:val="true"/>
      <w:bidi w:val="0"/>
      <w:spacing w:before="0" w:after="0"/>
      <w:ind w:hanging="113" w:left="680" w:right="567"/>
      <w:jc w:val="both"/>
    </w:pPr>
    <w:rPr>
      <w:rFonts w:ascii="Times New Roman" w:hAnsi="Times New Roman" w:eastAsia="Times New Roman" w:cs="Times New Roman"/>
      <w:color w:val="auto"/>
      <w:kern w:val="0"/>
      <w:sz w:val="22"/>
      <w:szCs w:val="22"/>
      <w:lang w:val="ru-RU" w:eastAsia="zh-CN" w:bidi="ar-SA"/>
    </w:rPr>
  </w:style>
  <w:style w:type="paragraph" w:styleId="FootnoteText">
    <w:name w:val="Footnote Text"/>
    <w:basedOn w:val="Normal"/>
    <w:uiPriority w:val="99"/>
    <w:pPr/>
    <w:rPr>
      <w:sz w:val="20"/>
      <w:szCs w:val="20"/>
    </w:rPr>
  </w:style>
  <w:style w:type="paragraph" w:styleId="EndnoteText">
    <w:name w:val="Endnote Text"/>
    <w:basedOn w:val="Normal"/>
    <w:pPr/>
    <w:rPr>
      <w:sz w:val="20"/>
      <w:szCs w:val="20"/>
    </w:rPr>
  </w:style>
  <w:style w:type="paragraph" w:styleId="226" w:customStyle="1">
    <w:name w:val="Основной текст с отступом 22"/>
    <w:basedOn w:val="Normal"/>
    <w:qFormat/>
    <w:pPr>
      <w:spacing w:lineRule="auto" w:line="480" w:before="0" w:after="120"/>
      <w:ind w:hanging="0" w:left="283"/>
    </w:pPr>
    <w:rPr/>
  </w:style>
  <w:style w:type="paragraph" w:styleId="227" w:customStyle="1">
    <w:name w:val="Основной текст 22"/>
    <w:basedOn w:val="Normal"/>
    <w:qFormat/>
    <w:pPr>
      <w:spacing w:lineRule="auto" w:line="480" w:before="0" w:after="120"/>
    </w:pPr>
    <w:rPr/>
  </w:style>
  <w:style w:type="paragraph" w:styleId="BodyTextIndent">
    <w:name w:val="Body Text Indent"/>
    <w:basedOn w:val="Normal"/>
    <w:qFormat/>
    <w:pPr>
      <w:spacing w:before="0" w:after="120"/>
      <w:ind w:hanging="0" w:left="283"/>
    </w:pPr>
    <w:rPr/>
  </w:style>
  <w:style w:type="paragraph" w:styleId="321" w:customStyle="1">
    <w:name w:val="Основной текст 32"/>
    <w:basedOn w:val="Normal"/>
    <w:qFormat/>
    <w:pPr>
      <w:spacing w:before="0" w:after="120"/>
    </w:pPr>
    <w:rPr>
      <w:sz w:val="16"/>
      <w:szCs w:val="16"/>
    </w:rPr>
  </w:style>
  <w:style w:type="paragraph" w:styleId="NormalWeb">
    <w:name w:val="Normal (Web)"/>
    <w:basedOn w:val="Normal"/>
    <w:qFormat/>
    <w:pPr/>
    <w:rPr/>
  </w:style>
  <w:style w:type="paragraph" w:styleId="HTMLPreformatted">
    <w:name w:val="HTML Preformatted"/>
    <w:basedOn w:val="Normal"/>
    <w:qFormat/>
    <w:pPr/>
    <w:rPr>
      <w:rFonts w:ascii="Consolas" w:hAnsi="Consolas" w:cs="Consolas"/>
      <w:sz w:val="20"/>
      <w:szCs w:val="20"/>
    </w:rPr>
  </w:style>
  <w:style w:type="paragraph" w:styleId="140" w:customStyle="1">
    <w:name w:val="Текст1"/>
    <w:basedOn w:val="Normal"/>
    <w:qFormat/>
    <w:pPr/>
    <w:rPr>
      <w:rFonts w:ascii="Consolas" w:hAnsi="Consolas" w:cs="Consolas"/>
      <w:sz w:val="21"/>
      <w:szCs w:val="21"/>
    </w:rPr>
  </w:style>
  <w:style w:type="paragraph" w:styleId="141" w:customStyle="1">
    <w:name w:val="Заголовок таблицы ссылок1"/>
    <w:basedOn w:val="Heading1"/>
    <w:next w:val="Normal"/>
    <w:qFormat/>
    <w:pPr>
      <w:keepLines/>
      <w:pageBreakBefore w:val="false"/>
      <w:numPr>
        <w:ilvl w:val="0"/>
        <w:numId w:val="0"/>
      </w:numPr>
      <w:tabs>
        <w:tab w:val="clear" w:pos="851"/>
      </w:tabs>
      <w:spacing w:before="480" w:after="0"/>
      <w:ind w:hanging="360" w:left="927"/>
      <w:jc w:val="left"/>
    </w:pPr>
    <w:rPr>
      <w:rFonts w:ascii="Cambria" w:hAnsi="Cambria" w:cs="Cambria"/>
      <w:caps w:val="false"/>
      <w:smallCaps w:val="false"/>
      <w:color w:val="365F91"/>
    </w:rPr>
  </w:style>
  <w:style w:type="paragraph" w:styleId="Style85" w:customStyle="1">
    <w:name w:val="Титул_адрес_организации"/>
    <w:qFormat/>
    <w:pPr>
      <w:widowControl/>
      <w:suppressAutoHyphens w:val="true"/>
      <w:bidi w:val="0"/>
      <w:spacing w:before="60" w:after="0"/>
      <w:jc w:val="right"/>
    </w:pPr>
    <w:rPr>
      <w:rFonts w:ascii="Times New Roman" w:hAnsi="Times New Roman" w:eastAsia="Times New Roman" w:cs="Times New Roman"/>
      <w:color w:val="auto"/>
      <w:kern w:val="0"/>
      <w:sz w:val="18"/>
      <w:szCs w:val="18"/>
      <w:lang w:val="ru-RU" w:eastAsia="zh-CN" w:bidi="ar-SA"/>
    </w:rPr>
  </w:style>
  <w:style w:type="paragraph" w:styleId="Style86" w:customStyle="1">
    <w:name w:val="Титул_название_организации"/>
    <w:qFormat/>
    <w:pPr>
      <w:widowControl/>
      <w:suppressAutoHyphens w:val="true"/>
      <w:bidi w:val="0"/>
      <w:spacing w:before="60" w:after="0"/>
      <w:jc w:val="right"/>
    </w:pPr>
    <w:rPr>
      <w:rFonts w:ascii="Times New Roman" w:hAnsi="Times New Roman" w:eastAsia="Times New Roman" w:cs="Times New Roman"/>
      <w:b/>
      <w:bCs/>
      <w:color w:val="auto"/>
      <w:kern w:val="0"/>
      <w:sz w:val="40"/>
      <w:szCs w:val="40"/>
      <w:lang w:val="ru-RU" w:eastAsia="zh-CN" w:bidi="ar-SA"/>
    </w:rPr>
  </w:style>
  <w:style w:type="paragraph" w:styleId="Style87" w:customStyle="1">
    <w:name w:val="Титут_инвентарник_экземпляр"/>
    <w:qFormat/>
    <w:pPr>
      <w:widowControl/>
      <w:suppressAutoHyphens w:val="true"/>
      <w:bidi w:val="0"/>
      <w:spacing w:before="240" w:after="240"/>
      <w:jc w:val="right"/>
    </w:pPr>
    <w:rPr>
      <w:rFonts w:ascii="Times New Roman" w:hAnsi="Times New Roman" w:eastAsia="Times New Roman" w:cs="Times New Roman"/>
      <w:b/>
      <w:bCs/>
      <w:color w:val="auto"/>
      <w:kern w:val="0"/>
      <w:sz w:val="24"/>
      <w:szCs w:val="24"/>
      <w:lang w:val="ru-RU" w:eastAsia="zh-CN" w:bidi="ar-SA"/>
    </w:rPr>
  </w:style>
  <w:style w:type="paragraph" w:styleId="181" w:customStyle="1">
    <w:name w:val="Титул_заголовок_18_центр"/>
    <w:qFormat/>
    <w:pPr>
      <w:widowControl/>
      <w:suppressAutoHyphens w:val="true"/>
      <w:bidi w:val="0"/>
      <w:spacing w:before="0" w:after="0"/>
      <w:jc w:val="center"/>
    </w:pPr>
    <w:rPr>
      <w:rFonts w:ascii="Times New Roman" w:hAnsi="Times New Roman" w:eastAsia="Times New Roman" w:cs="Times New Roman"/>
      <w:color w:val="auto"/>
      <w:kern w:val="0"/>
      <w:sz w:val="36"/>
      <w:szCs w:val="36"/>
      <w:lang w:val="ru-RU" w:eastAsia="zh-CN" w:bidi="ar-SA"/>
    </w:rPr>
  </w:style>
  <w:style w:type="paragraph" w:styleId="201" w:customStyle="1">
    <w:name w:val="Титул_заголовок_20_центр"/>
    <w:qFormat/>
    <w:pPr>
      <w:widowControl/>
      <w:suppressAutoHyphens w:val="true"/>
      <w:bidi w:val="0"/>
      <w:spacing w:before="0" w:after="0"/>
      <w:jc w:val="center"/>
    </w:pPr>
    <w:rPr>
      <w:rFonts w:ascii="Times New Roman" w:hAnsi="Times New Roman" w:eastAsia="Times New Roman" w:cs="Times New Roman"/>
      <w:b/>
      <w:bCs/>
      <w:color w:val="auto"/>
      <w:kern w:val="0"/>
      <w:sz w:val="40"/>
      <w:szCs w:val="40"/>
      <w:lang w:val="ru-RU" w:eastAsia="zh-CN" w:bidi="ar-SA"/>
    </w:rPr>
  </w:style>
  <w:style w:type="paragraph" w:styleId="Style88" w:customStyle="1">
    <w:name w:val="Титул_название_города_дата"/>
    <w:qFormat/>
    <w:pPr>
      <w:widowControl/>
      <w:suppressAutoHyphens w:val="true"/>
      <w:bidi w:val="0"/>
      <w:spacing w:before="0" w:after="0"/>
      <w:jc w:val="center"/>
    </w:pPr>
    <w:rPr>
      <w:rFonts w:ascii="Times New Roman" w:hAnsi="Times New Roman" w:eastAsia="Times New Roman" w:cs="Times New Roman"/>
      <w:b/>
      <w:bCs/>
      <w:color w:val="auto"/>
      <w:kern w:val="0"/>
      <w:sz w:val="24"/>
      <w:szCs w:val="24"/>
      <w:lang w:val="ru-RU" w:eastAsia="zh-CN" w:bidi="ar-SA"/>
    </w:rPr>
  </w:style>
  <w:style w:type="paragraph" w:styleId="228" w:customStyle="1">
    <w:name w:val="Цитата2"/>
    <w:basedOn w:val="Normal"/>
    <w:qFormat/>
    <w:pPr>
      <w:pBdr>
        <w:top w:val="single" w:sz="2" w:space="10" w:color="4F81BD" w:shadow="1"/>
        <w:left w:val="single" w:sz="2" w:space="10" w:color="4F81BD" w:shadow="1"/>
        <w:bottom w:val="single" w:sz="2" w:space="10" w:color="4F81BD" w:shadow="1"/>
        <w:right w:val="single" w:sz="2" w:space="10" w:color="4F81BD" w:shadow="1"/>
      </w:pBdr>
      <w:ind w:hanging="0" w:left="1152" w:right="1152"/>
    </w:pPr>
    <w:rPr>
      <w:rFonts w:ascii="Calibri" w:hAnsi="Calibri" w:cs="Calibri"/>
      <w:i/>
      <w:iCs/>
      <w:color w:val="4F81BD"/>
    </w:rPr>
  </w:style>
  <w:style w:type="paragraph" w:styleId="ListParagraph">
    <w:name w:val="List Paragraph"/>
    <w:basedOn w:val="Normal"/>
    <w:uiPriority w:val="34"/>
    <w:qFormat/>
    <w:pPr>
      <w:ind w:hanging="0" w:left="720"/>
    </w:pPr>
    <w:rPr>
      <w:szCs w:val="20"/>
      <w:lang w:val="x-none"/>
    </w:rPr>
  </w:style>
  <w:style w:type="paragraph" w:styleId="142" w:customStyle="1">
    <w:name w:val="Текст примечания1"/>
    <w:basedOn w:val="Normal"/>
    <w:qFormat/>
    <w:pPr/>
    <w:rPr>
      <w:sz w:val="20"/>
      <w:szCs w:val="20"/>
    </w:rPr>
  </w:style>
  <w:style w:type="paragraph" w:styleId="143" w:customStyle="1">
    <w:name w:val="Маркированный список1"/>
    <w:basedOn w:val="Normal"/>
    <w:qFormat/>
    <w:pPr/>
    <w:rPr/>
  </w:style>
  <w:style w:type="paragraph" w:styleId="ListBullet2">
    <w:name w:val="List Bullet 2"/>
    <w:basedOn w:val="Normal"/>
    <w:uiPriority w:val="99"/>
    <w:qFormat/>
    <w:pPr/>
    <w:rPr/>
  </w:style>
  <w:style w:type="paragraph" w:styleId="ListBullet3">
    <w:name w:val="List Bullet 3"/>
    <w:basedOn w:val="Normal"/>
    <w:qFormat/>
    <w:pPr>
      <w:tabs>
        <w:tab w:val="clear" w:pos="397"/>
        <w:tab w:val="left" w:pos="926" w:leader="none"/>
      </w:tabs>
      <w:ind w:hanging="360" w:left="926"/>
    </w:pPr>
    <w:rPr/>
  </w:style>
  <w:style w:type="paragraph" w:styleId="ListBullet4">
    <w:name w:val="List Bullet 4"/>
    <w:basedOn w:val="Normal"/>
    <w:uiPriority w:val="99"/>
    <w:qFormat/>
    <w:pPr>
      <w:tabs>
        <w:tab w:val="clear" w:pos="397"/>
        <w:tab w:val="left" w:pos="1209" w:leader="none"/>
      </w:tabs>
      <w:ind w:hanging="360" w:left="1209"/>
    </w:pPr>
    <w:rPr/>
  </w:style>
  <w:style w:type="paragraph" w:styleId="ListBullet5">
    <w:name w:val="List Bullet 5"/>
    <w:basedOn w:val="Normal"/>
    <w:qFormat/>
    <w:pPr/>
    <w:rPr/>
  </w:style>
  <w:style w:type="paragraph" w:styleId="144" w:customStyle="1">
    <w:name w:val="Основной текст1"/>
    <w:basedOn w:val="Normal"/>
    <w:qFormat/>
    <w:pPr>
      <w:shd w:val="clear" w:color="auto" w:fill="FFFFFF"/>
      <w:spacing w:lineRule="exact" w:line="322" w:before="360" w:after="0"/>
      <w:jc w:val="both"/>
    </w:pPr>
    <w:rPr>
      <w:sz w:val="27"/>
      <w:szCs w:val="27"/>
    </w:rPr>
  </w:style>
  <w:style w:type="paragraph" w:styleId="ConsPlusTitle" w:customStyle="1">
    <w:name w:val="ConsPlusTitle"/>
    <w:qFormat/>
    <w:pPr>
      <w:widowControl w:val="false"/>
      <w:suppressAutoHyphens w:val="true"/>
      <w:bidi w:val="0"/>
      <w:spacing w:before="0" w:after="0"/>
      <w:jc w:val="left"/>
    </w:pPr>
    <w:rPr>
      <w:rFonts w:ascii="Arial" w:hAnsi="Arial" w:eastAsia="Times New Roman" w:cs="Arial"/>
      <w:b/>
      <w:bCs/>
      <w:color w:val="auto"/>
      <w:kern w:val="0"/>
      <w:sz w:val="24"/>
      <w:szCs w:val="20"/>
      <w:lang w:val="ru-RU" w:eastAsia="zh-CN" w:bidi="ar-SA"/>
    </w:rPr>
  </w:style>
  <w:style w:type="paragraph" w:styleId="ConsPlusNormal" w:customStyle="1">
    <w:name w:val="ConsPlusNormal"/>
    <w:next w:val="Normal"/>
    <w:qFormat/>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zh-CN" w:bidi="ar-SA"/>
    </w:rPr>
  </w:style>
  <w:style w:type="paragraph" w:styleId="Consplusnormal1" w:customStyle="1">
    <w:name w:val="consplusnormal1"/>
    <w:basedOn w:val="Normal"/>
    <w:qFormat/>
    <w:pPr>
      <w:spacing w:before="280" w:after="280"/>
    </w:pPr>
    <w:rPr/>
  </w:style>
  <w:style w:type="paragraph" w:styleId="Bl0" w:customStyle="1">
    <w:name w:val="bl0"/>
    <w:basedOn w:val="Normal"/>
    <w:qFormat/>
    <w:pPr>
      <w:spacing w:before="280" w:after="280"/>
    </w:pPr>
    <w:rPr/>
  </w:style>
  <w:style w:type="paragraph" w:styleId="A1" w:customStyle="1">
    <w:name w:val="a1"/>
    <w:basedOn w:val="Normal"/>
    <w:qFormat/>
    <w:pPr>
      <w:spacing w:before="280" w:after="280"/>
    </w:pPr>
    <w:rPr/>
  </w:style>
  <w:style w:type="paragraph" w:styleId="Style89" w:customStyle="1">
    <w:name w:val="Знак Знак Знак"/>
    <w:basedOn w:val="Normal"/>
    <w:qFormat/>
    <w:pPr>
      <w:spacing w:before="280" w:after="280"/>
    </w:pPr>
    <w:rPr>
      <w:rFonts w:ascii="Tahoma" w:hAnsi="Tahoma" w:cs="Tahoma"/>
      <w:sz w:val="20"/>
      <w:szCs w:val="20"/>
      <w:lang w:val="en-US"/>
    </w:rPr>
  </w:style>
  <w:style w:type="paragraph" w:styleId="317" w:customStyle="1">
    <w:name w:val="Основной текст с отступом 31"/>
    <w:basedOn w:val="Normal"/>
    <w:qFormat/>
    <w:pPr>
      <w:spacing w:before="0" w:after="120"/>
      <w:ind w:hanging="0" w:left="283"/>
    </w:pPr>
    <w:rPr>
      <w:sz w:val="16"/>
      <w:szCs w:val="16"/>
    </w:rPr>
  </w:style>
  <w:style w:type="paragraph" w:styleId="WW-" w:customStyle="1">
    <w:name w:val="WW-Заголовок"/>
    <w:basedOn w:val="Normal"/>
    <w:next w:val="BodyText"/>
    <w:qFormat/>
    <w:pPr>
      <w:keepNext w:val="true"/>
      <w:spacing w:before="240" w:after="120"/>
    </w:pPr>
    <w:rPr>
      <w:sz w:val="28"/>
      <w:szCs w:val="28"/>
    </w:rPr>
  </w:style>
  <w:style w:type="paragraph" w:styleId="229" w:customStyle="1">
    <w:name w:val="Название2"/>
    <w:basedOn w:val="Normal"/>
    <w:qFormat/>
    <w:pPr>
      <w:suppressLineNumbers/>
      <w:spacing w:before="120" w:after="120"/>
    </w:pPr>
    <w:rPr>
      <w:rFonts w:ascii="Arial" w:hAnsi="Arial" w:cs="Arial"/>
      <w:i/>
      <w:iCs/>
      <w:sz w:val="20"/>
      <w:szCs w:val="20"/>
    </w:rPr>
  </w:style>
  <w:style w:type="paragraph" w:styleId="230" w:customStyle="1">
    <w:name w:val="Указатель2"/>
    <w:basedOn w:val="Normal"/>
    <w:qFormat/>
    <w:pPr>
      <w:suppressLineNumbers/>
    </w:pPr>
    <w:rPr>
      <w:rFonts w:ascii="Arial" w:hAnsi="Arial" w:cs="Arial"/>
    </w:rPr>
  </w:style>
  <w:style w:type="paragraph" w:styleId="145" w:customStyle="1">
    <w:name w:val="Название1"/>
    <w:basedOn w:val="Normal"/>
    <w:uiPriority w:val="99"/>
    <w:qFormat/>
    <w:pPr>
      <w:suppressLineNumbers/>
      <w:spacing w:before="120" w:after="120"/>
    </w:pPr>
    <w:rPr>
      <w:i/>
      <w:iCs/>
      <w:sz w:val="20"/>
      <w:szCs w:val="20"/>
    </w:rPr>
  </w:style>
  <w:style w:type="paragraph" w:styleId="146" w:customStyle="1">
    <w:name w:val="Указатель1"/>
    <w:basedOn w:val="Normal"/>
    <w:qFormat/>
    <w:pPr>
      <w:suppressLineNumbers/>
    </w:pPr>
    <w:rPr/>
  </w:style>
  <w:style w:type="paragraph" w:styleId="Subtitle">
    <w:name w:val="Subtitle"/>
    <w:basedOn w:val="WW-"/>
    <w:next w:val="BodyText"/>
    <w:uiPriority w:val="11"/>
    <w:qFormat/>
    <w:pPr>
      <w:jc w:val="center"/>
    </w:pPr>
    <w:rPr>
      <w:i/>
      <w:iCs/>
    </w:rPr>
  </w:style>
  <w:style w:type="paragraph" w:styleId="318" w:customStyle="1">
    <w:name w:val="Основной текст 31"/>
    <w:basedOn w:val="Normal"/>
    <w:qFormat/>
    <w:pPr/>
    <w:rPr/>
  </w:style>
  <w:style w:type="paragraph" w:styleId="2110" w:customStyle="1">
    <w:name w:val="Основной текст с отступом 21"/>
    <w:basedOn w:val="Normal"/>
    <w:qFormat/>
    <w:pPr>
      <w:spacing w:lineRule="auto" w:line="480" w:before="0" w:after="120"/>
      <w:ind w:hanging="0" w:left="283"/>
    </w:pPr>
    <w:rPr/>
  </w:style>
  <w:style w:type="paragraph" w:styleId="147" w:customStyle="1">
    <w:name w:val="Цитата1"/>
    <w:basedOn w:val="Normal"/>
    <w:qFormat/>
    <w:pPr>
      <w:ind w:hanging="0" w:left="720" w:right="-569"/>
      <w:jc w:val="both"/>
    </w:pPr>
    <w:rPr>
      <w:sz w:val="20"/>
      <w:szCs w:val="20"/>
    </w:rPr>
  </w:style>
  <w:style w:type="paragraph" w:styleId="2111" w:customStyle="1">
    <w:name w:val="Основной текст 21"/>
    <w:basedOn w:val="Normal"/>
    <w:qFormat/>
    <w:pPr>
      <w:spacing w:lineRule="auto" w:line="480" w:before="0" w:after="120"/>
    </w:pPr>
    <w:rPr/>
  </w:style>
  <w:style w:type="paragraph" w:styleId="Style90" w:customStyle="1">
    <w:name w:val="Содержимое таблицы"/>
    <w:basedOn w:val="Normal"/>
    <w:qFormat/>
    <w:pPr>
      <w:suppressLineNumbers/>
    </w:pPr>
    <w:rPr/>
  </w:style>
  <w:style w:type="paragraph" w:styleId="Style91" w:customStyle="1">
    <w:name w:val="Заголовок таблицы"/>
    <w:basedOn w:val="Style90"/>
    <w:qFormat/>
    <w:pPr>
      <w:jc w:val="center"/>
    </w:pPr>
    <w:rPr>
      <w:b/>
      <w:bCs/>
    </w:rPr>
  </w:style>
  <w:style w:type="paragraph" w:styleId="Style92" w:customStyle="1">
    <w:name w:val="Содержимое врезки"/>
    <w:basedOn w:val="BodyText"/>
    <w:qFormat/>
    <w:pPr>
      <w:spacing w:before="0" w:after="0"/>
    </w:pPr>
    <w:rPr>
      <w:sz w:val="22"/>
      <w:szCs w:val="22"/>
    </w:rPr>
  </w:style>
  <w:style w:type="paragraph" w:styleId="NoSpacing">
    <w:name w:val="No Spacing"/>
    <w:uiPriority w:val="1"/>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1210" w:customStyle="1">
    <w:name w:val="Табличный_таблица_12"/>
    <w:basedOn w:val="Normal"/>
    <w:qFormat/>
    <w:pPr>
      <w:jc w:val="center"/>
    </w:pPr>
    <w:rPr/>
  </w:style>
  <w:style w:type="paragraph" w:styleId="ConsPlusCell" w:customStyle="1">
    <w:name w:val="ConsPlusCell"/>
    <w:qFormat/>
    <w:pPr>
      <w:widowControl w:val="false"/>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FR3" w:customStyle="1">
    <w:name w:val="FR3"/>
    <w:qFormat/>
    <w:pPr>
      <w:widowControl w:val="false"/>
      <w:suppressAutoHyphens w:val="true"/>
      <w:bidi w:val="0"/>
      <w:spacing w:lineRule="auto" w:line="300" w:before="20" w:after="0"/>
      <w:ind w:hanging="20"/>
      <w:jc w:val="both"/>
    </w:pPr>
    <w:rPr>
      <w:rFonts w:ascii="Times New Roman" w:hAnsi="Times New Roman" w:eastAsia="Times New Roman" w:cs="Times New Roman"/>
      <w:color w:val="auto"/>
      <w:kern w:val="0"/>
      <w:sz w:val="24"/>
      <w:szCs w:val="24"/>
      <w:lang w:val="ru-RU" w:eastAsia="zh-CN" w:bidi="ar-SA"/>
    </w:rPr>
  </w:style>
  <w:style w:type="paragraph" w:styleId="Xl63" w:customStyle="1">
    <w:name w:val="xl63"/>
    <w:basedOn w:val="Normal"/>
    <w:qFormat/>
    <w:pPr>
      <w:spacing w:before="280" w:after="280"/>
      <w:jc w:val="center"/>
    </w:pPr>
    <w:rPr>
      <w:b/>
      <w:bCs/>
    </w:rPr>
  </w:style>
  <w:style w:type="paragraph" w:styleId="Xl64" w:customStyle="1">
    <w:name w:val="xl64"/>
    <w:basedOn w:val="Normal"/>
    <w:qFormat/>
    <w:pPr>
      <w:spacing w:before="280" w:after="280"/>
      <w:jc w:val="center"/>
      <w:textAlignment w:val="top"/>
    </w:pPr>
    <w:rPr/>
  </w:style>
  <w:style w:type="paragraph" w:styleId="Xl65" w:customStyle="1">
    <w:name w:val="xl65"/>
    <w:basedOn w:val="Normal"/>
    <w:uiPriority w:val="99"/>
    <w:qFormat/>
    <w:pPr>
      <w:spacing w:before="280" w:after="280"/>
    </w:pPr>
    <w:rPr/>
  </w:style>
  <w:style w:type="paragraph" w:styleId="Xl66" w:customStyle="1">
    <w:name w:val="xl66"/>
    <w:basedOn w:val="Normal"/>
    <w:uiPriority w:val="99"/>
    <w:qFormat/>
    <w:pPr>
      <w:spacing w:before="280" w:after="280"/>
    </w:pPr>
    <w:rPr/>
  </w:style>
  <w:style w:type="paragraph" w:styleId="Xl67" w:customStyle="1">
    <w:name w:val="xl67"/>
    <w:basedOn w:val="Normal"/>
    <w:uiPriority w:val="99"/>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68" w:customStyle="1">
    <w:name w:val="xl68"/>
    <w:basedOn w:val="Normal"/>
    <w:uiPriority w:val="99"/>
    <w:qFormat/>
    <w:pPr>
      <w:pBdr>
        <w:top w:val="single" w:sz="4" w:space="0" w:color="000000"/>
        <w:left w:val="single" w:sz="4" w:space="0" w:color="000000"/>
        <w:bottom w:val="single" w:sz="4" w:space="0" w:color="000000"/>
        <w:right w:val="single" w:sz="4" w:space="0" w:color="000000"/>
      </w:pBdr>
      <w:spacing w:before="280" w:after="280"/>
      <w:textAlignment w:val="center"/>
    </w:pPr>
    <w:rPr>
      <w:b/>
      <w:bCs/>
    </w:rPr>
  </w:style>
  <w:style w:type="paragraph" w:styleId="Xl69" w:customStyle="1">
    <w:name w:val="xl69"/>
    <w:basedOn w:val="Normal"/>
    <w:uiPriority w:val="99"/>
    <w:qFormat/>
    <w:pPr>
      <w:spacing w:before="280" w:after="280"/>
      <w:textAlignment w:val="center"/>
    </w:pPr>
    <w:rPr/>
  </w:style>
  <w:style w:type="paragraph" w:styleId="Xl70" w:customStyle="1">
    <w:name w:val="xl70"/>
    <w:basedOn w:val="Normal"/>
    <w:uiPriority w:val="99"/>
    <w:qFormat/>
    <w:pPr>
      <w:pBdr>
        <w:top w:val="single" w:sz="4" w:space="0" w:color="000000"/>
        <w:left w:val="single" w:sz="4" w:space="0" w:color="000000"/>
        <w:bottom w:val="single" w:sz="4" w:space="0" w:color="000000"/>
        <w:right w:val="single" w:sz="4" w:space="0" w:color="000000"/>
      </w:pBdr>
      <w:spacing w:before="280" w:after="280"/>
      <w:textAlignment w:val="center"/>
    </w:pPr>
    <w:rPr/>
  </w:style>
  <w:style w:type="paragraph" w:styleId="Xl71" w:customStyle="1">
    <w:name w:val="xl71"/>
    <w:basedOn w:val="Normal"/>
    <w:uiPriority w:val="99"/>
    <w:qFormat/>
    <w:pPr>
      <w:spacing w:before="280" w:after="280"/>
      <w:textAlignment w:val="center"/>
    </w:pPr>
    <w:rPr/>
  </w:style>
  <w:style w:type="paragraph" w:styleId="Xl72" w:customStyle="1">
    <w:name w:val="xl72"/>
    <w:basedOn w:val="Normal"/>
    <w:uiPriority w:val="99"/>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tyle>
  <w:style w:type="paragraph" w:styleId="Xl73" w:customStyle="1">
    <w:name w:val="xl73"/>
    <w:basedOn w:val="Normal"/>
    <w:uiPriority w:val="99"/>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b/>
      <w:bCs/>
    </w:rPr>
  </w:style>
  <w:style w:type="paragraph" w:styleId="Xl74" w:customStyle="1">
    <w:name w:val="xl74"/>
    <w:basedOn w:val="Normal"/>
    <w:uiPriority w:val="99"/>
    <w:qFormat/>
    <w:pPr>
      <w:spacing w:before="280" w:after="280"/>
      <w:jc w:val="center"/>
      <w:textAlignment w:val="center"/>
    </w:pPr>
    <w:rPr>
      <w:b/>
      <w:bCs/>
    </w:rPr>
  </w:style>
  <w:style w:type="paragraph" w:styleId="Xl75" w:customStyle="1">
    <w:name w:val="xl75"/>
    <w:basedOn w:val="Normal"/>
    <w:uiPriority w:val="99"/>
    <w:qFormat/>
    <w:pPr>
      <w:pBdr>
        <w:bottom w:val="single" w:sz="4" w:space="0" w:color="000000"/>
      </w:pBdr>
      <w:spacing w:before="280" w:after="280"/>
      <w:jc w:val="center"/>
    </w:pPr>
    <w:rPr>
      <w:b/>
      <w:bCs/>
    </w:rPr>
  </w:style>
  <w:style w:type="paragraph" w:styleId="FR2" w:customStyle="1">
    <w:name w:val="FR2"/>
    <w:qFormat/>
    <w:pPr>
      <w:widowControl w:val="false"/>
      <w:suppressAutoHyphens w:val="true"/>
      <w:bidi w:val="0"/>
      <w:spacing w:lineRule="auto" w:line="312" w:before="0" w:after="0"/>
      <w:ind w:firstLine="300"/>
      <w:jc w:val="both"/>
    </w:pPr>
    <w:rPr>
      <w:rFonts w:ascii="Arial" w:hAnsi="Arial" w:eastAsia="Times New Roman" w:cs="Arial"/>
      <w:color w:val="auto"/>
      <w:kern w:val="0"/>
      <w:sz w:val="18"/>
      <w:szCs w:val="18"/>
      <w:lang w:val="ru-RU" w:eastAsia="zh-CN" w:bidi="ar-SA"/>
    </w:rPr>
  </w:style>
  <w:style w:type="paragraph" w:styleId="Style93" w:customStyle="1">
    <w:name w:val="Основа"/>
    <w:basedOn w:val="Normal"/>
    <w:qFormat/>
    <w:pPr>
      <w:spacing w:before="120" w:after="0"/>
      <w:ind w:firstLine="720"/>
      <w:jc w:val="both"/>
    </w:pPr>
    <w:rPr/>
  </w:style>
  <w:style w:type="paragraph" w:styleId="Contentheader2cols" w:customStyle="1">
    <w:name w:val="contentheader2cols"/>
    <w:basedOn w:val="Normal"/>
    <w:qFormat/>
    <w:pPr>
      <w:spacing w:before="280" w:after="280"/>
    </w:pPr>
    <w:rPr/>
  </w:style>
  <w:style w:type="paragraph" w:styleId="Style94" w:customStyle="1">
    <w:name w:val="Название таблицы"/>
    <w:basedOn w:val="Heading3"/>
    <w:qFormat/>
    <w:pPr>
      <w:numPr>
        <w:ilvl w:val="0"/>
        <w:numId w:val="0"/>
      </w:numPr>
      <w:tabs>
        <w:tab w:val="clear" w:pos="1276"/>
        <w:tab w:val="left" w:pos="926" w:leader="none"/>
      </w:tabs>
      <w:spacing w:lineRule="auto" w:line="312" w:before="360" w:after="60"/>
      <w:ind w:hanging="360" w:left="926"/>
      <w:jc w:val="both"/>
    </w:pPr>
    <w:rPr>
      <w:rFonts w:ascii="Arial" w:hAnsi="Arial" w:cs="Arial"/>
      <w:sz w:val="24"/>
      <w:szCs w:val="24"/>
    </w:rPr>
  </w:style>
  <w:style w:type="paragraph" w:styleId="Style95" w:customStyle="1">
    <w:name w:val="Табличный текст"/>
    <w:basedOn w:val="Normal"/>
    <w:qFormat/>
    <w:pPr>
      <w:spacing w:lineRule="auto" w:line="312" w:before="120" w:after="120"/>
      <w:ind w:hanging="0" w:left="112"/>
      <w:jc w:val="both"/>
    </w:pPr>
    <w:rPr>
      <w:rFonts w:ascii="Arial" w:hAnsi="Arial" w:cs="Arial"/>
      <w:sz w:val="22"/>
      <w:szCs w:val="22"/>
    </w:rPr>
  </w:style>
  <w:style w:type="paragraph" w:styleId="Style96" w:customStyle="1">
    <w:name w:val="Шапка таблицы"/>
    <w:basedOn w:val="Style95"/>
    <w:next w:val="Style95"/>
    <w:qFormat/>
    <w:pPr>
      <w:jc w:val="center"/>
    </w:pPr>
    <w:rPr>
      <w:b/>
      <w:bCs/>
    </w:rPr>
  </w:style>
  <w:style w:type="paragraph" w:styleId="Tit" w:customStyle="1">
    <w:name w:val="tit"/>
    <w:basedOn w:val="Normal"/>
    <w:qFormat/>
    <w:pPr>
      <w:spacing w:before="280" w:after="280"/>
    </w:pPr>
    <w:rPr>
      <w:rFonts w:ascii="Verdana" w:hAnsi="Verdana" w:cs="Verdana"/>
      <w:color w:val="000000"/>
      <w:sz w:val="18"/>
      <w:szCs w:val="18"/>
    </w:rPr>
  </w:style>
  <w:style w:type="paragraph" w:styleId="P2" w:customStyle="1">
    <w:name w:val="p2"/>
    <w:basedOn w:val="Normal"/>
    <w:qFormat/>
    <w:pPr>
      <w:spacing w:before="280" w:after="280"/>
      <w:jc w:val="both"/>
    </w:pPr>
    <w:rPr>
      <w:rFonts w:ascii="Arial" w:hAnsi="Arial" w:cs="Arial"/>
      <w:color w:val="000000"/>
      <w:sz w:val="20"/>
      <w:szCs w:val="20"/>
    </w:rPr>
  </w:style>
  <w:style w:type="paragraph" w:styleId="148" w:customStyle="1">
    <w:name w:val="Обычный1"/>
    <w:qFormat/>
    <w:pPr>
      <w:widowControl w:val="false"/>
      <w:suppressAutoHyphens w:val="true"/>
      <w:bidi w:val="0"/>
      <w:snapToGrid w:val="false"/>
      <w:spacing w:before="0" w:after="0"/>
      <w:jc w:val="left"/>
    </w:pPr>
    <w:rPr>
      <w:rFonts w:ascii="Times New Roman" w:hAnsi="Times New Roman" w:eastAsia="Times New Roman" w:cs="Times New Roman"/>
      <w:color w:val="auto"/>
      <w:kern w:val="0"/>
      <w:sz w:val="24"/>
      <w:szCs w:val="20"/>
      <w:lang w:val="ru-RU" w:eastAsia="zh-CN" w:bidi="ar-SA"/>
    </w:rPr>
  </w:style>
  <w:style w:type="paragraph" w:styleId="Style97" w:customStyle="1">
    <w:name w:val="шапка таблицы"/>
    <w:basedOn w:val="Normal"/>
    <w:qFormat/>
    <w:pPr>
      <w:jc w:val="center"/>
    </w:pPr>
    <w:rPr/>
  </w:style>
  <w:style w:type="paragraph" w:styleId="TableText" w:customStyle="1">
    <w:name w:val="Table Text"/>
    <w:basedOn w:val="Normal"/>
    <w:qFormat/>
    <w:pPr>
      <w:keepLines/>
    </w:pPr>
    <w:rPr>
      <w:sz w:val="20"/>
      <w:szCs w:val="20"/>
    </w:rPr>
  </w:style>
  <w:style w:type="paragraph" w:styleId="54" w:customStyle="1">
    <w:name w:val="Стиль5"/>
    <w:basedOn w:val="Heading4"/>
    <w:next w:val="319"/>
    <w:qFormat/>
    <w:pPr>
      <w:numPr>
        <w:ilvl w:val="0"/>
        <w:numId w:val="0"/>
      </w:numPr>
      <w:tabs>
        <w:tab w:val="clear" w:pos="1418"/>
      </w:tabs>
      <w:spacing w:before="240" w:after="60"/>
      <w:ind w:firstLine="360"/>
    </w:pPr>
    <w:rPr/>
  </w:style>
  <w:style w:type="paragraph" w:styleId="319" w:customStyle="1">
    <w:name w:val="Продолжение списка 31"/>
    <w:basedOn w:val="Normal"/>
    <w:qFormat/>
    <w:pPr>
      <w:spacing w:before="0" w:after="120"/>
      <w:ind w:hanging="0" w:left="849"/>
    </w:pPr>
    <w:rPr/>
  </w:style>
  <w:style w:type="paragraph" w:styleId="Style98" w:customStyle="1">
    <w:name w:val="Заголовок раздела"/>
    <w:basedOn w:val="Normal"/>
    <w:qFormat/>
    <w:pPr>
      <w:spacing w:before="120" w:after="120"/>
      <w:jc w:val="center"/>
    </w:pPr>
    <w:rPr>
      <w:b/>
      <w:bCs/>
      <w:sz w:val="44"/>
      <w:szCs w:val="44"/>
    </w:rPr>
  </w:style>
  <w:style w:type="paragraph" w:styleId="Style99" w:customStyle="1">
    <w:name w:val="Заголовок статьи"/>
    <w:basedOn w:val="Normal"/>
    <w:qFormat/>
    <w:pPr>
      <w:spacing w:before="120" w:after="120"/>
      <w:jc w:val="both"/>
    </w:pPr>
    <w:rPr>
      <w:b/>
      <w:bCs/>
    </w:rPr>
  </w:style>
  <w:style w:type="paragraph" w:styleId="Style100" w:customStyle="1">
    <w:name w:val="Источник"/>
    <w:basedOn w:val="Normal"/>
    <w:qFormat/>
    <w:pPr>
      <w:spacing w:before="120" w:after="120"/>
      <w:jc w:val="both"/>
    </w:pPr>
    <w:rPr>
      <w:i/>
      <w:iCs/>
      <w:sz w:val="18"/>
      <w:szCs w:val="18"/>
    </w:rPr>
  </w:style>
  <w:style w:type="paragraph" w:styleId="Style101" w:customStyle="1">
    <w:name w:val="Нормальный.Нормальный"/>
    <w:qFormat/>
    <w:pPr>
      <w:widowControl w:val="false"/>
      <w:suppressAutoHyphens w:val="true"/>
      <w:bidi w:val="0"/>
      <w:spacing w:before="0" w:after="0"/>
      <w:jc w:val="left"/>
    </w:pPr>
    <w:rPr>
      <w:rFonts w:ascii="Arial" w:hAnsi="Arial" w:eastAsia="Times New Roman" w:cs="Arial"/>
      <w:color w:val="auto"/>
      <w:kern w:val="0"/>
      <w:sz w:val="22"/>
      <w:szCs w:val="22"/>
      <w:u w:val="single"/>
      <w:lang w:val="ru-RU" w:eastAsia="zh-CN" w:bidi="ar-SA"/>
    </w:rPr>
  </w:style>
  <w:style w:type="paragraph" w:styleId="149" w:customStyle="1">
    <w:name w:val="Шапка1"/>
    <w:basedOn w:val="Normal"/>
    <w:qFormat/>
    <w:pPr>
      <w:spacing w:before="120" w:after="120"/>
      <w:ind w:hanging="1134" w:left="1134"/>
      <w:jc w:val="center"/>
    </w:pPr>
    <w:rPr>
      <w:b/>
      <w:bCs/>
    </w:rPr>
  </w:style>
  <w:style w:type="paragraph" w:styleId="Style102" w:customStyle="1">
    <w:name w:val="номер таблицы"/>
    <w:basedOn w:val="Normal"/>
    <w:qFormat/>
    <w:pPr>
      <w:spacing w:before="240" w:after="0"/>
      <w:jc w:val="right"/>
    </w:pPr>
    <w:rPr/>
  </w:style>
  <w:style w:type="paragraph" w:styleId="150" w:customStyle="1">
    <w:name w:val="Стиль1"/>
    <w:basedOn w:val="Normal"/>
    <w:qFormat/>
    <w:pPr>
      <w:spacing w:before="120" w:after="120"/>
      <w:jc w:val="both"/>
    </w:pPr>
    <w:rPr/>
  </w:style>
  <w:style w:type="paragraph" w:styleId="-2" w:customStyle="1">
    <w:name w:val="Обычный-2"/>
    <w:basedOn w:val="Normal"/>
    <w:qFormat/>
    <w:pPr>
      <w:widowControl w:val="false"/>
      <w:tabs>
        <w:tab w:val="clear" w:pos="397"/>
        <w:tab w:val="left" w:pos="4794" w:leader="none"/>
      </w:tabs>
      <w:jc w:val="both"/>
    </w:pPr>
    <w:rPr>
      <w:sz w:val="20"/>
      <w:szCs w:val="20"/>
    </w:rPr>
  </w:style>
  <w:style w:type="paragraph" w:styleId="Style103" w:customStyle="1">
    <w:name w:val="Личный"/>
    <w:basedOn w:val="Normal"/>
    <w:qFormat/>
    <w:pPr>
      <w:widowControl w:val="false"/>
      <w:ind w:firstLine="720"/>
      <w:jc w:val="both"/>
    </w:pPr>
    <w:rPr>
      <w:sz w:val="28"/>
      <w:szCs w:val="28"/>
    </w:rPr>
  </w:style>
  <w:style w:type="paragraph" w:styleId="Style104" w:customStyle="1">
    <w:name w:val="таблица"/>
    <w:basedOn w:val="BodyText"/>
    <w:qFormat/>
    <w:pPr>
      <w:spacing w:before="0" w:after="0"/>
    </w:pPr>
    <w:rPr/>
  </w:style>
  <w:style w:type="paragraph" w:styleId="Xl24" w:customStyle="1">
    <w:name w:val="xl24"/>
    <w:basedOn w:val="Normal"/>
    <w:uiPriority w:val="99"/>
    <w:qFormat/>
    <w:pPr>
      <w:spacing w:before="280" w:after="280"/>
    </w:pPr>
    <w:rPr>
      <w:rFonts w:ascii="Arial" w:hAnsi="Arial" w:cs="Arial"/>
      <w:b/>
      <w:bCs/>
    </w:rPr>
  </w:style>
  <w:style w:type="paragraph" w:styleId="151" w:customStyle="1">
    <w:name w:val="Заголовок записки1"/>
    <w:basedOn w:val="Normal"/>
    <w:next w:val="Normal"/>
    <w:qFormat/>
    <w:pPr>
      <w:spacing w:before="240" w:after="240"/>
      <w:jc w:val="center"/>
    </w:pPr>
    <w:rPr>
      <w:b/>
      <w:bCs/>
      <w:sz w:val="28"/>
      <w:szCs w:val="28"/>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152" w:customStyle="1">
    <w:name w:val="Список 1)"/>
    <w:basedOn w:val="Normal"/>
    <w:qFormat/>
    <w:pPr>
      <w:spacing w:before="0" w:after="60"/>
      <w:jc w:val="both"/>
    </w:pPr>
    <w:rPr>
      <w:rFonts w:ascii="Bookman Old Style" w:hAnsi="Bookman Old Style" w:cs="Bookman Old Style"/>
    </w:rPr>
  </w:style>
  <w:style w:type="paragraph" w:styleId="153" w:customStyle="1">
    <w:name w:val="Знак Знак Знак1"/>
    <w:basedOn w:val="Normal"/>
    <w:qFormat/>
    <w:pPr>
      <w:spacing w:before="280" w:after="280"/>
    </w:pPr>
    <w:rPr>
      <w:rFonts w:ascii="Tahoma" w:hAnsi="Tahoma" w:cs="Tahoma"/>
      <w:sz w:val="20"/>
      <w:szCs w:val="20"/>
      <w:lang w:val="en-US"/>
    </w:rPr>
  </w:style>
  <w:style w:type="paragraph" w:styleId="Style105" w:customStyle="1">
    <w:name w:val="Style10"/>
    <w:basedOn w:val="Normal"/>
    <w:uiPriority w:val="99"/>
    <w:qFormat/>
    <w:pPr>
      <w:widowControl w:val="false"/>
      <w:spacing w:lineRule="exact" w:line="500"/>
      <w:jc w:val="both"/>
    </w:pPr>
    <w:rPr/>
  </w:style>
  <w:style w:type="paragraph" w:styleId="Font5" w:customStyle="1">
    <w:name w:val="font5"/>
    <w:basedOn w:val="Normal"/>
    <w:uiPriority w:val="99"/>
    <w:qFormat/>
    <w:pPr>
      <w:spacing w:before="280" w:after="280"/>
    </w:pPr>
    <w:rPr/>
  </w:style>
  <w:style w:type="paragraph" w:styleId="Font6" w:customStyle="1">
    <w:name w:val="font6"/>
    <w:basedOn w:val="Normal"/>
    <w:uiPriority w:val="99"/>
    <w:qFormat/>
    <w:pPr>
      <w:spacing w:before="280" w:after="280"/>
    </w:pPr>
    <w:rPr/>
  </w:style>
  <w:style w:type="paragraph" w:styleId="Font7" w:customStyle="1">
    <w:name w:val="font7"/>
    <w:basedOn w:val="Normal"/>
    <w:qFormat/>
    <w:pPr>
      <w:spacing w:before="280" w:after="280"/>
    </w:pPr>
    <w:rPr>
      <w:i/>
      <w:iCs/>
    </w:rPr>
  </w:style>
  <w:style w:type="paragraph" w:styleId="Font8" w:customStyle="1">
    <w:name w:val="font8"/>
    <w:basedOn w:val="Normal"/>
    <w:qFormat/>
    <w:pPr>
      <w:spacing w:before="280" w:after="280"/>
    </w:pPr>
    <w:rPr/>
  </w:style>
  <w:style w:type="paragraph" w:styleId="Font9" w:customStyle="1">
    <w:name w:val="font9"/>
    <w:basedOn w:val="Normal"/>
    <w:qFormat/>
    <w:pPr>
      <w:spacing w:before="280" w:after="280"/>
    </w:pPr>
    <w:rPr/>
  </w:style>
  <w:style w:type="paragraph" w:styleId="Font10" w:customStyle="1">
    <w:name w:val="font10"/>
    <w:basedOn w:val="Normal"/>
    <w:qFormat/>
    <w:pPr>
      <w:spacing w:before="280" w:after="280"/>
    </w:pPr>
    <w:rPr>
      <w:color w:val="0000FF"/>
    </w:rPr>
  </w:style>
  <w:style w:type="paragraph" w:styleId="Font11" w:customStyle="1">
    <w:name w:val="font11"/>
    <w:basedOn w:val="Normal"/>
    <w:qFormat/>
    <w:pPr>
      <w:spacing w:before="280" w:after="280"/>
    </w:pPr>
    <w:rPr/>
  </w:style>
  <w:style w:type="paragraph" w:styleId="Font12" w:customStyle="1">
    <w:name w:val="font12"/>
    <w:basedOn w:val="Normal"/>
    <w:qFormat/>
    <w:pPr>
      <w:spacing w:before="280" w:after="280"/>
    </w:pPr>
    <w:rPr>
      <w:b/>
      <w:bCs/>
    </w:rPr>
  </w:style>
  <w:style w:type="paragraph" w:styleId="Font13" w:customStyle="1">
    <w:name w:val="font13"/>
    <w:basedOn w:val="Normal"/>
    <w:qFormat/>
    <w:pPr>
      <w:spacing w:before="280" w:after="280"/>
    </w:pPr>
    <w:rPr>
      <w:color w:val="333399"/>
    </w:rPr>
  </w:style>
  <w:style w:type="paragraph" w:styleId="Font14" w:customStyle="1">
    <w:name w:val="font14"/>
    <w:basedOn w:val="Normal"/>
    <w:qFormat/>
    <w:pPr>
      <w:spacing w:before="280" w:after="280"/>
    </w:pPr>
    <w:rPr>
      <w:color w:val="000000"/>
    </w:rPr>
  </w:style>
  <w:style w:type="paragraph" w:styleId="Xl76" w:customStyle="1">
    <w:name w:val="xl76"/>
    <w:basedOn w:val="Normal"/>
    <w:uiPriority w:val="99"/>
    <w:qFormat/>
    <w:pPr>
      <w:pBdr>
        <w:top w:val="single" w:sz="4" w:space="0" w:color="000000"/>
        <w:left w:val="single" w:sz="4" w:space="0" w:color="000000"/>
        <w:bottom w:val="single" w:sz="4" w:space="0" w:color="000000"/>
        <w:right w:val="single" w:sz="4" w:space="0" w:color="000000"/>
      </w:pBdr>
      <w:shd w:val="clear" w:color="auto" w:fill="C0C0C0"/>
      <w:spacing w:before="280" w:after="280"/>
      <w:jc w:val="center"/>
      <w:textAlignment w:val="top"/>
    </w:pPr>
    <w:rPr/>
  </w:style>
  <w:style w:type="paragraph" w:styleId="Xl77" w:customStyle="1">
    <w:name w:val="xl77"/>
    <w:basedOn w:val="Normal"/>
    <w:uiPriority w:val="99"/>
    <w:qFormat/>
    <w:pPr>
      <w:pBdr>
        <w:top w:val="single" w:sz="4" w:space="0" w:color="000000"/>
        <w:left w:val="single" w:sz="4" w:space="0" w:color="000000"/>
        <w:bottom w:val="single" w:sz="4" w:space="0" w:color="000000"/>
        <w:right w:val="single" w:sz="4" w:space="0" w:color="000000"/>
      </w:pBdr>
      <w:shd w:val="clear" w:color="auto" w:fill="C0C0C0"/>
      <w:spacing w:before="280" w:after="280"/>
      <w:textAlignment w:val="top"/>
    </w:pPr>
    <w:rPr/>
  </w:style>
  <w:style w:type="paragraph" w:styleId="Xl78" w:customStyle="1">
    <w:name w:val="xl78"/>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style>
  <w:style w:type="paragraph" w:styleId="Xl79" w:customStyle="1">
    <w:name w:val="xl79"/>
    <w:basedOn w:val="Normal"/>
    <w:uiPriority w:val="99"/>
    <w:qFormat/>
    <w:pPr>
      <w:pBdr>
        <w:top w:val="single" w:sz="4" w:space="0" w:color="000000"/>
        <w:left w:val="single" w:sz="4" w:space="0" w:color="000000"/>
        <w:bottom w:val="single" w:sz="4" w:space="0" w:color="000000"/>
        <w:right w:val="single" w:sz="4" w:space="0" w:color="000000"/>
      </w:pBdr>
      <w:shd w:val="clear" w:color="auto" w:fill="C0C0C0"/>
      <w:spacing w:before="280" w:after="280"/>
      <w:textAlignment w:val="top"/>
    </w:pPr>
    <w:rPr/>
  </w:style>
  <w:style w:type="paragraph" w:styleId="Xl80" w:customStyle="1">
    <w:name w:val="xl80"/>
    <w:basedOn w:val="Normal"/>
    <w:uiPriority w:val="99"/>
    <w:qFormat/>
    <w:pPr>
      <w:spacing w:before="280" w:after="280"/>
      <w:jc w:val="center"/>
      <w:textAlignment w:val="center"/>
    </w:pPr>
    <w:rPr/>
  </w:style>
  <w:style w:type="paragraph" w:styleId="Xl81" w:customStyle="1">
    <w:name w:val="xl81"/>
    <w:basedOn w:val="Normal"/>
    <w:uiPriority w:val="99"/>
    <w:qFormat/>
    <w:pPr>
      <w:spacing w:before="280" w:after="280"/>
    </w:pPr>
    <w:rPr/>
  </w:style>
  <w:style w:type="paragraph" w:styleId="Xl82" w:customStyle="1">
    <w:name w:val="xl82"/>
    <w:basedOn w:val="Normal"/>
    <w:uiPriority w:val="99"/>
    <w:qFormat/>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Xl83" w:customStyle="1">
    <w:name w:val="xl83"/>
    <w:basedOn w:val="Normal"/>
    <w:uiPriority w:val="99"/>
    <w:qFormat/>
    <w:pPr>
      <w:pBdr>
        <w:top w:val="single" w:sz="4" w:space="0" w:color="000000"/>
      </w:pBdr>
      <w:spacing w:before="280" w:after="280"/>
      <w:jc w:val="center"/>
      <w:textAlignment w:val="top"/>
    </w:pPr>
    <w:rPr/>
  </w:style>
  <w:style w:type="paragraph" w:styleId="Xl84" w:customStyle="1">
    <w:name w:val="xl84"/>
    <w:basedOn w:val="Normal"/>
    <w:uiPriority w:val="99"/>
    <w:qFormat/>
    <w:pPr>
      <w:pBdr>
        <w:top w:val="single" w:sz="4" w:space="0" w:color="000000"/>
      </w:pBdr>
      <w:spacing w:before="280" w:after="280"/>
      <w:textAlignment w:val="top"/>
    </w:pPr>
    <w:rPr/>
  </w:style>
  <w:style w:type="paragraph" w:styleId="Xl85" w:customStyle="1">
    <w:name w:val="xl85"/>
    <w:basedOn w:val="Normal"/>
    <w:uiPriority w:val="99"/>
    <w:qFormat/>
    <w:pPr>
      <w:pBdr>
        <w:top w:val="single" w:sz="4" w:space="0" w:color="000000"/>
      </w:pBdr>
      <w:spacing w:before="280" w:after="280"/>
      <w:textAlignment w:val="top"/>
    </w:pPr>
    <w:rPr/>
  </w:style>
  <w:style w:type="paragraph" w:styleId="Xl86" w:customStyle="1">
    <w:name w:val="xl86"/>
    <w:basedOn w:val="Normal"/>
    <w:uiPriority w:val="99"/>
    <w:qFormat/>
    <w:pPr>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styleId="Xl87" w:customStyle="1">
    <w:name w:val="xl87"/>
    <w:basedOn w:val="Normal"/>
    <w:uiPriority w:val="99"/>
    <w:qFormat/>
    <w:pPr>
      <w:spacing w:before="280" w:after="280"/>
    </w:pPr>
    <w:rPr/>
  </w:style>
  <w:style w:type="paragraph" w:styleId="Style106" w:customStyle="1">
    <w:name w:val="Термин"/>
    <w:basedOn w:val="Normal"/>
    <w:next w:val="Normal"/>
    <w:qFormat/>
    <w:pPr/>
    <w:rPr>
      <w:szCs w:val="20"/>
    </w:rPr>
  </w:style>
  <w:style w:type="paragraph" w:styleId="154" w:customStyle="1">
    <w:name w:val="Абзац списка1"/>
    <w:basedOn w:val="Normal"/>
    <w:qFormat/>
    <w:pPr>
      <w:ind w:hanging="0" w:left="720"/>
    </w:pPr>
    <w:rPr>
      <w:sz w:val="20"/>
      <w:szCs w:val="20"/>
    </w:rPr>
  </w:style>
  <w:style w:type="paragraph" w:styleId="Style107" w:customStyle="1">
    <w:name w:val="ЕСКД_название устройства"/>
    <w:basedOn w:val="Normal"/>
    <w:qFormat/>
    <w:pPr>
      <w:spacing w:lineRule="auto" w:line="360" w:before="0" w:after="200"/>
      <w:jc w:val="center"/>
    </w:pPr>
    <w:rPr>
      <w:rFonts w:ascii="Calibri" w:hAnsi="Calibri" w:cs="Calibri"/>
      <w:b/>
      <w:bCs/>
      <w:sz w:val="36"/>
      <w:szCs w:val="36"/>
    </w:rPr>
  </w:style>
  <w:style w:type="paragraph" w:styleId="Style108" w:customStyle="1">
    <w:name w:val="Список а)"/>
    <w:basedOn w:val="List"/>
    <w:qFormat/>
    <w:pPr>
      <w:spacing w:lineRule="auto" w:line="276"/>
      <w:ind w:hanging="0" w:left="0"/>
    </w:pPr>
    <w:rPr>
      <w:rFonts w:ascii="Calibri" w:hAnsi="Calibri" w:cs="Calibri"/>
      <w:sz w:val="22"/>
      <w:szCs w:val="22"/>
    </w:rPr>
  </w:style>
  <w:style w:type="paragraph" w:styleId="Style109" w:customStyle="1">
    <w:name w:val="Абзац_выдел"/>
    <w:basedOn w:val="Style70"/>
    <w:next w:val="Style70"/>
    <w:qFormat/>
    <w:pPr/>
    <w:rPr>
      <w:b/>
    </w:rPr>
  </w:style>
  <w:style w:type="paragraph" w:styleId="Style110" w:customStyle="1">
    <w:name w:val="Абзац_Желтая_заливка"/>
    <w:basedOn w:val="Style70"/>
    <w:qFormat/>
    <w:pPr/>
    <w:rPr/>
  </w:style>
  <w:style w:type="paragraph" w:styleId="45" w:customStyle="1">
    <w:name w:val="Заголовок 4 + авто"/>
    <w:basedOn w:val="Heading3"/>
    <w:qFormat/>
    <w:pPr>
      <w:numPr>
        <w:ilvl w:val="0"/>
        <w:numId w:val="0"/>
      </w:numPr>
      <w:tabs>
        <w:tab w:val="clear" w:pos="1276"/>
      </w:tabs>
      <w:spacing w:lineRule="auto" w:line="360" w:before="0" w:after="0"/>
    </w:pPr>
    <w:rPr>
      <w:sz w:val="24"/>
      <w:szCs w:val="24"/>
    </w:rPr>
  </w:style>
  <w:style w:type="paragraph" w:styleId="Main1" w:customStyle="1">
    <w:name w:val="Main"/>
    <w:qFormat/>
    <w:pPr>
      <w:widowControl w:val="false"/>
      <w:suppressAutoHyphens w:val="true"/>
      <w:bidi w:val="0"/>
      <w:spacing w:lineRule="auto" w:line="360" w:before="0" w:after="0"/>
      <w:ind w:firstLine="709"/>
      <w:jc w:val="both"/>
    </w:pPr>
    <w:rPr>
      <w:rFonts w:ascii="Times New Roman" w:hAnsi="Times New Roman" w:eastAsia="Times New Roman" w:cs="Tahoma"/>
      <w:color w:val="auto"/>
      <w:kern w:val="0"/>
      <w:sz w:val="24"/>
      <w:szCs w:val="16"/>
      <w:lang w:val="ru-RU" w:eastAsia="zh-CN" w:bidi="ar-SA"/>
    </w:rPr>
  </w:style>
  <w:style w:type="paragraph" w:styleId="Style111" w:customStyle="1">
    <w:name w:val="Блочная цитата"/>
    <w:basedOn w:val="Normal"/>
    <w:qFormat/>
    <w:pPr>
      <w:spacing w:before="0" w:after="283"/>
      <w:ind w:hanging="0" w:left="567" w:right="567"/>
    </w:pPr>
    <w:rPr/>
  </w:style>
  <w:style w:type="paragraph" w:styleId="155" w:customStyle="1">
    <w:name w:val="Заголовок1"/>
    <w:basedOn w:val="Normal"/>
    <w:next w:val="BodyText"/>
    <w:qFormat/>
    <w:pPr>
      <w:keepNext w:val="true"/>
      <w:spacing w:before="240" w:after="120"/>
    </w:pPr>
    <w:rPr>
      <w:rFonts w:ascii="Liberation Sans" w:hAnsi="Liberation Sans" w:eastAsia="Microsoft YaHei" w:cs="Mangal"/>
      <w:kern w:val="2"/>
      <w:sz w:val="28"/>
      <w:szCs w:val="28"/>
      <w:lang w:bidi="hi-IN"/>
    </w:rPr>
  </w:style>
  <w:style w:type="paragraph" w:styleId="Style112" w:customStyle="1">
    <w:name w:val="Знак Знак Знак Знак Знак Знак Знак"/>
    <w:basedOn w:val="Normal"/>
    <w:next w:val="Style111"/>
    <w:qFormat/>
    <w:pPr>
      <w:spacing w:before="280" w:after="280"/>
    </w:pPr>
    <w:rPr>
      <w:rFonts w:ascii="Tahoma" w:hAnsi="Tahoma" w:cs="Tahoma"/>
      <w:sz w:val="20"/>
      <w:szCs w:val="20"/>
      <w:lang w:val="en-US"/>
    </w:rPr>
  </w:style>
  <w:style w:type="paragraph" w:styleId="DocumentMap">
    <w:name w:val="Document Map"/>
    <w:basedOn w:val="Normal"/>
    <w:semiHidden/>
    <w:unhideWhenUsed/>
    <w:qFormat/>
    <w:pPr>
      <w:suppressAutoHyphens w:val="false"/>
    </w:pPr>
    <w:rPr>
      <w:rFonts w:ascii="Tahoma" w:hAnsi="Tahoma" w:cs="Tahoma"/>
      <w:lang w:eastAsia="ru-RU"/>
    </w:rPr>
  </w:style>
  <w:style w:type="paragraph" w:styleId="Index1">
    <w:name w:val="index 1"/>
    <w:basedOn w:val="Normal"/>
    <w:next w:val="Normal"/>
    <w:autoRedefine/>
    <w:uiPriority w:val="99"/>
    <w:semiHidden/>
    <w:unhideWhenUsed/>
    <w:qFormat/>
    <w:pPr>
      <w:ind w:hanging="240" w:left="240"/>
    </w:pPr>
    <w:rPr/>
  </w:style>
  <w:style w:type="paragraph" w:styleId="Indexheading11" w:customStyle="1">
    <w:name w:val="index heading11"/>
    <w:basedOn w:val="Normal"/>
    <w:qFormat/>
    <w:pPr>
      <w:suppressLineNumbers/>
      <w:tabs>
        <w:tab w:val="clear" w:pos="397"/>
        <w:tab w:val="left" w:pos="5103" w:leader="none"/>
      </w:tabs>
      <w:suppressAutoHyphens w:val="false"/>
      <w:spacing w:lineRule="auto" w:line="360"/>
      <w:ind w:firstLine="709"/>
      <w:jc w:val="both"/>
    </w:pPr>
    <w:rPr>
      <w:rFonts w:cs="Mangal"/>
      <w:sz w:val="28"/>
      <w:szCs w:val="28"/>
      <w:lang w:eastAsia="ru-RU"/>
    </w:rPr>
  </w:style>
  <w:style w:type="paragraph" w:styleId="Style113" w:customStyle="1">
    <w:name w:val="Название должности"/>
    <w:basedOn w:val="Normal"/>
    <w:uiPriority w:val="49"/>
    <w:qFormat/>
    <w:pPr>
      <w:tabs>
        <w:tab w:val="clear" w:pos="397"/>
        <w:tab w:val="left" w:pos="5103" w:leader="none"/>
      </w:tabs>
      <w:suppressAutoHyphens w:val="false"/>
      <w:ind w:hanging="0" w:left="114"/>
    </w:pPr>
    <w:rPr>
      <w:szCs w:val="20"/>
      <w:lang w:eastAsia="ru-RU"/>
    </w:rPr>
  </w:style>
  <w:style w:type="paragraph" w:styleId="Style114" w:customStyle="1">
    <w:name w:val="Изображение"/>
    <w:basedOn w:val="Normal"/>
    <w:next w:val="Normal"/>
    <w:uiPriority w:val="39"/>
    <w:qFormat/>
    <w:pPr>
      <w:keepNext w:val="true"/>
      <w:tabs>
        <w:tab w:val="clear" w:pos="397"/>
        <w:tab w:val="left" w:pos="5103" w:leader="none"/>
      </w:tabs>
      <w:suppressAutoHyphens w:val="false"/>
      <w:spacing w:lineRule="auto" w:line="360"/>
      <w:jc w:val="center"/>
    </w:pPr>
    <w:rPr>
      <w:sz w:val="28"/>
      <w:szCs w:val="20"/>
      <w:lang w:eastAsia="ru-RU"/>
    </w:rPr>
  </w:style>
  <w:style w:type="paragraph" w:styleId="Annotationtext">
    <w:name w:val="annotation text"/>
    <w:basedOn w:val="Normal"/>
    <w:semiHidden/>
    <w:qFormat/>
    <w:pPr>
      <w:tabs>
        <w:tab w:val="clear" w:pos="397"/>
        <w:tab w:val="left" w:pos="5103" w:leader="none"/>
      </w:tabs>
      <w:suppressAutoHyphens w:val="false"/>
      <w:spacing w:lineRule="auto" w:line="360"/>
      <w:ind w:firstLine="709"/>
      <w:jc w:val="both"/>
    </w:pPr>
    <w:rPr>
      <w:sz w:val="20"/>
      <w:szCs w:val="20"/>
      <w:lang w:eastAsia="ru-RU"/>
    </w:rPr>
  </w:style>
  <w:style w:type="paragraph" w:styleId="Annotationsubject">
    <w:name w:val="annotation subject"/>
    <w:basedOn w:val="Annotationtext"/>
    <w:next w:val="Annotationtext"/>
    <w:semiHidden/>
    <w:qFormat/>
    <w:pPr/>
    <w:rPr>
      <w:b/>
      <w:bCs/>
    </w:rPr>
  </w:style>
  <w:style w:type="paragraph" w:styleId="Style115" w:customStyle="1">
    <w:name w:val="Текст в таблице"/>
    <w:basedOn w:val="Normal"/>
    <w:uiPriority w:val="37"/>
    <w:qFormat/>
    <w:pPr>
      <w:tabs>
        <w:tab w:val="clear" w:pos="397"/>
        <w:tab w:val="left" w:pos="5103" w:leader="none"/>
      </w:tabs>
      <w:suppressAutoHyphens w:val="false"/>
      <w:spacing w:lineRule="auto" w:line="360"/>
    </w:pPr>
    <w:rPr>
      <w:sz w:val="28"/>
      <w:szCs w:val="28"/>
      <w:lang w:eastAsia="ru-RU"/>
    </w:rPr>
  </w:style>
  <w:style w:type="paragraph" w:styleId="IndexHeading">
    <w:name w:val="Index Heading"/>
    <w:basedOn w:val="Style68"/>
    <w:pPr/>
    <w:rPr/>
  </w:style>
  <w:style w:type="paragraph" w:styleId="TOCHeading">
    <w:name w:val="TOC Heading"/>
    <w:basedOn w:val="Heading1"/>
    <w:next w:val="Normal"/>
    <w:uiPriority w:val="39"/>
    <w:qFormat/>
    <w:pPr>
      <w:keepLines/>
      <w:pageBreakBefore w:val="false"/>
      <w:numPr>
        <w:ilvl w:val="0"/>
        <w:numId w:val="0"/>
      </w:numPr>
      <w:tabs>
        <w:tab w:val="clear" w:pos="851"/>
        <w:tab w:val="left" w:pos="992" w:leader="none"/>
        <w:tab w:val="left" w:pos="5103" w:leader="none"/>
      </w:tabs>
      <w:suppressAutoHyphens w:val="false"/>
      <w:spacing w:lineRule="auto" w:line="276" w:before="480" w:after="0"/>
      <w:ind w:firstLine="709" w:left="927"/>
      <w:jc w:val="both"/>
    </w:pPr>
    <w:rPr>
      <w:rFonts w:ascii="Cambria" w:hAnsi="Cambria"/>
      <w:b w:val="false"/>
      <w:color w:val="365F91"/>
      <w:kern w:val="0"/>
      <w:sz w:val="36"/>
      <w:szCs w:val="20"/>
      <w:lang w:eastAsia="en-US"/>
    </w:rPr>
  </w:style>
  <w:style w:type="paragraph" w:styleId="Style116" w:customStyle="1">
    <w:name w:val="Безотрывный"/>
    <w:basedOn w:val="Normal"/>
    <w:next w:val="Normal"/>
    <w:qFormat/>
    <w:pPr>
      <w:keepNext w:val="true"/>
      <w:tabs>
        <w:tab w:val="clear" w:pos="397"/>
        <w:tab w:val="left" w:pos="5103" w:leader="none"/>
      </w:tabs>
      <w:suppressAutoHyphens w:val="false"/>
      <w:spacing w:lineRule="auto" w:line="360" w:before="0" w:after="60"/>
      <w:ind w:firstLine="709"/>
      <w:jc w:val="both"/>
    </w:pPr>
    <w:rPr>
      <w:rFonts w:eastAsia="Calibri"/>
      <w:lang w:eastAsia="ru-RU"/>
    </w:rPr>
  </w:style>
  <w:style w:type="paragraph" w:styleId="Revision">
    <w:name w:val="Revision"/>
    <w:uiPriority w:val="99"/>
    <w:semiHidden/>
    <w:qFormat/>
    <w:pPr>
      <w:widowControl/>
      <w:suppressAutoHyphens w:val="true"/>
      <w:bidi w:val="0"/>
      <w:spacing w:lineRule="auto" w:line="360" w:before="0" w:after="0"/>
      <w:ind w:firstLine="709"/>
      <w:jc w:val="both"/>
    </w:pPr>
    <w:rPr>
      <w:rFonts w:ascii="Times New Roman" w:hAnsi="Times New Roman" w:eastAsia="Times New Roman" w:cs="Times New Roman"/>
      <w:color w:val="auto"/>
      <w:kern w:val="0"/>
      <w:sz w:val="28"/>
      <w:szCs w:val="28"/>
      <w:lang w:val="ru-RU" w:eastAsia="ru-RU" w:bidi="ar-SA"/>
    </w:rPr>
  </w:style>
  <w:style w:type="paragraph" w:styleId="156" w:customStyle="1">
    <w:name w:val="Заголовок 1 без нумерации"/>
    <w:basedOn w:val="Heading1"/>
    <w:next w:val="Normal"/>
    <w:uiPriority w:val="99"/>
    <w:qFormat/>
    <w:pPr>
      <w:keepLines/>
      <w:numPr>
        <w:ilvl w:val="0"/>
        <w:numId w:val="0"/>
      </w:numPr>
      <w:tabs>
        <w:tab w:val="clear" w:pos="851"/>
        <w:tab w:val="left" w:pos="992" w:leader="none"/>
        <w:tab w:val="left" w:pos="5103" w:leader="none"/>
      </w:tabs>
      <w:suppressAutoHyphens w:val="false"/>
      <w:spacing w:lineRule="auto" w:line="360" w:before="480" w:after="480"/>
      <w:ind w:firstLine="709" w:left="927"/>
    </w:pPr>
    <w:rPr>
      <w:b w:val="false"/>
      <w:szCs w:val="20"/>
      <w:lang w:eastAsia="ru-RU"/>
    </w:rPr>
  </w:style>
  <w:style w:type="paragraph" w:styleId="Style117" w:customStyle="1">
    <w:name w:val="Название таблиц"/>
    <w:basedOn w:val="Normal"/>
    <w:next w:val="Normal"/>
    <w:uiPriority w:val="39"/>
    <w:qFormat/>
    <w:pPr>
      <w:tabs>
        <w:tab w:val="clear" w:pos="397"/>
        <w:tab w:val="left" w:pos="5103" w:leader="none"/>
      </w:tabs>
      <w:suppressAutoHyphens w:val="false"/>
      <w:spacing w:lineRule="auto" w:line="360"/>
    </w:pPr>
    <w:rPr>
      <w:sz w:val="28"/>
      <w:szCs w:val="28"/>
      <w:lang w:eastAsia="ru-RU"/>
    </w:rPr>
  </w:style>
  <w:style w:type="paragraph" w:styleId="Style118" w:customStyle="1">
    <w:name w:val="Пояснительный текст к рисунку"/>
    <w:basedOn w:val="Normal"/>
    <w:next w:val="Caption11"/>
    <w:autoRedefine/>
    <w:uiPriority w:val="43"/>
    <w:qFormat/>
    <w:pPr>
      <w:tabs>
        <w:tab w:val="clear" w:pos="397"/>
        <w:tab w:val="left" w:pos="5103" w:leader="none"/>
      </w:tabs>
      <w:suppressAutoHyphens w:val="false"/>
      <w:spacing w:lineRule="auto" w:line="360"/>
      <w:ind w:firstLine="709"/>
      <w:jc w:val="center"/>
    </w:pPr>
    <w:rPr>
      <w:szCs w:val="28"/>
      <w:lang w:eastAsia="ru-RU"/>
    </w:rPr>
  </w:style>
  <w:style w:type="paragraph" w:styleId="Style119" w:customStyle="1">
    <w:name w:val="По правому краю"/>
    <w:basedOn w:val="Normal"/>
    <w:next w:val="Normal"/>
    <w:uiPriority w:val="54"/>
    <w:qFormat/>
    <w:pPr>
      <w:tabs>
        <w:tab w:val="clear" w:pos="397"/>
        <w:tab w:val="left" w:pos="5103" w:leader="none"/>
      </w:tabs>
      <w:suppressAutoHyphens w:val="false"/>
      <w:spacing w:lineRule="auto" w:line="360"/>
      <w:ind w:firstLine="709"/>
      <w:jc w:val="right"/>
    </w:pPr>
    <w:rPr>
      <w:sz w:val="28"/>
      <w:szCs w:val="28"/>
      <w:lang w:eastAsia="ru-RU"/>
    </w:rPr>
  </w:style>
  <w:style w:type="paragraph" w:styleId="Style120" w:customStyle="1">
    <w:name w:val="По центру"/>
    <w:basedOn w:val="Normal"/>
    <w:uiPriority w:val="49"/>
    <w:qFormat/>
    <w:pPr>
      <w:tabs>
        <w:tab w:val="clear" w:pos="397"/>
        <w:tab w:val="left" w:pos="5103" w:leader="none"/>
      </w:tabs>
      <w:suppressAutoHyphens w:val="false"/>
      <w:spacing w:lineRule="auto" w:line="360"/>
      <w:jc w:val="center"/>
    </w:pPr>
    <w:rPr>
      <w:sz w:val="28"/>
      <w:szCs w:val="28"/>
      <w:lang w:eastAsia="ru-RU"/>
    </w:rPr>
  </w:style>
  <w:style w:type="paragraph" w:styleId="Style121" w:customStyle="1">
    <w:name w:val="Ошибка"/>
    <w:basedOn w:val="Normal"/>
    <w:next w:val="Normal"/>
    <w:uiPriority w:val="59"/>
    <w:qFormat/>
    <w:pPr>
      <w:tabs>
        <w:tab w:val="clear" w:pos="397"/>
        <w:tab w:val="left" w:pos="5103" w:leader="none"/>
      </w:tabs>
      <w:suppressAutoHyphens w:val="false"/>
      <w:spacing w:lineRule="auto" w:line="360"/>
      <w:ind w:firstLine="709"/>
      <w:jc w:val="both"/>
    </w:pPr>
    <w:rPr>
      <w:color w:val="FF0000"/>
      <w:sz w:val="28"/>
      <w:szCs w:val="28"/>
      <w:lang w:eastAsia="ru-RU"/>
    </w:rPr>
  </w:style>
  <w:style w:type="paragraph" w:styleId="Style122" w:customStyle="1">
    <w:name w:val="Тема работы"/>
    <w:basedOn w:val="Normal"/>
    <w:next w:val="Normal"/>
    <w:uiPriority w:val="57"/>
    <w:qFormat/>
    <w:pPr>
      <w:tabs>
        <w:tab w:val="clear" w:pos="397"/>
        <w:tab w:val="left" w:pos="5103" w:leader="none"/>
      </w:tabs>
      <w:suppressAutoHyphens w:val="false"/>
      <w:spacing w:lineRule="auto" w:line="360"/>
      <w:jc w:val="center"/>
    </w:pPr>
    <w:rPr>
      <w:caps/>
      <w:sz w:val="28"/>
      <w:szCs w:val="28"/>
      <w:lang w:eastAsia="ru-RU"/>
    </w:rPr>
  </w:style>
  <w:style w:type="paragraph" w:styleId="2112" w:customStyle="1">
    <w:name w:val="Основной текст (2)1"/>
    <w:basedOn w:val="Normal"/>
    <w:qFormat/>
    <w:pPr>
      <w:widowControl w:val="false"/>
      <w:shd w:val="clear" w:color="auto" w:fill="FFFFFF"/>
      <w:tabs>
        <w:tab w:val="clear" w:pos="397"/>
        <w:tab w:val="left" w:pos="5103" w:leader="none"/>
      </w:tabs>
      <w:suppressAutoHyphens w:val="false"/>
      <w:spacing w:lineRule="exact" w:line="322" w:before="180" w:after="0"/>
      <w:ind w:hanging="180"/>
    </w:pPr>
    <w:rPr>
      <w:sz w:val="26"/>
      <w:szCs w:val="20"/>
      <w:shd w:fill="FFFFFF" w:val="clear"/>
      <w:lang w:eastAsia="ru-RU"/>
    </w:rPr>
  </w:style>
  <w:style w:type="paragraph" w:styleId="157" w:customStyle="1">
    <w:name w:val="1 Уровень"/>
    <w:basedOn w:val="Normal"/>
    <w:uiPriority w:val="99"/>
    <w:qFormat/>
    <w:pPr>
      <w:widowControl w:val="false"/>
      <w:tabs>
        <w:tab w:val="clear" w:pos="397"/>
        <w:tab w:val="left" w:pos="5103" w:leader="none"/>
      </w:tabs>
      <w:suppressAutoHyphens w:val="false"/>
      <w:jc w:val="both"/>
    </w:pPr>
    <w:rPr>
      <w:lang w:val="x-none" w:eastAsia="ru-RU"/>
    </w:rPr>
  </w:style>
  <w:style w:type="paragraph" w:styleId="158" w:customStyle="1">
    <w:name w:val="ЗАГОЛОВОК 1_НеНум"/>
    <w:basedOn w:val="Heading1"/>
    <w:next w:val="Normal"/>
    <w:qFormat/>
    <w:pPr>
      <w:numPr>
        <w:ilvl w:val="0"/>
        <w:numId w:val="0"/>
      </w:numPr>
      <w:tabs>
        <w:tab w:val="clear" w:pos="851"/>
        <w:tab w:val="left" w:pos="992" w:leader="none"/>
        <w:tab w:val="left" w:pos="5103" w:leader="none"/>
      </w:tabs>
      <w:spacing w:lineRule="auto" w:line="360" w:before="240" w:after="60"/>
      <w:ind w:firstLine="709" w:left="927"/>
      <w:jc w:val="left"/>
    </w:pPr>
    <w:rPr>
      <w:rFonts w:cs="Arial"/>
      <w:sz w:val="32"/>
      <w:szCs w:val="32"/>
      <w:lang w:eastAsia="ru-RU"/>
    </w:rPr>
  </w:style>
  <w:style w:type="paragraph" w:styleId="231" w:customStyle="1">
    <w:name w:val="Основной текст (2)"/>
    <w:basedOn w:val="Normal"/>
    <w:qFormat/>
    <w:pPr>
      <w:shd w:val="clear" w:color="auto" w:fill="FFFFFF"/>
      <w:tabs>
        <w:tab w:val="clear" w:pos="397"/>
        <w:tab w:val="left" w:pos="5103" w:leader="none"/>
      </w:tabs>
      <w:suppressAutoHyphens w:val="false"/>
      <w:spacing w:lineRule="atLeast" w:line="240" w:before="0" w:after="300"/>
    </w:pPr>
    <w:rPr>
      <w:rFonts w:eastAsia="Calibri"/>
      <w:sz w:val="23"/>
      <w:szCs w:val="23"/>
      <w:lang w:eastAsia="en-US"/>
    </w:rPr>
  </w:style>
  <w:style w:type="paragraph" w:styleId="P4" w:customStyle="1">
    <w:name w:val="p4"/>
    <w:basedOn w:val="Normal"/>
    <w:qFormat/>
    <w:pPr>
      <w:tabs>
        <w:tab w:val="clear" w:pos="397"/>
        <w:tab w:val="left" w:pos="5103" w:leader="none"/>
      </w:tabs>
      <w:suppressAutoHyphens w:val="false"/>
      <w:spacing w:beforeAutospacing="1" w:afterAutospacing="1"/>
    </w:pPr>
    <w:rPr>
      <w:lang w:eastAsia="ru-RU"/>
    </w:rPr>
  </w:style>
  <w:style w:type="paragraph" w:styleId="732" w:customStyle="1">
    <w:name w:val="ГОСТ 7.32"/>
    <w:basedOn w:val="Normal"/>
    <w:qFormat/>
    <w:pPr>
      <w:tabs>
        <w:tab w:val="clear" w:pos="397"/>
        <w:tab w:val="left" w:pos="5103" w:leader="none"/>
      </w:tabs>
      <w:suppressAutoHyphens w:val="false"/>
      <w:spacing w:lineRule="auto" w:line="360"/>
      <w:ind w:firstLine="567"/>
      <w:jc w:val="both"/>
    </w:pPr>
    <w:rPr>
      <w:rFonts w:eastAsia="Calibri"/>
      <w:sz w:val="28"/>
      <w:szCs w:val="28"/>
      <w:lang w:eastAsia="en-US"/>
    </w:rPr>
  </w:style>
  <w:style w:type="paragraph" w:styleId="Style123" w:customStyle="1">
    <w:name w:val="Таблица"/>
    <w:basedOn w:val="Normal"/>
    <w:uiPriority w:val="31"/>
    <w:qFormat/>
    <w:pPr>
      <w:widowControl w:val="false"/>
      <w:tabs>
        <w:tab w:val="clear" w:pos="397"/>
        <w:tab w:val="left" w:pos="851" w:leader="none"/>
        <w:tab w:val="left" w:pos="5103" w:leader="none"/>
      </w:tabs>
      <w:suppressAutoHyphens w:val="false"/>
      <w:spacing w:lineRule="auto" w:line="360"/>
      <w:jc w:val="center"/>
    </w:pPr>
    <w:rPr>
      <w:color w:val="000000"/>
      <w:sz w:val="20"/>
      <w:szCs w:val="20"/>
      <w:lang w:eastAsia="en-US"/>
    </w:rPr>
  </w:style>
  <w:style w:type="paragraph" w:styleId="320" w:customStyle="1">
    <w:name w:val="Заголовок №3"/>
    <w:basedOn w:val="Normal"/>
    <w:qFormat/>
    <w:pPr>
      <w:widowControl w:val="false"/>
      <w:shd w:val="clear" w:color="auto" w:fill="FFFFFF"/>
      <w:tabs>
        <w:tab w:val="clear" w:pos="397"/>
        <w:tab w:val="left" w:pos="5103" w:leader="none"/>
      </w:tabs>
      <w:suppressAutoHyphens w:val="false"/>
      <w:spacing w:before="0" w:after="720"/>
      <w:jc w:val="center"/>
      <w:outlineLvl w:val="2"/>
    </w:pPr>
    <w:rPr>
      <w:sz w:val="20"/>
      <w:szCs w:val="20"/>
      <w:lang w:eastAsia="ru-RU"/>
    </w:rPr>
  </w:style>
  <w:style w:type="paragraph" w:styleId="322" w:customStyle="1">
    <w:name w:val="Оглавление (3)"/>
    <w:basedOn w:val="Normal"/>
    <w:link w:val="34"/>
    <w:uiPriority w:val="99"/>
    <w:qFormat/>
    <w:pPr>
      <w:widowControl w:val="false"/>
      <w:shd w:val="clear" w:color="auto" w:fill="FFFFFF"/>
      <w:tabs>
        <w:tab w:val="clear" w:pos="397"/>
        <w:tab w:val="left" w:pos="5103" w:leader="none"/>
      </w:tabs>
      <w:suppressAutoHyphens w:val="false"/>
      <w:spacing w:lineRule="exact" w:line="485" w:before="300" w:after="0"/>
      <w:jc w:val="both"/>
    </w:pPr>
    <w:rPr>
      <w:sz w:val="16"/>
      <w:szCs w:val="16"/>
      <w:lang w:eastAsia="ru-RU"/>
    </w:rPr>
  </w:style>
  <w:style w:type="paragraph" w:styleId="323" w:customStyle="1">
    <w:name w:val="Подпись к картинке (3)"/>
    <w:basedOn w:val="Normal"/>
    <w:qFormat/>
    <w:pPr>
      <w:widowControl w:val="false"/>
      <w:shd w:val="clear" w:color="auto" w:fill="FFFFFF"/>
      <w:tabs>
        <w:tab w:val="clear" w:pos="397"/>
        <w:tab w:val="left" w:pos="5103" w:leader="none"/>
      </w:tabs>
      <w:suppressAutoHyphens w:val="false"/>
    </w:pPr>
    <w:rPr>
      <w:sz w:val="20"/>
      <w:szCs w:val="20"/>
      <w:lang w:eastAsia="ru-RU"/>
    </w:rPr>
  </w:style>
  <w:style w:type="paragraph" w:styleId="232" w:customStyle="1">
    <w:name w:val="Заголовок №2"/>
    <w:basedOn w:val="Normal"/>
    <w:link w:val="25"/>
    <w:qFormat/>
    <w:pPr>
      <w:widowControl w:val="false"/>
      <w:shd w:val="clear" w:color="auto" w:fill="FFFFFF"/>
      <w:tabs>
        <w:tab w:val="clear" w:pos="397"/>
        <w:tab w:val="left" w:pos="5103" w:leader="none"/>
      </w:tabs>
      <w:suppressAutoHyphens w:val="false"/>
      <w:spacing w:lineRule="exact" w:line="552" w:before="660" w:after="0"/>
      <w:ind w:firstLine="780"/>
      <w:outlineLvl w:val="1"/>
    </w:pPr>
    <w:rPr>
      <w:lang w:eastAsia="ru-RU"/>
    </w:rPr>
  </w:style>
  <w:style w:type="paragraph" w:styleId="233" w:customStyle="1">
    <w:name w:val="Стиль2"/>
    <w:basedOn w:val="Heading1"/>
    <w:qFormat/>
    <w:pPr>
      <w:keepLines/>
      <w:pageBreakBefore w:val="false"/>
      <w:numPr>
        <w:ilvl w:val="0"/>
        <w:numId w:val="0"/>
      </w:numPr>
      <w:tabs>
        <w:tab w:val="clear" w:pos="851"/>
        <w:tab w:val="left" w:pos="992" w:leader="none"/>
        <w:tab w:val="left" w:pos="5103" w:leader="none"/>
      </w:tabs>
      <w:suppressAutoHyphens w:val="false"/>
      <w:spacing w:lineRule="auto" w:line="360" w:before="480" w:after="360"/>
      <w:ind w:firstLine="709" w:left="927"/>
      <w:jc w:val="both"/>
    </w:pPr>
    <w:rPr>
      <w:rFonts w:cs="Arial"/>
      <w:b w:val="false"/>
      <w:bCs w:val="false"/>
      <w:caps w:val="false"/>
      <w:smallCaps w:val="false"/>
      <w:color w:val="000000"/>
      <w:kern w:val="0"/>
      <w:sz w:val="24"/>
      <w:szCs w:val="24"/>
      <w:lang w:eastAsia="ru-RU"/>
    </w:rPr>
  </w:style>
  <w:style w:type="paragraph" w:styleId="-3" w:customStyle="1">
    <w:name w:val="Таблица - текст основной"/>
    <w:basedOn w:val="BodyText"/>
    <w:qFormat/>
    <w:pPr>
      <w:tabs>
        <w:tab w:val="clear" w:pos="397"/>
        <w:tab w:val="left" w:pos="5103" w:leader="none"/>
      </w:tabs>
      <w:spacing w:lineRule="auto" w:line="276" w:before="40" w:after="0"/>
      <w:ind w:hanging="0"/>
      <w:jc w:val="left"/>
    </w:pPr>
    <w:rPr>
      <w:rFonts w:ascii="Arial" w:hAnsi="Arial" w:eastAsia="Calibri" w:cs="Arial"/>
      <w:color w:val="000000"/>
      <w:sz w:val="20"/>
      <w:szCs w:val="20"/>
      <w:lang w:eastAsia="en-US"/>
    </w:rPr>
  </w:style>
  <w:style w:type="paragraph" w:styleId="-4" w:customStyle="1">
    <w:name w:val="Таблица - шапка"/>
    <w:basedOn w:val="Normal"/>
    <w:qFormat/>
    <w:pPr>
      <w:tabs>
        <w:tab w:val="clear" w:pos="397"/>
        <w:tab w:val="left" w:pos="5103" w:leader="none"/>
      </w:tabs>
      <w:spacing w:before="60" w:after="60"/>
      <w:jc w:val="center"/>
    </w:pPr>
    <w:rPr>
      <w:rFonts w:ascii="Arial" w:hAnsi="Arial" w:eastAsia="Calibri" w:cs="Arial"/>
      <w:b/>
      <w:sz w:val="20"/>
      <w:szCs w:val="20"/>
      <w:lang w:eastAsia="en-US"/>
    </w:rPr>
  </w:style>
  <w:style w:type="paragraph" w:styleId="Quote">
    <w:name w:val="Quote"/>
    <w:basedOn w:val="Normal"/>
    <w:next w:val="Normal"/>
    <w:link w:val="210"/>
    <w:uiPriority w:val="29"/>
    <w:qFormat/>
    <w:pPr>
      <w:tabs>
        <w:tab w:val="clear" w:pos="397"/>
        <w:tab w:val="left" w:pos="5103" w:leader="none"/>
      </w:tabs>
      <w:suppressAutoHyphens w:val="false"/>
      <w:spacing w:lineRule="auto" w:line="276" w:before="0" w:after="200"/>
    </w:pPr>
    <w:rPr>
      <w:rFonts w:ascii="Calibri" w:hAnsi="Calibri"/>
      <w:i/>
      <w:iCs/>
      <w:color w:val="000000"/>
      <w:sz w:val="22"/>
      <w:szCs w:val="22"/>
      <w:lang w:val="en-US" w:eastAsia="en-US" w:bidi="en-US"/>
    </w:rPr>
  </w:style>
  <w:style w:type="paragraph" w:styleId="IntenseQuote">
    <w:name w:val="Intense Quote"/>
    <w:basedOn w:val="Normal"/>
    <w:next w:val="Normal"/>
    <w:uiPriority w:val="30"/>
    <w:qFormat/>
    <w:pPr>
      <w:pBdr>
        <w:bottom w:val="single" w:sz="4" w:space="4" w:color="4F81BD"/>
      </w:pBdr>
      <w:tabs>
        <w:tab w:val="clear" w:pos="397"/>
        <w:tab w:val="left" w:pos="5103" w:leader="none"/>
      </w:tabs>
      <w:suppressAutoHyphens w:val="false"/>
      <w:spacing w:lineRule="auto" w:line="276" w:before="200" w:after="280"/>
      <w:ind w:hanging="0" w:left="936" w:right="936"/>
    </w:pPr>
    <w:rPr>
      <w:rFonts w:ascii="Calibri" w:hAnsi="Calibri"/>
      <w:b/>
      <w:bCs/>
      <w:i/>
      <w:iCs/>
      <w:color w:val="4F81BD"/>
      <w:sz w:val="22"/>
      <w:szCs w:val="22"/>
      <w:lang w:val="en-US" w:eastAsia="en-US" w:bidi="en-US"/>
    </w:rPr>
  </w:style>
  <w:style w:type="paragraph" w:styleId="TableParagraph" w:customStyle="1">
    <w:name w:val="Table Paragraph"/>
    <w:basedOn w:val="Normal"/>
    <w:qFormat/>
    <w:pPr>
      <w:widowControl w:val="false"/>
      <w:tabs>
        <w:tab w:val="clear" w:pos="397"/>
        <w:tab w:val="left" w:pos="5103" w:leader="none"/>
      </w:tabs>
      <w:suppressAutoHyphens w:val="false"/>
    </w:pPr>
    <w:rPr>
      <w:rFonts w:ascii="Calibri" w:hAnsi="Calibri" w:eastAsia="Calibri" w:cs="Calibri"/>
      <w:sz w:val="22"/>
      <w:szCs w:val="22"/>
      <w:lang w:val="en-US" w:eastAsia="en-US"/>
    </w:rPr>
  </w:style>
  <w:style w:type="paragraph" w:styleId="-5" w:customStyle="1">
    <w:name w:val="Таблица - Текст основной"/>
    <w:basedOn w:val="Normal"/>
    <w:qFormat/>
    <w:pPr>
      <w:tabs>
        <w:tab w:val="clear" w:pos="397"/>
        <w:tab w:val="left" w:pos="5103" w:leader="none"/>
      </w:tabs>
      <w:spacing w:before="20" w:after="20"/>
    </w:pPr>
    <w:rPr>
      <w:rFonts w:ascii="Arial" w:hAnsi="Arial"/>
      <w:sz w:val="20"/>
      <w:szCs w:val="20"/>
      <w:lang w:eastAsia="ru-RU"/>
    </w:rPr>
  </w:style>
  <w:style w:type="paragraph" w:styleId="-6" w:customStyle="1">
    <w:name w:val="Таблица - Числа (выравнены по точке)"/>
    <w:basedOn w:val="-5"/>
    <w:qFormat/>
    <w:pPr>
      <w:tabs>
        <w:tab w:val="decimal" w:pos="1134" w:leader="none"/>
        <w:tab w:val="left" w:pos="5103" w:leader="none"/>
      </w:tabs>
    </w:pPr>
    <w:rPr/>
  </w:style>
  <w:style w:type="paragraph" w:styleId="55" w:customStyle="1">
    <w:name w:val="Оглавление 5 Знак"/>
    <w:basedOn w:val="Heading2"/>
    <w:qFormat/>
    <w:pPr>
      <w:numPr>
        <w:ilvl w:val="0"/>
        <w:numId w:val="0"/>
      </w:numPr>
      <w:tabs>
        <w:tab w:val="clear" w:pos="1134"/>
        <w:tab w:val="left" w:pos="1276" w:leader="none"/>
        <w:tab w:val="left" w:pos="5103" w:leader="none"/>
      </w:tabs>
      <w:suppressAutoHyphens w:val="false"/>
      <w:spacing w:before="0" w:after="0"/>
      <w:ind w:firstLine="709"/>
      <w:jc w:val="both"/>
    </w:pPr>
    <w:rPr>
      <w:iCs/>
      <w:sz w:val="24"/>
      <w:szCs w:val="32"/>
      <w:lang w:eastAsia="ru-RU"/>
    </w:rPr>
  </w:style>
  <w:style w:type="paragraph" w:styleId="62" w:customStyle="1">
    <w:name w:val="Оглавление 6 Знак"/>
    <w:basedOn w:val="Heading1"/>
    <w:qFormat/>
    <w:pPr>
      <w:keepLines/>
      <w:pageBreakBefore w:val="false"/>
      <w:widowControl w:val="false"/>
      <w:numPr>
        <w:ilvl w:val="0"/>
        <w:numId w:val="0"/>
      </w:numPr>
      <w:tabs>
        <w:tab w:val="clear" w:pos="851"/>
        <w:tab w:val="left" w:pos="992" w:leader="none"/>
        <w:tab w:val="left" w:pos="5103" w:leader="none"/>
      </w:tabs>
      <w:suppressAutoHyphens w:val="false"/>
      <w:spacing w:before="200" w:after="60"/>
      <w:ind w:firstLine="709" w:left="927"/>
      <w:jc w:val="both"/>
    </w:pPr>
    <w:rPr>
      <w:rFonts w:cs="Arial"/>
      <w:caps w:val="false"/>
      <w:smallCaps w:val="false"/>
      <w:kern w:val="0"/>
      <w:sz w:val="24"/>
      <w:szCs w:val="24"/>
      <w:lang w:eastAsia="ru-RU" w:bidi="ru-RU"/>
    </w:rPr>
  </w:style>
  <w:style w:type="paragraph" w:styleId="Style124" w:customStyle="1">
    <w:name w:val="Подпись к картинке"/>
    <w:basedOn w:val="Normal"/>
    <w:qFormat/>
    <w:pPr>
      <w:widowControl w:val="false"/>
      <w:shd w:val="clear" w:color="auto" w:fill="FFFFFF"/>
      <w:tabs>
        <w:tab w:val="clear" w:pos="397"/>
        <w:tab w:val="left" w:pos="5103" w:leader="none"/>
      </w:tabs>
      <w:suppressAutoHyphens w:val="false"/>
    </w:pPr>
    <w:rPr>
      <w:sz w:val="28"/>
      <w:szCs w:val="28"/>
      <w:lang w:eastAsia="ru-RU"/>
    </w:rPr>
  </w:style>
  <w:style w:type="paragraph" w:styleId="234" w:customStyle="1">
    <w:name w:val="Подпись к таблице (2)"/>
    <w:basedOn w:val="Normal"/>
    <w:qFormat/>
    <w:pPr>
      <w:widowControl w:val="false"/>
      <w:shd w:val="clear" w:color="auto" w:fill="FFFFFF"/>
      <w:tabs>
        <w:tab w:val="clear" w:pos="397"/>
        <w:tab w:val="left" w:pos="5103" w:leader="none"/>
      </w:tabs>
      <w:suppressAutoHyphens w:val="false"/>
      <w:spacing w:before="0" w:after="240"/>
    </w:pPr>
    <w:rPr>
      <w:sz w:val="20"/>
      <w:szCs w:val="20"/>
      <w:lang w:eastAsia="ru-RU"/>
    </w:rPr>
  </w:style>
  <w:style w:type="paragraph" w:styleId="Xl88" w:customStyle="1">
    <w:name w:val="xl88"/>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89" w:customStyle="1">
    <w:name w:val="xl89"/>
    <w:basedOn w:val="Normal"/>
    <w:uiPriority w:val="99"/>
    <w:qFormat/>
    <w:pPr>
      <w:pBdr>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sz w:val="20"/>
      <w:szCs w:val="20"/>
      <w:lang w:eastAsia="ru-RU"/>
    </w:rPr>
  </w:style>
  <w:style w:type="paragraph" w:styleId="Xl90" w:customStyle="1">
    <w:name w:val="xl90"/>
    <w:basedOn w:val="Normal"/>
    <w:uiPriority w:val="99"/>
    <w:qFormat/>
    <w:pPr>
      <w:pBdr>
        <w:left w:val="single" w:sz="4" w:space="0" w:color="000000"/>
        <w:bottom w:val="single" w:sz="4" w:space="0" w:color="000000"/>
      </w:pBdr>
      <w:tabs>
        <w:tab w:val="clear" w:pos="397"/>
        <w:tab w:val="left" w:pos="5103" w:leader="none"/>
      </w:tabs>
      <w:suppressAutoHyphens w:val="false"/>
      <w:spacing w:beforeAutospacing="1" w:afterAutospacing="1"/>
      <w:jc w:val="center"/>
    </w:pPr>
    <w:rPr>
      <w:sz w:val="20"/>
      <w:szCs w:val="20"/>
      <w:lang w:eastAsia="ru-RU"/>
    </w:rPr>
  </w:style>
  <w:style w:type="paragraph" w:styleId="Xl91" w:customStyle="1">
    <w:name w:val="xl91"/>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sz w:val="20"/>
      <w:szCs w:val="20"/>
      <w:lang w:eastAsia="ru-RU"/>
    </w:rPr>
  </w:style>
  <w:style w:type="paragraph" w:styleId="Xl92" w:customStyle="1">
    <w:name w:val="xl92"/>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93" w:customStyle="1">
    <w:name w:val="xl93"/>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94" w:customStyle="1">
    <w:name w:val="xl9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95" w:customStyle="1">
    <w:name w:val="xl95"/>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b/>
      <w:bCs/>
      <w:i/>
      <w:iCs/>
      <w:sz w:val="20"/>
      <w:szCs w:val="20"/>
      <w:lang w:eastAsia="ru-RU"/>
    </w:rPr>
  </w:style>
  <w:style w:type="paragraph" w:styleId="Xl96" w:customStyle="1">
    <w:name w:val="xl96"/>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b/>
      <w:bCs/>
      <w:i/>
      <w:iCs/>
      <w:sz w:val="20"/>
      <w:szCs w:val="20"/>
      <w:lang w:eastAsia="ru-RU"/>
    </w:rPr>
  </w:style>
  <w:style w:type="paragraph" w:styleId="Xl97" w:customStyle="1">
    <w:name w:val="xl97"/>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b/>
      <w:bCs/>
      <w:i/>
      <w:iCs/>
      <w:sz w:val="20"/>
      <w:szCs w:val="20"/>
      <w:lang w:eastAsia="ru-RU"/>
    </w:rPr>
  </w:style>
  <w:style w:type="paragraph" w:styleId="Xl98" w:customStyle="1">
    <w:name w:val="xl98"/>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99" w:customStyle="1">
    <w:name w:val="xl99"/>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sz w:val="20"/>
      <w:szCs w:val="20"/>
      <w:lang w:eastAsia="ru-RU"/>
    </w:rPr>
  </w:style>
  <w:style w:type="paragraph" w:styleId="Xl100" w:customStyle="1">
    <w:name w:val="xl100"/>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b/>
      <w:bCs/>
      <w:i/>
      <w:iCs/>
      <w:sz w:val="20"/>
      <w:szCs w:val="20"/>
      <w:lang w:eastAsia="ru-RU"/>
    </w:rPr>
  </w:style>
  <w:style w:type="paragraph" w:styleId="Xl101" w:customStyle="1">
    <w:name w:val="xl101"/>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02" w:customStyle="1">
    <w:name w:val="xl102"/>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03" w:customStyle="1">
    <w:name w:val="xl103"/>
    <w:basedOn w:val="Normal"/>
    <w:uiPriority w:val="99"/>
    <w:qFormat/>
    <w:pPr>
      <w:tabs>
        <w:tab w:val="clear" w:pos="397"/>
        <w:tab w:val="left" w:pos="5103" w:leader="none"/>
      </w:tabs>
      <w:suppressAutoHyphens w:val="false"/>
      <w:spacing w:beforeAutospacing="1" w:afterAutospacing="1"/>
    </w:pPr>
    <w:rPr>
      <w:sz w:val="20"/>
      <w:szCs w:val="20"/>
      <w:lang w:eastAsia="ru-RU"/>
    </w:rPr>
  </w:style>
  <w:style w:type="paragraph" w:styleId="Xl104" w:customStyle="1">
    <w:name w:val="xl104"/>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pPr>
    <w:rPr>
      <w:rFonts w:ascii="Times New Roman CYR" w:hAnsi="Times New Roman CYR"/>
      <w:b/>
      <w:bCs/>
      <w:sz w:val="20"/>
      <w:szCs w:val="20"/>
      <w:lang w:eastAsia="ru-RU"/>
    </w:rPr>
  </w:style>
  <w:style w:type="paragraph" w:styleId="Xl105" w:customStyle="1">
    <w:name w:val="xl105"/>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pPr>
    <w:rPr>
      <w:sz w:val="20"/>
      <w:szCs w:val="20"/>
      <w:lang w:eastAsia="ru-RU"/>
    </w:rPr>
  </w:style>
  <w:style w:type="paragraph" w:styleId="Xl106" w:customStyle="1">
    <w:name w:val="xl106"/>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pPr>
    <w:rPr>
      <w:rFonts w:ascii="Times New Roman CYR" w:hAnsi="Times New Roman CYR"/>
      <w:b/>
      <w:bCs/>
      <w:i/>
      <w:iCs/>
      <w:sz w:val="20"/>
      <w:szCs w:val="20"/>
      <w:lang w:eastAsia="ru-RU"/>
    </w:rPr>
  </w:style>
  <w:style w:type="paragraph" w:styleId="Xl107" w:customStyle="1">
    <w:name w:val="xl107"/>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bottom"/>
    </w:pPr>
    <w:rPr>
      <w:sz w:val="20"/>
      <w:szCs w:val="20"/>
      <w:lang w:eastAsia="ru-RU"/>
    </w:rPr>
  </w:style>
  <w:style w:type="paragraph" w:styleId="Xl108" w:customStyle="1">
    <w:name w:val="xl108"/>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bottom"/>
    </w:pPr>
    <w:rPr>
      <w:sz w:val="20"/>
      <w:szCs w:val="20"/>
      <w:lang w:eastAsia="ru-RU"/>
    </w:rPr>
  </w:style>
  <w:style w:type="paragraph" w:styleId="Xl109" w:customStyle="1">
    <w:name w:val="xl109"/>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b/>
      <w:bCs/>
      <w:sz w:val="20"/>
      <w:szCs w:val="20"/>
      <w:lang w:eastAsia="ru-RU"/>
    </w:rPr>
  </w:style>
  <w:style w:type="paragraph" w:styleId="Xl110" w:customStyle="1">
    <w:name w:val="xl110"/>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b/>
      <w:bCs/>
      <w:i/>
      <w:iCs/>
      <w:sz w:val="20"/>
      <w:szCs w:val="20"/>
      <w:lang w:eastAsia="ru-RU"/>
    </w:rPr>
  </w:style>
  <w:style w:type="paragraph" w:styleId="Xl111" w:customStyle="1">
    <w:name w:val="xl111"/>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sz w:val="20"/>
      <w:szCs w:val="20"/>
      <w:lang w:eastAsia="ru-RU"/>
    </w:rPr>
  </w:style>
  <w:style w:type="paragraph" w:styleId="Xl112" w:customStyle="1">
    <w:name w:val="xl112"/>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rFonts w:ascii="Times New Roman CYR" w:hAnsi="Times New Roman CYR"/>
      <w:b/>
      <w:bCs/>
      <w:i/>
      <w:iCs/>
      <w:sz w:val="20"/>
      <w:szCs w:val="20"/>
      <w:lang w:eastAsia="ru-RU"/>
    </w:rPr>
  </w:style>
  <w:style w:type="paragraph" w:styleId="Xl113" w:customStyle="1">
    <w:name w:val="xl113"/>
    <w:basedOn w:val="Normal"/>
    <w:uiPriority w:val="99"/>
    <w:qFormat/>
    <w:pPr>
      <w:pBdr>
        <w:left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14" w:customStyle="1">
    <w:name w:val="xl11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b/>
      <w:bCs/>
      <w:sz w:val="20"/>
      <w:szCs w:val="20"/>
      <w:lang w:eastAsia="ru-RU"/>
    </w:rPr>
  </w:style>
  <w:style w:type="paragraph" w:styleId="Xl115" w:customStyle="1">
    <w:name w:val="xl115"/>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right"/>
      <w:textAlignment w:val="center"/>
    </w:pPr>
    <w:rPr>
      <w:color w:val="000000"/>
      <w:sz w:val="20"/>
      <w:szCs w:val="20"/>
      <w:lang w:eastAsia="ru-RU"/>
    </w:rPr>
  </w:style>
  <w:style w:type="paragraph" w:styleId="Xl116" w:customStyle="1">
    <w:name w:val="xl116"/>
    <w:basedOn w:val="Normal"/>
    <w:uiPriority w:val="99"/>
    <w:qFormat/>
    <w:pPr>
      <w:pBdr>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17" w:customStyle="1">
    <w:name w:val="xl117"/>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right"/>
      <w:textAlignment w:val="center"/>
    </w:pPr>
    <w:rPr>
      <w:color w:val="000000"/>
      <w:sz w:val="20"/>
      <w:szCs w:val="20"/>
      <w:lang w:eastAsia="ru-RU"/>
    </w:rPr>
  </w:style>
  <w:style w:type="paragraph" w:styleId="Xl118" w:customStyle="1">
    <w:name w:val="xl118"/>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right"/>
      <w:textAlignment w:val="center"/>
    </w:pPr>
    <w:rPr>
      <w:color w:val="000000"/>
      <w:sz w:val="20"/>
      <w:szCs w:val="20"/>
      <w:lang w:eastAsia="ru-RU"/>
    </w:rPr>
  </w:style>
  <w:style w:type="paragraph" w:styleId="Xl119" w:customStyle="1">
    <w:name w:val="xl119"/>
    <w:basedOn w:val="Normal"/>
    <w:uiPriority w:val="99"/>
    <w:qFormat/>
    <w:pPr>
      <w:pBdr>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right"/>
      <w:textAlignment w:val="center"/>
    </w:pPr>
    <w:rPr>
      <w:color w:val="000000"/>
      <w:sz w:val="20"/>
      <w:szCs w:val="20"/>
      <w:lang w:eastAsia="ru-RU"/>
    </w:rPr>
  </w:style>
  <w:style w:type="paragraph" w:styleId="Xl120" w:customStyle="1">
    <w:name w:val="xl120"/>
    <w:basedOn w:val="Normal"/>
    <w:uiPriority w:val="99"/>
    <w:qFormat/>
    <w:pPr>
      <w:pBdr>
        <w:top w:val="single" w:sz="4" w:space="0" w:color="000000"/>
        <w:left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b/>
      <w:bCs/>
      <w:i/>
      <w:iCs/>
      <w:sz w:val="20"/>
      <w:szCs w:val="20"/>
      <w:lang w:eastAsia="ru-RU"/>
    </w:rPr>
  </w:style>
  <w:style w:type="paragraph" w:styleId="Xl121" w:customStyle="1">
    <w:name w:val="xl121"/>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22" w:customStyle="1">
    <w:name w:val="xl122"/>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b/>
      <w:bCs/>
      <w:sz w:val="20"/>
      <w:szCs w:val="20"/>
      <w:lang w:eastAsia="ru-RU"/>
    </w:rPr>
  </w:style>
  <w:style w:type="paragraph" w:styleId="Xl123" w:customStyle="1">
    <w:name w:val="xl123"/>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rFonts w:ascii="Times New Roman CYR" w:hAnsi="Times New Roman CYR"/>
      <w:b/>
      <w:bCs/>
      <w:sz w:val="20"/>
      <w:szCs w:val="20"/>
      <w:lang w:eastAsia="ru-RU"/>
    </w:rPr>
  </w:style>
  <w:style w:type="paragraph" w:styleId="Xl124" w:customStyle="1">
    <w:name w:val="xl12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sz w:val="20"/>
      <w:szCs w:val="20"/>
      <w:lang w:eastAsia="ru-RU"/>
    </w:rPr>
  </w:style>
  <w:style w:type="paragraph" w:styleId="Xl125" w:customStyle="1">
    <w:name w:val="xl125"/>
    <w:basedOn w:val="Normal"/>
    <w:uiPriority w:val="99"/>
    <w:qFormat/>
    <w:pPr>
      <w:tabs>
        <w:tab w:val="clear" w:pos="397"/>
        <w:tab w:val="left" w:pos="5103" w:leader="none"/>
      </w:tabs>
      <w:suppressAutoHyphens w:val="false"/>
      <w:spacing w:beforeAutospacing="1" w:afterAutospacing="1"/>
    </w:pPr>
    <w:rPr>
      <w:sz w:val="20"/>
      <w:szCs w:val="20"/>
      <w:lang w:eastAsia="ru-RU"/>
    </w:rPr>
  </w:style>
  <w:style w:type="paragraph" w:styleId="Xl126" w:customStyle="1">
    <w:name w:val="xl126"/>
    <w:basedOn w:val="Normal"/>
    <w:uiPriority w:val="99"/>
    <w:qFormat/>
    <w:pPr>
      <w:tabs>
        <w:tab w:val="clear" w:pos="397"/>
        <w:tab w:val="left" w:pos="5103" w:leader="none"/>
      </w:tabs>
      <w:suppressAutoHyphens w:val="false"/>
      <w:spacing w:beforeAutospacing="1" w:afterAutospacing="1"/>
      <w:textAlignment w:val="bottom"/>
    </w:pPr>
    <w:rPr>
      <w:sz w:val="20"/>
      <w:szCs w:val="20"/>
      <w:lang w:eastAsia="ru-RU"/>
    </w:rPr>
  </w:style>
  <w:style w:type="paragraph" w:styleId="Xl127" w:customStyle="1">
    <w:name w:val="xl127"/>
    <w:basedOn w:val="Normal"/>
    <w:uiPriority w:val="99"/>
    <w:qFormat/>
    <w:pPr>
      <w:pBdr>
        <w:top w:val="single" w:sz="4" w:space="0" w:color="000000"/>
        <w:left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28" w:customStyle="1">
    <w:name w:val="xl128"/>
    <w:basedOn w:val="Normal"/>
    <w:uiPriority w:val="99"/>
    <w:qFormat/>
    <w:pPr>
      <w:pBdr>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29" w:customStyle="1">
    <w:name w:val="xl129"/>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b/>
      <w:bCs/>
      <w:sz w:val="20"/>
      <w:szCs w:val="20"/>
      <w:lang w:eastAsia="ru-RU"/>
    </w:rPr>
  </w:style>
  <w:style w:type="paragraph" w:styleId="Xl130" w:customStyle="1">
    <w:name w:val="xl130"/>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31" w:customStyle="1">
    <w:name w:val="xl131"/>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sz w:val="20"/>
      <w:szCs w:val="20"/>
      <w:lang w:eastAsia="ru-RU"/>
    </w:rPr>
  </w:style>
  <w:style w:type="paragraph" w:styleId="Xl132" w:customStyle="1">
    <w:name w:val="xl132"/>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i/>
      <w:iCs/>
      <w:sz w:val="20"/>
      <w:szCs w:val="20"/>
      <w:lang w:eastAsia="ru-RU"/>
    </w:rPr>
  </w:style>
  <w:style w:type="paragraph" w:styleId="Xl133" w:customStyle="1">
    <w:name w:val="xl133"/>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b/>
      <w:bCs/>
      <w:i/>
      <w:iCs/>
      <w:sz w:val="20"/>
      <w:szCs w:val="20"/>
      <w:lang w:eastAsia="ru-RU"/>
    </w:rPr>
  </w:style>
  <w:style w:type="paragraph" w:styleId="Xl134" w:customStyle="1">
    <w:name w:val="xl13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b/>
      <w:bCs/>
      <w:i/>
      <w:iCs/>
      <w:sz w:val="20"/>
      <w:szCs w:val="20"/>
      <w:lang w:eastAsia="ru-RU"/>
    </w:rPr>
  </w:style>
  <w:style w:type="paragraph" w:styleId="Xl135" w:customStyle="1">
    <w:name w:val="xl135"/>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center"/>
    </w:pPr>
    <w:rPr>
      <w:b/>
      <w:bCs/>
      <w:i/>
      <w:iCs/>
      <w:sz w:val="20"/>
      <w:szCs w:val="20"/>
      <w:lang w:eastAsia="ru-RU"/>
    </w:rPr>
  </w:style>
  <w:style w:type="paragraph" w:styleId="Xl136" w:customStyle="1">
    <w:name w:val="xl136"/>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37" w:customStyle="1">
    <w:name w:val="xl137"/>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bottom"/>
    </w:pPr>
    <w:rPr>
      <w:b/>
      <w:bCs/>
      <w:sz w:val="20"/>
      <w:szCs w:val="20"/>
      <w:lang w:eastAsia="ru-RU"/>
    </w:rPr>
  </w:style>
  <w:style w:type="paragraph" w:styleId="Xl138" w:customStyle="1">
    <w:name w:val="xl138"/>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bottom"/>
    </w:pPr>
    <w:rPr>
      <w:sz w:val="20"/>
      <w:szCs w:val="20"/>
      <w:lang w:eastAsia="ru-RU"/>
    </w:rPr>
  </w:style>
  <w:style w:type="paragraph" w:styleId="Xl139" w:customStyle="1">
    <w:name w:val="xl139"/>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center"/>
    </w:pPr>
    <w:rPr>
      <w:sz w:val="20"/>
      <w:szCs w:val="20"/>
      <w:lang w:eastAsia="ru-RU"/>
    </w:rPr>
  </w:style>
  <w:style w:type="paragraph" w:styleId="Xl140" w:customStyle="1">
    <w:name w:val="xl140"/>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b/>
      <w:bCs/>
      <w:sz w:val="20"/>
      <w:szCs w:val="20"/>
      <w:lang w:eastAsia="ru-RU"/>
    </w:rPr>
  </w:style>
  <w:style w:type="paragraph" w:styleId="Xl141" w:customStyle="1">
    <w:name w:val="xl141"/>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sz w:val="20"/>
      <w:szCs w:val="20"/>
      <w:lang w:eastAsia="ru-RU"/>
    </w:rPr>
  </w:style>
  <w:style w:type="paragraph" w:styleId="Xl142" w:customStyle="1">
    <w:name w:val="xl142"/>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43" w:customStyle="1">
    <w:name w:val="xl143"/>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44" w:customStyle="1">
    <w:name w:val="xl14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rFonts w:ascii="Times New Roman CYR" w:hAnsi="Times New Roman CYR"/>
      <w:b/>
      <w:bCs/>
      <w:sz w:val="20"/>
      <w:szCs w:val="20"/>
      <w:lang w:eastAsia="ru-RU"/>
    </w:rPr>
  </w:style>
  <w:style w:type="paragraph" w:styleId="Xl145" w:customStyle="1">
    <w:name w:val="xl145"/>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b/>
      <w:bCs/>
      <w:i/>
      <w:iCs/>
      <w:sz w:val="20"/>
      <w:szCs w:val="20"/>
      <w:lang w:eastAsia="ru-RU"/>
    </w:rPr>
  </w:style>
  <w:style w:type="paragraph" w:styleId="Xl146" w:customStyle="1">
    <w:name w:val="xl146"/>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textAlignment w:val="center"/>
    </w:pPr>
    <w:rPr>
      <w:sz w:val="20"/>
      <w:szCs w:val="20"/>
      <w:lang w:eastAsia="ru-RU"/>
    </w:rPr>
  </w:style>
  <w:style w:type="paragraph" w:styleId="Xl147" w:customStyle="1">
    <w:name w:val="xl147"/>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center"/>
    </w:pPr>
    <w:rPr>
      <w:b/>
      <w:bCs/>
      <w:i/>
      <w:iCs/>
      <w:sz w:val="20"/>
      <w:szCs w:val="20"/>
      <w:lang w:eastAsia="ru-RU"/>
    </w:rPr>
  </w:style>
  <w:style w:type="paragraph" w:styleId="Xl148" w:customStyle="1">
    <w:name w:val="xl148"/>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center"/>
    </w:pPr>
    <w:rPr>
      <w:rFonts w:ascii="Times New Roman CYR" w:hAnsi="Times New Roman CYR"/>
      <w:b/>
      <w:bCs/>
      <w:sz w:val="20"/>
      <w:szCs w:val="20"/>
      <w:lang w:eastAsia="ru-RU"/>
    </w:rPr>
  </w:style>
  <w:style w:type="paragraph" w:styleId="Xl149" w:customStyle="1">
    <w:name w:val="xl149"/>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pPr>
    <w:rPr>
      <w:rFonts w:ascii="Times New Roman CYR" w:hAnsi="Times New Roman CYR"/>
      <w:i/>
      <w:iCs/>
      <w:sz w:val="20"/>
      <w:szCs w:val="20"/>
      <w:lang w:eastAsia="ru-RU"/>
    </w:rPr>
  </w:style>
  <w:style w:type="paragraph" w:styleId="Xl150" w:customStyle="1">
    <w:name w:val="xl150"/>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center"/>
    </w:pPr>
    <w:rPr>
      <w:rFonts w:ascii="Times New Roman CYR" w:hAnsi="Times New Roman CYR"/>
      <w:sz w:val="20"/>
      <w:szCs w:val="20"/>
      <w:lang w:eastAsia="ru-RU"/>
    </w:rPr>
  </w:style>
  <w:style w:type="paragraph" w:styleId="Xl151" w:customStyle="1">
    <w:name w:val="xl151"/>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center"/>
    </w:pPr>
    <w:rPr>
      <w:rFonts w:ascii="Times New Roman CYR" w:hAnsi="Times New Roman CYR"/>
      <w:b/>
      <w:bCs/>
      <w:i/>
      <w:iCs/>
      <w:sz w:val="20"/>
      <w:szCs w:val="20"/>
      <w:lang w:eastAsia="ru-RU"/>
    </w:rPr>
  </w:style>
  <w:style w:type="paragraph" w:styleId="Xl152" w:customStyle="1">
    <w:name w:val="xl152"/>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textAlignment w:val="bottom"/>
    </w:pPr>
    <w:rPr>
      <w:rFonts w:ascii="Times New Roman CYR" w:hAnsi="Times New Roman CYR"/>
      <w:b/>
      <w:bCs/>
      <w:i/>
      <w:iCs/>
      <w:sz w:val="20"/>
      <w:szCs w:val="20"/>
      <w:lang w:eastAsia="ru-RU"/>
    </w:rPr>
  </w:style>
  <w:style w:type="paragraph" w:styleId="Xl153" w:customStyle="1">
    <w:name w:val="xl153"/>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pPr>
    <w:rPr>
      <w:rFonts w:ascii="Times New Roman CYR" w:hAnsi="Times New Roman CYR"/>
      <w:sz w:val="20"/>
      <w:szCs w:val="20"/>
      <w:lang w:eastAsia="ru-RU"/>
    </w:rPr>
  </w:style>
  <w:style w:type="paragraph" w:styleId="Xl154" w:customStyle="1">
    <w:name w:val="xl154"/>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pPr>
    <w:rPr>
      <w:rFonts w:ascii="Times New Roman CYR" w:hAnsi="Times New Roman CYR"/>
      <w:b/>
      <w:bCs/>
      <w:i/>
      <w:iCs/>
      <w:sz w:val="20"/>
      <w:szCs w:val="20"/>
      <w:lang w:eastAsia="ru-RU"/>
    </w:rPr>
  </w:style>
  <w:style w:type="paragraph" w:styleId="Xl155" w:customStyle="1">
    <w:name w:val="xl155"/>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textAlignment w:val="center"/>
    </w:pPr>
    <w:rPr>
      <w:rFonts w:ascii="Times New Roman CYR" w:hAnsi="Times New Roman CYR"/>
      <w:b/>
      <w:bCs/>
      <w:i/>
      <w:iCs/>
      <w:sz w:val="20"/>
      <w:szCs w:val="20"/>
      <w:lang w:eastAsia="ru-RU"/>
    </w:rPr>
  </w:style>
  <w:style w:type="paragraph" w:styleId="Xl156" w:customStyle="1">
    <w:name w:val="xl156"/>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center"/>
    </w:pPr>
    <w:rPr>
      <w:rFonts w:ascii="Times New Roman CYR" w:hAnsi="Times New Roman CYR"/>
      <w:i/>
      <w:iCs/>
      <w:sz w:val="20"/>
      <w:szCs w:val="20"/>
      <w:lang w:eastAsia="ru-RU"/>
    </w:rPr>
  </w:style>
  <w:style w:type="paragraph" w:styleId="Xl157" w:customStyle="1">
    <w:name w:val="xl157"/>
    <w:basedOn w:val="Normal"/>
    <w:uiPriority w:val="99"/>
    <w:qFormat/>
    <w:pPr>
      <w:pBdr>
        <w:top w:val="single" w:sz="4" w:space="0" w:color="000000"/>
        <w:left w:val="single" w:sz="4" w:space="0" w:color="000000"/>
      </w:pBdr>
      <w:shd w:val="clear" w:color="000000" w:fill="FFFFFF"/>
      <w:tabs>
        <w:tab w:val="clear" w:pos="397"/>
        <w:tab w:val="left" w:pos="5103" w:leader="none"/>
      </w:tabs>
      <w:suppressAutoHyphens w:val="false"/>
      <w:spacing w:beforeAutospacing="1" w:afterAutospacing="1"/>
      <w:textAlignment w:val="center"/>
    </w:pPr>
    <w:rPr>
      <w:rFonts w:ascii="Times New Roman CYR" w:hAnsi="Times New Roman CYR"/>
      <w:sz w:val="20"/>
      <w:szCs w:val="20"/>
      <w:lang w:eastAsia="ru-RU"/>
    </w:rPr>
  </w:style>
  <w:style w:type="paragraph" w:styleId="Xl158" w:customStyle="1">
    <w:name w:val="xl158"/>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b/>
      <w:bCs/>
      <w:i/>
      <w:iCs/>
      <w:sz w:val="20"/>
      <w:szCs w:val="20"/>
      <w:lang w:eastAsia="ru-RU"/>
    </w:rPr>
  </w:style>
  <w:style w:type="paragraph" w:styleId="Xl159" w:customStyle="1">
    <w:name w:val="xl159"/>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sz w:val="20"/>
      <w:szCs w:val="20"/>
      <w:lang w:eastAsia="ru-RU"/>
    </w:rPr>
  </w:style>
  <w:style w:type="paragraph" w:styleId="Xl160" w:customStyle="1">
    <w:name w:val="xl160"/>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rFonts w:ascii="Times New Roman CYR" w:hAnsi="Times New Roman CYR"/>
      <w:sz w:val="20"/>
      <w:szCs w:val="20"/>
      <w:lang w:eastAsia="ru-RU"/>
    </w:rPr>
  </w:style>
  <w:style w:type="paragraph" w:styleId="Xl161" w:customStyle="1">
    <w:name w:val="xl161"/>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b/>
      <w:bCs/>
      <w:sz w:val="20"/>
      <w:szCs w:val="20"/>
      <w:lang w:eastAsia="ru-RU"/>
    </w:rPr>
  </w:style>
  <w:style w:type="paragraph" w:styleId="Xl162" w:customStyle="1">
    <w:name w:val="xl162"/>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b/>
      <w:bCs/>
      <w:sz w:val="20"/>
      <w:szCs w:val="20"/>
      <w:lang w:eastAsia="ru-RU"/>
    </w:rPr>
  </w:style>
  <w:style w:type="paragraph" w:styleId="Xl163" w:customStyle="1">
    <w:name w:val="xl163"/>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rFonts w:ascii="Times New Roman CYR" w:hAnsi="Times New Roman CYR"/>
      <w:b/>
      <w:bCs/>
      <w:sz w:val="20"/>
      <w:szCs w:val="20"/>
      <w:lang w:eastAsia="ru-RU"/>
    </w:rPr>
  </w:style>
  <w:style w:type="paragraph" w:styleId="Xl164" w:customStyle="1">
    <w:name w:val="xl16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i/>
      <w:iCs/>
      <w:sz w:val="20"/>
      <w:szCs w:val="20"/>
      <w:lang w:eastAsia="ru-RU"/>
    </w:rPr>
  </w:style>
  <w:style w:type="paragraph" w:styleId="Xl165" w:customStyle="1">
    <w:name w:val="xl165"/>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66" w:customStyle="1">
    <w:name w:val="xl166"/>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rFonts w:ascii="Times New Roman CYR" w:hAnsi="Times New Roman CYR"/>
      <w:b/>
      <w:bCs/>
      <w:i/>
      <w:iCs/>
      <w:sz w:val="20"/>
      <w:szCs w:val="20"/>
      <w:lang w:eastAsia="ru-RU"/>
    </w:rPr>
  </w:style>
  <w:style w:type="paragraph" w:styleId="Xl167" w:customStyle="1">
    <w:name w:val="xl167"/>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color w:val="000000"/>
      <w:sz w:val="20"/>
      <w:szCs w:val="20"/>
      <w:lang w:eastAsia="ru-RU"/>
    </w:rPr>
  </w:style>
  <w:style w:type="paragraph" w:styleId="Xl168" w:customStyle="1">
    <w:name w:val="xl168"/>
    <w:basedOn w:val="Normal"/>
    <w:uiPriority w:val="99"/>
    <w:qFormat/>
    <w:pPr>
      <w:pBdr>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69" w:customStyle="1">
    <w:name w:val="xl169"/>
    <w:basedOn w:val="Normal"/>
    <w:uiPriority w:val="99"/>
    <w:qFormat/>
    <w:pPr>
      <w:pBdr>
        <w:top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70" w:customStyle="1">
    <w:name w:val="xl170"/>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color w:val="000000"/>
      <w:sz w:val="20"/>
      <w:szCs w:val="20"/>
      <w:lang w:eastAsia="ru-RU"/>
    </w:rPr>
  </w:style>
  <w:style w:type="paragraph" w:styleId="Xl171" w:customStyle="1">
    <w:name w:val="xl171"/>
    <w:basedOn w:val="Normal"/>
    <w:uiPriority w:val="99"/>
    <w:qFormat/>
    <w:pPr>
      <w:pBdr>
        <w:top w:val="single" w:sz="4" w:space="0" w:color="000000"/>
        <w:left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b/>
      <w:bCs/>
      <w:i/>
      <w:iCs/>
      <w:sz w:val="20"/>
      <w:szCs w:val="20"/>
      <w:lang w:eastAsia="ru-RU"/>
    </w:rPr>
  </w:style>
  <w:style w:type="paragraph" w:styleId="Xl172" w:customStyle="1">
    <w:name w:val="xl172"/>
    <w:basedOn w:val="Normal"/>
    <w:uiPriority w:val="99"/>
    <w:qFormat/>
    <w:pPr>
      <w:pBdr>
        <w:top w:val="single" w:sz="4" w:space="0" w:color="000000"/>
        <w:left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rFonts w:ascii="Times New Roman CYR" w:hAnsi="Times New Roman CYR"/>
      <w:b/>
      <w:bCs/>
      <w:i/>
      <w:iCs/>
      <w:sz w:val="20"/>
      <w:szCs w:val="20"/>
      <w:lang w:eastAsia="ru-RU"/>
    </w:rPr>
  </w:style>
  <w:style w:type="paragraph" w:styleId="Xl173" w:customStyle="1">
    <w:name w:val="xl173"/>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74" w:customStyle="1">
    <w:name w:val="xl17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rFonts w:ascii="Calibri" w:hAnsi="Calibri"/>
      <w:b/>
      <w:bCs/>
      <w:i/>
      <w:iCs/>
      <w:color w:val="000000"/>
      <w:sz w:val="20"/>
      <w:szCs w:val="20"/>
      <w:lang w:eastAsia="ru-RU"/>
    </w:rPr>
  </w:style>
  <w:style w:type="paragraph" w:styleId="Xl175" w:customStyle="1">
    <w:name w:val="xl175"/>
    <w:basedOn w:val="Normal"/>
    <w:uiPriority w:val="99"/>
    <w:qFormat/>
    <w:pPr>
      <w:pBdr>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76" w:customStyle="1">
    <w:name w:val="xl176"/>
    <w:basedOn w:val="Normal"/>
    <w:uiPriority w:val="99"/>
    <w:qFormat/>
    <w:pPr>
      <w:pBdr>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rFonts w:ascii="Times New Roman CYR" w:hAnsi="Times New Roman CYR"/>
      <w:b/>
      <w:bCs/>
      <w:i/>
      <w:iCs/>
      <w:sz w:val="20"/>
      <w:szCs w:val="20"/>
      <w:lang w:eastAsia="ru-RU"/>
    </w:rPr>
  </w:style>
  <w:style w:type="paragraph" w:styleId="Xl177" w:customStyle="1">
    <w:name w:val="xl177"/>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bottom"/>
    </w:pPr>
    <w:rPr>
      <w:sz w:val="20"/>
      <w:szCs w:val="20"/>
      <w:lang w:eastAsia="ru-RU"/>
    </w:rPr>
  </w:style>
  <w:style w:type="paragraph" w:styleId="Xl178" w:customStyle="1">
    <w:name w:val="xl178"/>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pPr>
    <w:rPr>
      <w:rFonts w:ascii="Times New Roman CYR" w:hAnsi="Times New Roman CYR"/>
      <w:b/>
      <w:bCs/>
      <w:sz w:val="20"/>
      <w:szCs w:val="20"/>
      <w:lang w:eastAsia="ru-RU"/>
    </w:rPr>
  </w:style>
  <w:style w:type="paragraph" w:styleId="Xl179" w:customStyle="1">
    <w:name w:val="xl179"/>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pPr>
    <w:rPr>
      <w:rFonts w:ascii="Times New Roman CYR" w:hAnsi="Times New Roman CYR"/>
      <w:sz w:val="20"/>
      <w:szCs w:val="20"/>
      <w:lang w:eastAsia="ru-RU"/>
    </w:rPr>
  </w:style>
  <w:style w:type="paragraph" w:styleId="Xl180" w:customStyle="1">
    <w:name w:val="xl180"/>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bottom"/>
    </w:pPr>
    <w:rPr>
      <w:sz w:val="20"/>
      <w:szCs w:val="20"/>
      <w:lang w:eastAsia="ru-RU"/>
    </w:rPr>
  </w:style>
  <w:style w:type="paragraph" w:styleId="Xl181" w:customStyle="1">
    <w:name w:val="xl181"/>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textAlignment w:val="center"/>
    </w:pPr>
    <w:rPr>
      <w:rFonts w:ascii="Times New Roman CYR" w:hAnsi="Times New Roman CYR"/>
      <w:b/>
      <w:bCs/>
      <w:sz w:val="20"/>
      <w:szCs w:val="20"/>
      <w:lang w:eastAsia="ru-RU"/>
    </w:rPr>
  </w:style>
  <w:style w:type="paragraph" w:styleId="Xl182" w:customStyle="1">
    <w:name w:val="xl182"/>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83" w:customStyle="1">
    <w:name w:val="xl183"/>
    <w:basedOn w:val="Normal"/>
    <w:uiPriority w:val="99"/>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pPr>
    <w:rPr>
      <w:i/>
      <w:iCs/>
      <w:sz w:val="20"/>
      <w:szCs w:val="20"/>
      <w:lang w:eastAsia="ru-RU"/>
    </w:rPr>
  </w:style>
  <w:style w:type="paragraph" w:styleId="Xl184" w:customStyle="1">
    <w:name w:val="xl184"/>
    <w:basedOn w:val="Normal"/>
    <w:uiPriority w:val="99"/>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b/>
      <w:bCs/>
      <w:sz w:val="20"/>
      <w:szCs w:val="20"/>
      <w:lang w:eastAsia="ru-RU"/>
    </w:rPr>
  </w:style>
  <w:style w:type="paragraph" w:styleId="Xl185" w:customStyle="1">
    <w:name w:val="xl185"/>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bottom"/>
    </w:pPr>
    <w:rPr>
      <w:rFonts w:ascii="Arial CYR" w:hAnsi="Arial CYR" w:cs="Arial CYR"/>
      <w:sz w:val="20"/>
      <w:szCs w:val="20"/>
      <w:lang w:eastAsia="ru-RU"/>
    </w:rPr>
  </w:style>
  <w:style w:type="paragraph" w:styleId="Xl186" w:customStyle="1">
    <w:name w:val="xl186"/>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187" w:customStyle="1">
    <w:name w:val="xl187"/>
    <w:basedOn w:val="Normal"/>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pPr>
    <w:rPr>
      <w:color w:val="FF0000"/>
      <w:sz w:val="20"/>
      <w:szCs w:val="20"/>
      <w:lang w:eastAsia="ru-RU"/>
    </w:rPr>
  </w:style>
  <w:style w:type="paragraph" w:styleId="Xl188" w:customStyle="1">
    <w:name w:val="xl188"/>
    <w:basedOn w:val="Normal"/>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right"/>
    </w:pPr>
    <w:rPr>
      <w:rFonts w:ascii="Times New Roman CYR" w:hAnsi="Times New Roman CYR"/>
      <w:sz w:val="20"/>
      <w:szCs w:val="20"/>
      <w:lang w:eastAsia="ru-RU"/>
    </w:rPr>
  </w:style>
  <w:style w:type="paragraph" w:styleId="Xl189" w:customStyle="1">
    <w:name w:val="xl189"/>
    <w:basedOn w:val="Normal"/>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right"/>
    </w:pPr>
    <w:rPr>
      <w:rFonts w:ascii="Times New Roman CYR" w:hAnsi="Times New Roman CYR"/>
      <w:color w:val="FF0000"/>
      <w:sz w:val="20"/>
      <w:szCs w:val="20"/>
      <w:lang w:eastAsia="ru-RU"/>
    </w:rPr>
  </w:style>
  <w:style w:type="paragraph" w:styleId="Xl190" w:customStyle="1">
    <w:name w:val="xl190"/>
    <w:basedOn w:val="Normal"/>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right"/>
    </w:pPr>
    <w:rPr>
      <w:rFonts w:ascii="Times New Roman CYR" w:hAnsi="Times New Roman CYR"/>
      <w:sz w:val="20"/>
      <w:szCs w:val="20"/>
      <w:lang w:eastAsia="ru-RU"/>
    </w:rPr>
  </w:style>
  <w:style w:type="paragraph" w:styleId="Xl191" w:customStyle="1">
    <w:name w:val="xl191"/>
    <w:basedOn w:val="Normal"/>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right"/>
    </w:pPr>
    <w:rPr>
      <w:rFonts w:ascii="Times New Roman CYR" w:hAnsi="Times New Roman CYR"/>
      <w:color w:val="FF0000"/>
      <w:sz w:val="20"/>
      <w:szCs w:val="20"/>
      <w:lang w:eastAsia="ru-RU"/>
    </w:rPr>
  </w:style>
  <w:style w:type="paragraph" w:styleId="Xl192" w:customStyle="1">
    <w:name w:val="xl192"/>
    <w:basedOn w:val="Normal"/>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right"/>
    </w:pPr>
    <w:rPr>
      <w:rFonts w:ascii="Times New Roman CYR" w:hAnsi="Times New Roman CYR"/>
      <w:sz w:val="20"/>
      <w:szCs w:val="20"/>
      <w:lang w:eastAsia="ru-RU"/>
    </w:rPr>
  </w:style>
  <w:style w:type="paragraph" w:styleId="Xl193" w:customStyle="1">
    <w:name w:val="xl193"/>
    <w:basedOn w:val="Normal"/>
    <w:qFormat/>
    <w:pPr>
      <w:pBdr>
        <w:top w:val="single" w:sz="4" w:space="0" w:color="000000"/>
        <w:left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right"/>
      <w:textAlignment w:val="center"/>
    </w:pPr>
    <w:rPr>
      <w:rFonts w:ascii="Times New Roman CYR" w:hAnsi="Times New Roman CYR"/>
      <w:sz w:val="20"/>
      <w:szCs w:val="20"/>
      <w:lang w:eastAsia="ru-RU"/>
    </w:rPr>
  </w:style>
  <w:style w:type="paragraph" w:styleId="Xl194" w:customStyle="1">
    <w:name w:val="xl194"/>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b/>
      <w:bCs/>
      <w:sz w:val="20"/>
      <w:szCs w:val="20"/>
      <w:lang w:eastAsia="ru-RU"/>
    </w:rPr>
  </w:style>
  <w:style w:type="paragraph" w:styleId="Xl195" w:customStyle="1">
    <w:name w:val="xl195"/>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b/>
      <w:bCs/>
      <w:sz w:val="20"/>
      <w:szCs w:val="20"/>
      <w:lang w:eastAsia="ru-RU"/>
    </w:rPr>
  </w:style>
  <w:style w:type="paragraph" w:styleId="Xl196" w:customStyle="1">
    <w:name w:val="xl196"/>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bottom"/>
    </w:pPr>
    <w:rPr>
      <w:sz w:val="20"/>
      <w:szCs w:val="20"/>
      <w:lang w:eastAsia="ru-RU"/>
    </w:rPr>
  </w:style>
  <w:style w:type="paragraph" w:styleId="Xl197" w:customStyle="1">
    <w:name w:val="xl197"/>
    <w:basedOn w:val="Normal"/>
    <w:qFormat/>
    <w:pPr>
      <w:pBdr>
        <w:top w:val="single" w:sz="4" w:space="0" w:color="000000"/>
        <w:left w:val="single" w:sz="4" w:space="0" w:color="000000"/>
        <w:bottom w:val="single" w:sz="4" w:space="0" w:color="000000"/>
        <w:right w:val="single" w:sz="4" w:space="0" w:color="000000"/>
      </w:pBdr>
      <w:shd w:val="clear" w:color="FFFF00" w:fill="FFFFFF"/>
      <w:tabs>
        <w:tab w:val="clear" w:pos="397"/>
        <w:tab w:val="left" w:pos="5103" w:leader="none"/>
      </w:tabs>
      <w:suppressAutoHyphens w:val="false"/>
      <w:spacing w:beforeAutospacing="1" w:afterAutospacing="1"/>
      <w:textAlignment w:val="bottom"/>
    </w:pPr>
    <w:rPr>
      <w:sz w:val="20"/>
      <w:szCs w:val="20"/>
      <w:lang w:eastAsia="ru-RU"/>
    </w:rPr>
  </w:style>
  <w:style w:type="paragraph" w:styleId="Xl198" w:customStyle="1">
    <w:name w:val="xl198"/>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bottom"/>
    </w:pPr>
    <w:rPr>
      <w:sz w:val="20"/>
      <w:szCs w:val="20"/>
      <w:lang w:eastAsia="ru-RU"/>
    </w:rPr>
  </w:style>
  <w:style w:type="paragraph" w:styleId="Xl199" w:customStyle="1">
    <w:name w:val="xl199"/>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200" w:customStyle="1">
    <w:name w:val="xl200"/>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bottom"/>
    </w:pPr>
    <w:rPr>
      <w:rFonts w:ascii="Arial CYR" w:hAnsi="Arial CYR" w:cs="Arial CYR"/>
      <w:sz w:val="20"/>
      <w:szCs w:val="20"/>
      <w:lang w:eastAsia="ru-RU"/>
    </w:rPr>
  </w:style>
  <w:style w:type="paragraph" w:styleId="Xl201" w:customStyle="1">
    <w:name w:val="xl201"/>
    <w:basedOn w:val="Normal"/>
    <w:qFormat/>
    <w:pPr>
      <w:pBdr>
        <w:top w:val="single" w:sz="4" w:space="0" w:color="000000"/>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02" w:customStyle="1">
    <w:name w:val="xl202"/>
    <w:basedOn w:val="Normal"/>
    <w:qFormat/>
    <w:pPr>
      <w:tabs>
        <w:tab w:val="clear" w:pos="397"/>
        <w:tab w:val="left" w:pos="5103" w:leader="none"/>
      </w:tabs>
      <w:suppressAutoHyphens w:val="false"/>
      <w:spacing w:beforeAutospacing="1" w:afterAutospacing="1"/>
      <w:jc w:val="center"/>
      <w:textAlignment w:val="top"/>
    </w:pPr>
    <w:rPr>
      <w:b/>
      <w:bCs/>
      <w:sz w:val="20"/>
      <w:szCs w:val="20"/>
      <w:lang w:eastAsia="ru-RU"/>
    </w:rPr>
  </w:style>
  <w:style w:type="paragraph" w:styleId="Xl203" w:customStyle="1">
    <w:name w:val="xl203"/>
    <w:basedOn w:val="Normal"/>
    <w:qFormat/>
    <w:pPr>
      <w:pBdr>
        <w:top w:val="single" w:sz="4" w:space="0" w:color="000000"/>
        <w:left w:val="single" w:sz="4" w:space="0" w:color="000000"/>
        <w:right w:val="single" w:sz="4" w:space="0" w:color="000000"/>
      </w:pBdr>
      <w:tabs>
        <w:tab w:val="clear" w:pos="397"/>
        <w:tab w:val="left" w:pos="5103" w:leader="none"/>
      </w:tabs>
      <w:suppressAutoHyphens w:val="false"/>
      <w:spacing w:beforeAutospacing="1" w:afterAutospacing="1"/>
      <w:textAlignment w:val="center"/>
    </w:pPr>
    <w:rPr>
      <w:sz w:val="20"/>
      <w:szCs w:val="20"/>
      <w:lang w:eastAsia="ru-RU"/>
    </w:rPr>
  </w:style>
  <w:style w:type="paragraph" w:styleId="Xl204" w:customStyle="1">
    <w:name w:val="xl204"/>
    <w:basedOn w:val="Normal"/>
    <w:qFormat/>
    <w:pPr>
      <w:pBdr>
        <w:left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textAlignment w:val="center"/>
    </w:pPr>
    <w:rPr>
      <w:sz w:val="20"/>
      <w:szCs w:val="20"/>
      <w:lang w:eastAsia="ru-RU"/>
    </w:rPr>
  </w:style>
  <w:style w:type="paragraph" w:styleId="Xl205" w:customStyle="1">
    <w:name w:val="xl205"/>
    <w:basedOn w:val="Normal"/>
    <w:qFormat/>
    <w:pPr>
      <w:pBdr>
        <w:top w:val="single" w:sz="4" w:space="0" w:color="000000"/>
        <w:left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06" w:customStyle="1">
    <w:name w:val="xl206"/>
    <w:basedOn w:val="Normal"/>
    <w:qFormat/>
    <w:pPr>
      <w:pBdr>
        <w:top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07" w:customStyle="1">
    <w:name w:val="xl207"/>
    <w:basedOn w:val="Normal"/>
    <w:qFormat/>
    <w:pPr>
      <w:pBdr>
        <w:top w:val="single" w:sz="4" w:space="0" w:color="000000"/>
        <w:right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08" w:customStyle="1">
    <w:name w:val="xl208"/>
    <w:basedOn w:val="Normal"/>
    <w:qFormat/>
    <w:pPr>
      <w:pBdr>
        <w:left w:val="single" w:sz="4" w:space="0" w:color="000000"/>
        <w:bottom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09" w:customStyle="1">
    <w:name w:val="xl209"/>
    <w:basedOn w:val="Normal"/>
    <w:qFormat/>
    <w:pPr>
      <w:pBdr>
        <w:bottom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10" w:customStyle="1">
    <w:name w:val="xl210"/>
    <w:basedOn w:val="Normal"/>
    <w:qFormat/>
    <w:pPr>
      <w:pBdr>
        <w:bottom w:val="single" w:sz="4" w:space="0" w:color="000000"/>
        <w:right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11" w:customStyle="1">
    <w:name w:val="xl211"/>
    <w:basedOn w:val="Normal"/>
    <w:qFormat/>
    <w:pPr>
      <w:pBdr>
        <w:top w:val="single" w:sz="4" w:space="0" w:color="000000"/>
        <w:left w:val="single" w:sz="4" w:space="0" w:color="000000"/>
        <w:bottom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212" w:customStyle="1">
    <w:name w:val="xl212"/>
    <w:basedOn w:val="Normal"/>
    <w:qFormat/>
    <w:pPr>
      <w:pBdr>
        <w:top w:val="single" w:sz="4" w:space="0" w:color="000000"/>
        <w:bottom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213" w:customStyle="1">
    <w:name w:val="xl213"/>
    <w:basedOn w:val="Normal"/>
    <w:qFormat/>
    <w:pPr>
      <w:pBdr>
        <w:top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pPr>
    <w:rPr>
      <w:sz w:val="20"/>
      <w:szCs w:val="20"/>
      <w:lang w:eastAsia="ru-RU"/>
    </w:rPr>
  </w:style>
  <w:style w:type="paragraph" w:styleId="Xl214" w:customStyle="1">
    <w:name w:val="xl214"/>
    <w:basedOn w:val="Normal"/>
    <w:qFormat/>
    <w:pPr>
      <w:pBdr>
        <w:top w:val="single" w:sz="4" w:space="0" w:color="000000"/>
        <w:left w:val="single" w:sz="4" w:space="0" w:color="000000"/>
        <w:bottom w:val="single" w:sz="4" w:space="0" w:color="000000"/>
      </w:pBdr>
      <w:tabs>
        <w:tab w:val="clear" w:pos="397"/>
        <w:tab w:val="left" w:pos="5103" w:leader="none"/>
      </w:tabs>
      <w:suppressAutoHyphens w:val="false"/>
      <w:spacing w:beforeAutospacing="1" w:afterAutospacing="1"/>
      <w:jc w:val="center"/>
    </w:pPr>
    <w:rPr>
      <w:rFonts w:ascii="Times New Roman CYR" w:hAnsi="Times New Roman CYR"/>
      <w:b/>
      <w:bCs/>
      <w:sz w:val="20"/>
      <w:szCs w:val="20"/>
      <w:lang w:eastAsia="ru-RU"/>
    </w:rPr>
  </w:style>
  <w:style w:type="paragraph" w:styleId="Xl215" w:customStyle="1">
    <w:name w:val="xl215"/>
    <w:basedOn w:val="Normal"/>
    <w:qFormat/>
    <w:pPr>
      <w:pBdr>
        <w:top w:val="single" w:sz="4" w:space="0" w:color="000000"/>
        <w:bottom w:val="single" w:sz="4" w:space="0" w:color="000000"/>
      </w:pBdr>
      <w:tabs>
        <w:tab w:val="clear" w:pos="397"/>
        <w:tab w:val="left" w:pos="5103" w:leader="none"/>
      </w:tabs>
      <w:suppressAutoHyphens w:val="false"/>
      <w:spacing w:beforeAutospacing="1" w:afterAutospacing="1"/>
      <w:jc w:val="center"/>
    </w:pPr>
    <w:rPr>
      <w:rFonts w:ascii="Times New Roman CYR" w:hAnsi="Times New Roman CYR"/>
      <w:b/>
      <w:bCs/>
      <w:sz w:val="20"/>
      <w:szCs w:val="20"/>
      <w:lang w:eastAsia="ru-RU"/>
    </w:rPr>
  </w:style>
  <w:style w:type="paragraph" w:styleId="Xl216" w:customStyle="1">
    <w:name w:val="xl216"/>
    <w:basedOn w:val="Normal"/>
    <w:qFormat/>
    <w:pPr>
      <w:pBdr>
        <w:top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pPr>
    <w:rPr>
      <w:rFonts w:ascii="Times New Roman CYR" w:hAnsi="Times New Roman CYR"/>
      <w:b/>
      <w:bCs/>
      <w:sz w:val="20"/>
      <w:szCs w:val="20"/>
      <w:lang w:eastAsia="ru-RU"/>
    </w:rPr>
  </w:style>
  <w:style w:type="paragraph" w:styleId="Xl217" w:customStyle="1">
    <w:name w:val="xl217"/>
    <w:basedOn w:val="Normal"/>
    <w:qFormat/>
    <w:pPr>
      <w:pBdr>
        <w:top w:val="single" w:sz="4" w:space="0" w:color="000000"/>
        <w:left w:val="single" w:sz="4" w:space="0" w:color="000000"/>
        <w:bottom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18" w:customStyle="1">
    <w:name w:val="xl218"/>
    <w:basedOn w:val="Normal"/>
    <w:qFormat/>
    <w:pPr>
      <w:pBdr>
        <w:top w:val="single" w:sz="4" w:space="0" w:color="000000"/>
        <w:bottom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19" w:customStyle="1">
    <w:name w:val="xl219"/>
    <w:basedOn w:val="Normal"/>
    <w:qFormat/>
    <w:pPr>
      <w:pBdr>
        <w:top w:val="single" w:sz="4" w:space="0" w:color="000000"/>
        <w:bottom w:val="single" w:sz="4" w:space="0" w:color="000000"/>
        <w:right w:val="single" w:sz="4" w:space="0" w:color="000000"/>
      </w:pBdr>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20" w:customStyle="1">
    <w:name w:val="xl220"/>
    <w:basedOn w:val="Normal"/>
    <w:qFormat/>
    <w:pPr>
      <w:pBdr>
        <w:top w:val="single" w:sz="4" w:space="0" w:color="000000"/>
        <w:left w:val="single" w:sz="4" w:space="0" w:color="000000"/>
        <w:bottom w:val="single" w:sz="4" w:space="0" w:color="000000"/>
      </w:pBdr>
      <w:shd w:val="clear" w:color="000000" w:fill="FFFFFF"/>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21" w:customStyle="1">
    <w:name w:val="xl221"/>
    <w:basedOn w:val="Normal"/>
    <w:qFormat/>
    <w:pPr>
      <w:pBdr>
        <w:top w:val="single" w:sz="4" w:space="0" w:color="000000"/>
        <w:bottom w:val="single" w:sz="4" w:space="0" w:color="000000"/>
      </w:pBdr>
      <w:shd w:val="clear" w:color="000000" w:fill="FFFFFF"/>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Xl222" w:customStyle="1">
    <w:name w:val="xl222"/>
    <w:basedOn w:val="Normal"/>
    <w:qFormat/>
    <w:pPr>
      <w:pBdr>
        <w:top w:val="single" w:sz="4" w:space="0" w:color="000000"/>
        <w:bottom w:val="single" w:sz="4" w:space="0" w:color="000000"/>
        <w:right w:val="single" w:sz="4" w:space="0" w:color="000000"/>
      </w:pBdr>
      <w:shd w:val="clear" w:color="000000" w:fill="FFFFFF"/>
      <w:tabs>
        <w:tab w:val="clear" w:pos="397"/>
        <w:tab w:val="left" w:pos="5103" w:leader="none"/>
      </w:tabs>
      <w:suppressAutoHyphens w:val="false"/>
      <w:spacing w:beforeAutospacing="1" w:afterAutospacing="1"/>
      <w:jc w:val="center"/>
      <w:textAlignment w:val="center"/>
    </w:pPr>
    <w:rPr>
      <w:b/>
      <w:bCs/>
      <w:sz w:val="20"/>
      <w:szCs w:val="20"/>
      <w:lang w:eastAsia="ru-RU"/>
    </w:rPr>
  </w:style>
  <w:style w:type="paragraph" w:styleId="235" w:customStyle="1">
    <w:name w:val="Обычный2"/>
    <w:uiPriority w:val="99"/>
    <w:qFormat/>
    <w:pPr>
      <w:widowControl/>
      <w:suppressAutoHyphens w:val="true"/>
      <w:bidi w:val="0"/>
      <w:spacing w:before="100" w:after="100"/>
      <w:jc w:val="left"/>
    </w:pPr>
    <w:rPr>
      <w:rFonts w:ascii="Times New Roman" w:hAnsi="Times New Roman" w:eastAsia="Arial" w:cs="Times New Roman"/>
      <w:color w:val="auto"/>
      <w:kern w:val="0"/>
      <w:sz w:val="24"/>
      <w:szCs w:val="20"/>
      <w:lang w:val="ru-RU" w:eastAsia="ar-SA" w:bidi="ar-SA"/>
    </w:rPr>
  </w:style>
  <w:style w:type="paragraph" w:styleId="Style125" w:customStyle="1">
    <w:name w:val="Стандарт"/>
    <w:basedOn w:val="ListParagraph"/>
    <w:qFormat/>
    <w:pPr>
      <w:tabs>
        <w:tab w:val="clear" w:pos="397"/>
        <w:tab w:val="left" w:pos="992" w:leader="none"/>
        <w:tab w:val="left" w:pos="5103" w:leader="none"/>
      </w:tabs>
      <w:spacing w:lineRule="auto" w:line="360" w:before="0" w:after="160"/>
      <w:ind w:firstLine="709" w:left="0"/>
      <w:contextualSpacing/>
      <w:jc w:val="both"/>
    </w:pPr>
    <w:rPr>
      <w:color w:val="000000"/>
      <w:sz w:val="28"/>
      <w:szCs w:val="24"/>
      <w:lang w:val="ru-RU" w:eastAsia="ru-RU"/>
    </w:rPr>
  </w:style>
  <w:style w:type="paragraph" w:styleId="Style126" w:customStyle="1">
    <w:name w:val="для рисунков"/>
    <w:basedOn w:val="Normal"/>
    <w:next w:val="Normal"/>
    <w:qFormat/>
    <w:locked/>
    <w:pPr>
      <w:widowControl w:val="false"/>
      <w:tabs>
        <w:tab w:val="clear" w:pos="397"/>
        <w:tab w:val="left" w:pos="5103" w:leader="none"/>
      </w:tabs>
      <w:spacing w:lineRule="auto" w:line="360"/>
      <w:jc w:val="center"/>
    </w:pPr>
    <w:rPr>
      <w:rFonts w:cs="Calibri"/>
      <w:color w:val="000000"/>
      <w:sz w:val="28"/>
      <w:szCs w:val="28"/>
      <w:lang w:eastAsia="en-US"/>
    </w:rPr>
  </w:style>
  <w:style w:type="paragraph" w:styleId="Style127" w:customStyle="1">
    <w:name w:val="для таблиц"/>
    <w:basedOn w:val="Normal"/>
    <w:qFormat/>
    <w:locked/>
    <w:pPr>
      <w:widowControl w:val="false"/>
      <w:tabs>
        <w:tab w:val="clear" w:pos="397"/>
        <w:tab w:val="left" w:pos="5103" w:leader="none"/>
      </w:tabs>
      <w:spacing w:lineRule="auto" w:line="360"/>
      <w:jc w:val="both"/>
    </w:pPr>
    <w:rPr>
      <w:color w:val="000000"/>
      <w:sz w:val="28"/>
      <w:szCs w:val="28"/>
      <w:lang w:eastAsia="ru-RU"/>
    </w:rPr>
  </w:style>
  <w:style w:type="paragraph" w:styleId="Style128" w:customStyle="1">
    <w:name w:val="Перечисление"/>
    <w:basedOn w:val="Normal"/>
    <w:qFormat/>
    <w:pPr>
      <w:tabs>
        <w:tab w:val="clear" w:pos="397"/>
        <w:tab w:val="left" w:pos="992" w:leader="none"/>
        <w:tab w:val="left" w:pos="5103" w:leader="none"/>
      </w:tabs>
      <w:spacing w:lineRule="auto" w:line="360"/>
      <w:ind w:firstLine="709"/>
      <w:jc w:val="both"/>
    </w:pPr>
    <w:rPr>
      <w:sz w:val="28"/>
      <w:szCs w:val="28"/>
      <w:lang w:eastAsia="ru-RU"/>
    </w:rPr>
  </w:style>
  <w:style w:type="paragraph" w:styleId="236" w:customStyle="1">
    <w:name w:val="Основной текст2"/>
    <w:basedOn w:val="Normal"/>
    <w:qFormat/>
    <w:pPr>
      <w:widowControl w:val="false"/>
      <w:shd w:val="clear" w:color="auto" w:fill="FFFFFF"/>
      <w:tabs>
        <w:tab w:val="clear" w:pos="397"/>
        <w:tab w:val="left" w:pos="5103" w:leader="none"/>
      </w:tabs>
      <w:spacing w:before="840" w:after="300"/>
      <w:ind w:hanging="200"/>
      <w:jc w:val="center"/>
    </w:pPr>
    <w:rPr>
      <w:sz w:val="26"/>
      <w:szCs w:val="26"/>
      <w:lang w:eastAsia="ru-RU"/>
    </w:rPr>
  </w:style>
  <w:style w:type="paragraph" w:styleId="BodyText2">
    <w:name w:val="Body Text 2"/>
    <w:basedOn w:val="Normal"/>
    <w:link w:val="211"/>
    <w:qFormat/>
    <w:pPr>
      <w:widowControl w:val="false"/>
      <w:tabs>
        <w:tab w:val="clear" w:pos="397"/>
        <w:tab w:val="left" w:pos="5103" w:leader="none"/>
      </w:tabs>
      <w:spacing w:lineRule="auto" w:line="480" w:before="0" w:after="120"/>
    </w:pPr>
    <w:rPr>
      <w:color w:val="000000"/>
      <w:lang w:eastAsia="ru-RU"/>
    </w:rPr>
  </w:style>
  <w:style w:type="paragraph" w:styleId="3141" w:customStyle="1">
    <w:name w:val="Стиль Заголовок 3 + 14 пт"/>
    <w:basedOn w:val="Heading3"/>
    <w:qFormat/>
    <w:pPr>
      <w:keepLines/>
      <w:widowControl w:val="false"/>
      <w:numPr>
        <w:ilvl w:val="0"/>
        <w:numId w:val="0"/>
      </w:numPr>
      <w:tabs>
        <w:tab w:val="clear" w:pos="1276"/>
        <w:tab w:val="left" w:pos="992" w:leader="none"/>
        <w:tab w:val="left" w:pos="1418" w:leader="none"/>
        <w:tab w:val="left" w:pos="1559" w:leader="none"/>
        <w:tab w:val="left" w:pos="1971" w:leader="none"/>
        <w:tab w:val="left" w:pos="5103" w:leader="none"/>
      </w:tabs>
      <w:spacing w:lineRule="auto" w:line="360" w:before="280" w:after="280"/>
      <w:ind w:firstLine="709"/>
      <w:jc w:val="both"/>
    </w:pPr>
    <w:rPr>
      <w:rFonts w:cs="Arial"/>
      <w:b w:val="false"/>
      <w:bCs w:val="false"/>
      <w:color w:val="000000"/>
      <w:sz w:val="28"/>
      <w:lang w:eastAsia="ru-RU"/>
    </w:rPr>
  </w:style>
  <w:style w:type="paragraph" w:styleId="Style129" w:customStyle="1">
    <w:name w:val="Прижатый влево"/>
    <w:basedOn w:val="Normal"/>
    <w:next w:val="Normal"/>
    <w:qFormat/>
    <w:pPr>
      <w:widowControl w:val="false"/>
      <w:tabs>
        <w:tab w:val="clear" w:pos="397"/>
        <w:tab w:val="left" w:pos="5103" w:leader="none"/>
      </w:tabs>
    </w:pPr>
    <w:rPr>
      <w:rFonts w:ascii="Arial" w:hAnsi="Arial"/>
      <w:color w:val="000000"/>
      <w:lang w:eastAsia="ru-RU"/>
    </w:rPr>
  </w:style>
  <w:style w:type="paragraph" w:styleId="159" w:customStyle="1">
    <w:name w:val="Перечень рисунков1"/>
    <w:basedOn w:val="Normal"/>
    <w:next w:val="Normal"/>
    <w:qFormat/>
    <w:pPr>
      <w:widowControl w:val="false"/>
      <w:tabs>
        <w:tab w:val="clear" w:pos="397"/>
        <w:tab w:val="left" w:pos="5103" w:leader="none"/>
      </w:tabs>
      <w:spacing w:lineRule="auto" w:line="360" w:before="120" w:after="0"/>
      <w:jc w:val="center"/>
    </w:pPr>
    <w:rPr>
      <w:b/>
      <w:color w:val="000000"/>
      <w:sz w:val="20"/>
      <w:szCs w:val="20"/>
      <w:lang w:eastAsia="ru-RU"/>
    </w:rPr>
  </w:style>
  <w:style w:type="paragraph" w:styleId="Style130" w:customStyle="1">
    <w:name w:val="Нумерованный"/>
    <w:basedOn w:val="Normal"/>
    <w:qFormat/>
    <w:pPr>
      <w:widowControl w:val="false"/>
      <w:tabs>
        <w:tab w:val="clear" w:pos="397"/>
        <w:tab w:val="left" w:pos="5103" w:leader="none"/>
      </w:tabs>
      <w:spacing w:lineRule="auto" w:line="360" w:before="120" w:after="0"/>
      <w:ind w:firstLine="709"/>
      <w:jc w:val="both"/>
    </w:pPr>
    <w:rPr>
      <w:color w:val="000000"/>
      <w:sz w:val="20"/>
      <w:szCs w:val="20"/>
      <w:lang w:eastAsia="ru-RU"/>
    </w:rPr>
  </w:style>
  <w:style w:type="paragraph" w:styleId="160" w:customStyle="1">
    <w:name w:val="Знак1"/>
    <w:basedOn w:val="Normal"/>
    <w:qFormat/>
    <w:pPr>
      <w:widowControl w:val="false"/>
      <w:tabs>
        <w:tab w:val="clear" w:pos="397"/>
        <w:tab w:val="left" w:pos="5103" w:leader="none"/>
      </w:tabs>
      <w:spacing w:lineRule="exact" w:line="240" w:before="0" w:after="160"/>
    </w:pPr>
    <w:rPr>
      <w:rFonts w:ascii="Verdana" w:hAnsi="Verdana" w:eastAsia="Calibri" w:cs="Verdana"/>
      <w:color w:val="000000"/>
      <w:sz w:val="20"/>
      <w:szCs w:val="20"/>
      <w:lang w:val="en-US" w:eastAsia="en-US"/>
    </w:rPr>
  </w:style>
  <w:style w:type="paragraph" w:styleId="161" w:customStyle="1">
    <w:name w:val="Основной текст 1"/>
    <w:basedOn w:val="Normal"/>
    <w:qFormat/>
    <w:pPr>
      <w:widowControl w:val="false"/>
      <w:tabs>
        <w:tab w:val="clear" w:pos="397"/>
        <w:tab w:val="left" w:pos="5103" w:leader="none"/>
      </w:tabs>
      <w:spacing w:lineRule="auto" w:line="360"/>
      <w:ind w:firstLine="709"/>
      <w:jc w:val="both"/>
    </w:pPr>
    <w:rPr>
      <w:color w:val="000000"/>
      <w:lang w:eastAsia="ru-RU"/>
    </w:rPr>
  </w:style>
  <w:style w:type="paragraph" w:styleId="237" w:customStyle="1">
    <w:name w:val="Знак2"/>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BodyTextIndent2">
    <w:name w:val="Body Text Indent 2"/>
    <w:basedOn w:val="Normal"/>
    <w:uiPriority w:val="99"/>
    <w:qFormat/>
    <w:pPr>
      <w:widowControl w:val="false"/>
      <w:tabs>
        <w:tab w:val="clear" w:pos="397"/>
        <w:tab w:val="left" w:pos="5103" w:leader="none"/>
      </w:tabs>
      <w:ind w:firstLine="284"/>
      <w:jc w:val="both"/>
    </w:pPr>
    <w:rPr>
      <w:color w:val="000000"/>
      <w:lang w:eastAsia="ru-RU"/>
    </w:rPr>
  </w:style>
  <w:style w:type="paragraph" w:styleId="BodyText21" w:customStyle="1">
    <w:name w:val="Body Text 21"/>
    <w:basedOn w:val="Normal"/>
    <w:uiPriority w:val="99"/>
    <w:qFormat/>
    <w:pPr>
      <w:widowControl w:val="false"/>
      <w:tabs>
        <w:tab w:val="clear" w:pos="397"/>
        <w:tab w:val="left" w:pos="5103" w:leader="none"/>
      </w:tabs>
      <w:spacing w:before="120" w:after="0"/>
      <w:ind w:firstLine="709"/>
      <w:jc w:val="both"/>
    </w:pPr>
    <w:rPr>
      <w:color w:val="000000"/>
      <w:sz w:val="28"/>
      <w:szCs w:val="28"/>
      <w:lang w:eastAsia="ru-RU"/>
    </w:rPr>
  </w:style>
  <w:style w:type="paragraph" w:styleId="Style131" w:customStyle="1">
    <w:name w:val="Название закона"/>
    <w:basedOn w:val="Normal"/>
    <w:next w:val="BodyText2"/>
    <w:uiPriority w:val="99"/>
    <w:qFormat/>
    <w:pPr>
      <w:widowControl w:val="false"/>
      <w:tabs>
        <w:tab w:val="clear" w:pos="397"/>
        <w:tab w:val="left" w:pos="5103" w:leader="none"/>
      </w:tabs>
      <w:jc w:val="center"/>
    </w:pPr>
    <w:rPr>
      <w:b/>
      <w:color w:val="000000"/>
      <w:lang w:eastAsia="ru-RU"/>
    </w:rPr>
  </w:style>
  <w:style w:type="paragraph" w:styleId="BodyTextIndent3">
    <w:name w:val="Body Text Indent 3"/>
    <w:basedOn w:val="Normal"/>
    <w:link w:val="311"/>
    <w:uiPriority w:val="99"/>
    <w:qFormat/>
    <w:pPr>
      <w:widowControl w:val="false"/>
      <w:tabs>
        <w:tab w:val="clear" w:pos="397"/>
        <w:tab w:val="left" w:pos="5103" w:leader="none"/>
      </w:tabs>
      <w:spacing w:before="0" w:after="120"/>
      <w:ind w:hanging="0" w:left="283"/>
    </w:pPr>
    <w:rPr>
      <w:color w:val="000000"/>
      <w:sz w:val="16"/>
      <w:szCs w:val="16"/>
      <w:lang w:eastAsia="ru-RU"/>
    </w:rPr>
  </w:style>
  <w:style w:type="paragraph" w:styleId="BodyText3">
    <w:name w:val="Body Text 3"/>
    <w:basedOn w:val="Normal"/>
    <w:link w:val="312"/>
    <w:uiPriority w:val="99"/>
    <w:qFormat/>
    <w:pPr>
      <w:widowControl w:val="false"/>
      <w:tabs>
        <w:tab w:val="clear" w:pos="397"/>
        <w:tab w:val="left" w:pos="5103" w:leader="none"/>
      </w:tabs>
      <w:jc w:val="both"/>
    </w:pPr>
    <w:rPr>
      <w:color w:val="000000"/>
      <w:lang w:eastAsia="ru-RU"/>
    </w:rPr>
  </w:style>
  <w:style w:type="paragraph" w:styleId="162" w:customStyle="1">
    <w:name w:val="Обычный (веб)1"/>
    <w:basedOn w:val="Normal"/>
    <w:qFormat/>
    <w:pPr>
      <w:widowControl w:val="false"/>
      <w:tabs>
        <w:tab w:val="clear" w:pos="397"/>
        <w:tab w:val="left" w:pos="5103" w:leader="none"/>
      </w:tabs>
      <w:spacing w:before="100" w:after="100"/>
    </w:pPr>
    <w:rPr>
      <w:color w:val="000000"/>
      <w:szCs w:val="20"/>
      <w:lang w:eastAsia="ru-RU"/>
    </w:rPr>
  </w:style>
  <w:style w:type="paragraph" w:styleId="Noeeu1" w:customStyle="1">
    <w:name w:val="Noeeu1"/>
    <w:basedOn w:val="Normal"/>
    <w:uiPriority w:val="99"/>
    <w:qFormat/>
    <w:pPr>
      <w:widowControl w:val="false"/>
      <w:tabs>
        <w:tab w:val="clear" w:pos="397"/>
        <w:tab w:val="left" w:pos="5103" w:leader="none"/>
      </w:tabs>
      <w:ind w:firstLine="720"/>
      <w:jc w:val="both"/>
      <w:textAlignment w:val="baseline"/>
    </w:pPr>
    <w:rPr>
      <w:color w:val="000000"/>
      <w:szCs w:val="20"/>
      <w:lang w:eastAsia="ru-RU"/>
    </w:rPr>
  </w:style>
  <w:style w:type="paragraph" w:styleId="163" w:customStyle="1">
    <w:name w:val="1"/>
    <w:basedOn w:val="Normal"/>
    <w:next w:val="NormalWeb"/>
    <w:uiPriority w:val="99"/>
    <w:qFormat/>
    <w:pPr>
      <w:widowControl w:val="false"/>
      <w:tabs>
        <w:tab w:val="clear" w:pos="397"/>
        <w:tab w:val="left" w:pos="5103" w:leader="none"/>
      </w:tabs>
      <w:spacing w:beforeAutospacing="1" w:afterAutospacing="1"/>
    </w:pPr>
    <w:rPr>
      <w:color w:val="000000"/>
      <w:lang w:eastAsia="ru-RU"/>
    </w:rPr>
  </w:style>
  <w:style w:type="paragraph" w:styleId="Style132" w:customStyle="1">
    <w:name w:val="Основной"/>
    <w:basedOn w:val="Normal"/>
    <w:uiPriority w:val="99"/>
    <w:qFormat/>
    <w:pPr>
      <w:widowControl w:val="false"/>
      <w:tabs>
        <w:tab w:val="clear" w:pos="397"/>
        <w:tab w:val="left" w:pos="5103" w:leader="none"/>
      </w:tabs>
      <w:spacing w:lineRule="auto" w:line="360"/>
      <w:ind w:firstLine="720"/>
      <w:jc w:val="both"/>
    </w:pPr>
    <w:rPr>
      <w:color w:val="000000"/>
      <w:lang w:eastAsia="ru-RU"/>
    </w:rPr>
  </w:style>
  <w:style w:type="paragraph" w:styleId="212pt3" w:customStyle="1">
    <w:name w:val="Заголовок 2 + 12 pt Знак Знак"/>
    <w:basedOn w:val="Normal"/>
    <w:next w:val="Normal"/>
    <w:autoRedefine/>
    <w:uiPriority w:val="99"/>
    <w:qFormat/>
    <w:pPr>
      <w:keepNext w:val="true"/>
      <w:widowControl w:val="false"/>
      <w:tabs>
        <w:tab w:val="clear" w:pos="397"/>
        <w:tab w:val="left" w:pos="5103" w:leader="none"/>
      </w:tabs>
      <w:jc w:val="center"/>
      <w:outlineLvl w:val="0"/>
    </w:pPr>
    <w:rPr>
      <w:b/>
      <w:bCs/>
      <w:color w:val="000000"/>
      <w:szCs w:val="20"/>
      <w:lang w:eastAsia="ru-RU"/>
    </w:rPr>
  </w:style>
  <w:style w:type="paragraph" w:styleId="212pt4" w:customStyle="1">
    <w:name w:val="Заголовок 2 + 12 pt"/>
    <w:basedOn w:val="Normal"/>
    <w:next w:val="Normal"/>
    <w:autoRedefine/>
    <w:uiPriority w:val="99"/>
    <w:qFormat/>
    <w:pPr>
      <w:keepNext w:val="true"/>
      <w:widowControl w:val="false"/>
      <w:tabs>
        <w:tab w:val="clear" w:pos="397"/>
        <w:tab w:val="left" w:pos="5103" w:leader="none"/>
      </w:tabs>
      <w:spacing w:before="0" w:after="120"/>
      <w:jc w:val="center"/>
      <w:outlineLvl w:val="0"/>
    </w:pPr>
    <w:rPr>
      <w:bCs/>
      <w:color w:val="000000"/>
      <w:sz w:val="20"/>
      <w:szCs w:val="20"/>
      <w:lang w:eastAsia="ru-RU"/>
    </w:rPr>
  </w:style>
  <w:style w:type="paragraph" w:styleId="2TimesNewRoman" w:customStyle="1">
    <w:name w:val="Стиль Заголовок 2 + Times New Roman по центру"/>
    <w:basedOn w:val="Heading2"/>
    <w:next w:val="BodyText"/>
    <w:autoRedefine/>
    <w:uiPriority w:val="99"/>
    <w:qFormat/>
    <w:pPr>
      <w:numPr>
        <w:ilvl w:val="0"/>
        <w:numId w:val="0"/>
      </w:numPr>
      <w:tabs>
        <w:tab w:val="clear" w:pos="1134"/>
        <w:tab w:val="clear" w:pos="1276"/>
        <w:tab w:val="left" w:pos="5103" w:leader="none"/>
      </w:tabs>
      <w:spacing w:before="360" w:after="60"/>
      <w:ind w:firstLine="709" w:left="1702"/>
    </w:pPr>
    <w:rPr>
      <w:b w:val="false"/>
      <w:iCs/>
      <w:color w:val="000000"/>
      <w:szCs w:val="20"/>
      <w:lang w:eastAsia="ru-RU"/>
    </w:rPr>
  </w:style>
  <w:style w:type="paragraph" w:styleId="212pt5" w:customStyle="1">
    <w:name w:val="Заголовок 2 + 12 pt Знак"/>
    <w:basedOn w:val="Normal"/>
    <w:next w:val="Normal"/>
    <w:autoRedefine/>
    <w:uiPriority w:val="99"/>
    <w:qFormat/>
    <w:pPr>
      <w:keepNext w:val="true"/>
      <w:widowControl w:val="false"/>
      <w:tabs>
        <w:tab w:val="clear" w:pos="397"/>
        <w:tab w:val="left" w:pos="5103" w:leader="none"/>
      </w:tabs>
      <w:jc w:val="center"/>
      <w:outlineLvl w:val="0"/>
    </w:pPr>
    <w:rPr>
      <w:bCs/>
      <w:color w:val="000000"/>
      <w:sz w:val="20"/>
      <w:szCs w:val="20"/>
      <w:lang w:eastAsia="ru-RU"/>
    </w:rPr>
  </w:style>
  <w:style w:type="paragraph" w:styleId="Style133" w:customStyle="1">
    <w:name w:val="Основной текст с точкой"/>
    <w:basedOn w:val="BodyTextIndent"/>
    <w:uiPriority w:val="99"/>
    <w:qFormat/>
    <w:pPr>
      <w:widowControl w:val="false"/>
      <w:tabs>
        <w:tab w:val="clear" w:pos="397"/>
        <w:tab w:val="left" w:pos="851" w:leader="none"/>
        <w:tab w:val="left" w:pos="5103" w:leader="none"/>
      </w:tabs>
      <w:suppressAutoHyphens w:val="false"/>
      <w:spacing w:before="60" w:after="0"/>
      <w:ind w:firstLine="210" w:left="0"/>
    </w:pPr>
    <w:rPr>
      <w:rFonts w:cs="Arial"/>
      <w:color w:val="000000"/>
      <w:szCs w:val="26"/>
      <w:lang w:eastAsia="ru-RU"/>
    </w:rPr>
  </w:style>
  <w:style w:type="paragraph" w:styleId="Style134" w:customStyle="1">
    <w:name w:val="Краткий обратный адрес"/>
    <w:basedOn w:val="Normal"/>
    <w:qFormat/>
    <w:pPr>
      <w:widowControl w:val="false"/>
      <w:tabs>
        <w:tab w:val="clear" w:pos="397"/>
        <w:tab w:val="left" w:pos="5103" w:leader="none"/>
      </w:tabs>
    </w:pPr>
    <w:rPr>
      <w:color w:val="000000"/>
      <w:szCs w:val="20"/>
      <w:lang w:eastAsia="ru-RU"/>
    </w:rPr>
  </w:style>
  <w:style w:type="paragraph" w:styleId="Signature">
    <w:name w:val="Signature"/>
    <w:basedOn w:val="Normal"/>
    <w:pPr>
      <w:widowControl w:val="false"/>
      <w:tabs>
        <w:tab w:val="clear" w:pos="397"/>
        <w:tab w:val="left" w:pos="5103" w:leader="none"/>
      </w:tabs>
      <w:ind w:hanging="0" w:left="4252"/>
    </w:pPr>
    <w:rPr>
      <w:color w:val="000000"/>
      <w:szCs w:val="20"/>
      <w:lang w:eastAsia="ru-RU"/>
    </w:rPr>
  </w:style>
  <w:style w:type="paragraph" w:styleId="PP" w:customStyle="1">
    <w:name w:val="Строка PP"/>
    <w:basedOn w:val="Signature"/>
    <w:qFormat/>
    <w:pPr/>
    <w:rPr/>
  </w:style>
  <w:style w:type="paragraph" w:styleId="Iauiue" w:customStyle="1">
    <w:name w:val="Iau?iue"/>
    <w:qFormat/>
    <w:pPr>
      <w:widowControl/>
      <w:suppressAutoHyphens w:val="true"/>
      <w:bidi w:val="0"/>
      <w:spacing w:before="0" w:after="0"/>
      <w:ind w:firstLine="1134"/>
      <w:jc w:val="both"/>
    </w:pPr>
    <w:rPr>
      <w:rFonts w:ascii="HelvDL" w:hAnsi="HelvDL" w:eastAsia="Times New Roman" w:cs="Times New Roman"/>
      <w:color w:val="auto"/>
      <w:kern w:val="0"/>
      <w:sz w:val="24"/>
      <w:szCs w:val="20"/>
      <w:lang w:val="ru-RU" w:eastAsia="ru-RU" w:bidi="ar-SA"/>
    </w:rPr>
  </w:style>
  <w:style w:type="paragraph" w:styleId="Xl25" w:customStyle="1">
    <w:name w:val="xl25"/>
    <w:basedOn w:val="Normal"/>
    <w:uiPriority w:val="99"/>
    <w:qFormat/>
    <w:pPr>
      <w:widowControl w:val="false"/>
      <w:tabs>
        <w:tab w:val="clear" w:pos="397"/>
        <w:tab w:val="left" w:pos="5103" w:leader="none"/>
      </w:tabs>
      <w:spacing w:beforeAutospacing="1" w:afterAutospacing="1"/>
    </w:pPr>
    <w:rPr>
      <w:color w:val="000000"/>
      <w:lang w:eastAsia="ru-RU"/>
    </w:rPr>
  </w:style>
  <w:style w:type="paragraph" w:styleId="Xl26" w:customStyle="1">
    <w:name w:val="xl26"/>
    <w:basedOn w:val="Normal"/>
    <w:uiPriority w:val="99"/>
    <w:qFormat/>
    <w:pPr>
      <w:widowControl w:val="false"/>
      <w:pBdr>
        <w:left w:val="single" w:sz="4" w:space="0" w:color="000000"/>
        <w:right w:val="single" w:sz="4" w:space="0" w:color="000000"/>
      </w:pBdr>
      <w:tabs>
        <w:tab w:val="clear" w:pos="397"/>
        <w:tab w:val="left" w:pos="5103" w:leader="none"/>
      </w:tabs>
      <w:spacing w:beforeAutospacing="1" w:afterAutospacing="1"/>
      <w:jc w:val="center"/>
    </w:pPr>
    <w:rPr>
      <w:color w:val="000000"/>
      <w:lang w:eastAsia="ru-RU"/>
    </w:rPr>
  </w:style>
  <w:style w:type="paragraph" w:styleId="Xl27" w:customStyle="1">
    <w:name w:val="xl27"/>
    <w:basedOn w:val="Normal"/>
    <w:uiPriority w:val="99"/>
    <w:qFormat/>
    <w:pPr>
      <w:widowControl w:val="false"/>
      <w:pBdr>
        <w:top w:val="single" w:sz="4" w:space="0" w:color="000000"/>
        <w:left w:val="single" w:sz="4" w:space="0" w:color="000000"/>
        <w:bottom w:val="single" w:sz="4" w:space="0" w:color="000000"/>
      </w:pBdr>
      <w:tabs>
        <w:tab w:val="clear" w:pos="397"/>
        <w:tab w:val="left" w:pos="5103" w:leader="none"/>
      </w:tabs>
      <w:spacing w:beforeAutospacing="1" w:afterAutospacing="1"/>
    </w:pPr>
    <w:rPr>
      <w:color w:val="000000"/>
      <w:lang w:eastAsia="ru-RU"/>
    </w:rPr>
  </w:style>
  <w:style w:type="paragraph" w:styleId="Xl28" w:customStyle="1">
    <w:name w:val="xl28"/>
    <w:basedOn w:val="Normal"/>
    <w:uiPriority w:val="99"/>
    <w:qFormat/>
    <w:pPr>
      <w:widowControl w:val="false"/>
      <w:pBdr>
        <w:top w:val="single" w:sz="4" w:space="0" w:color="000000"/>
        <w:bottom w:val="single" w:sz="4" w:space="0" w:color="000000"/>
      </w:pBdr>
      <w:tabs>
        <w:tab w:val="clear" w:pos="397"/>
        <w:tab w:val="left" w:pos="5103" w:leader="none"/>
      </w:tabs>
      <w:spacing w:beforeAutospacing="1" w:afterAutospacing="1"/>
    </w:pPr>
    <w:rPr>
      <w:color w:val="000000"/>
      <w:lang w:eastAsia="ru-RU"/>
    </w:rPr>
  </w:style>
  <w:style w:type="paragraph" w:styleId="Xl29" w:customStyle="1">
    <w:name w:val="xl29"/>
    <w:basedOn w:val="Normal"/>
    <w:uiPriority w:val="99"/>
    <w:qFormat/>
    <w:pPr>
      <w:widowControl w:val="false"/>
      <w:pBdr>
        <w:top w:val="single" w:sz="4" w:space="0" w:color="000000"/>
        <w:bottom w:val="single" w:sz="4" w:space="0" w:color="000000"/>
        <w:right w:val="single" w:sz="4" w:space="0" w:color="000000"/>
      </w:pBdr>
      <w:tabs>
        <w:tab w:val="clear" w:pos="397"/>
        <w:tab w:val="left" w:pos="5103" w:leader="none"/>
      </w:tabs>
      <w:spacing w:beforeAutospacing="1" w:afterAutospacing="1"/>
    </w:pPr>
    <w:rPr>
      <w:color w:val="000000"/>
      <w:lang w:eastAsia="ru-RU"/>
    </w:rPr>
  </w:style>
  <w:style w:type="paragraph" w:styleId="Xl30" w:customStyle="1">
    <w:name w:val="xl30"/>
    <w:basedOn w:val="Normal"/>
    <w:uiPriority w:val="99"/>
    <w:qFormat/>
    <w:pPr>
      <w:widowControl w:val="false"/>
      <w:pBdr>
        <w:top w:val="single" w:sz="4" w:space="0" w:color="000000"/>
        <w:left w:val="single" w:sz="4" w:space="0" w:color="000000"/>
        <w:right w:val="single" w:sz="4" w:space="0" w:color="000000"/>
      </w:pBdr>
      <w:tabs>
        <w:tab w:val="clear" w:pos="397"/>
        <w:tab w:val="left" w:pos="5103" w:leader="none"/>
      </w:tabs>
      <w:spacing w:beforeAutospacing="1" w:afterAutospacing="1"/>
      <w:jc w:val="center"/>
    </w:pPr>
    <w:rPr>
      <w:color w:val="000000"/>
      <w:lang w:eastAsia="ru-RU"/>
    </w:rPr>
  </w:style>
  <w:style w:type="paragraph" w:styleId="Xl31" w:customStyle="1">
    <w:name w:val="xl31"/>
    <w:basedOn w:val="Normal"/>
    <w:uiPriority w:val="99"/>
    <w:qFormat/>
    <w:pPr>
      <w:widowControl w:val="false"/>
      <w:pBdr>
        <w:left w:val="single" w:sz="4" w:space="0" w:color="000000"/>
        <w:right w:val="single" w:sz="4" w:space="0" w:color="000000"/>
      </w:pBdr>
      <w:tabs>
        <w:tab w:val="clear" w:pos="397"/>
        <w:tab w:val="left" w:pos="5103" w:leader="none"/>
      </w:tabs>
      <w:spacing w:beforeAutospacing="1" w:afterAutospacing="1"/>
    </w:pPr>
    <w:rPr>
      <w:b/>
      <w:bCs/>
      <w:color w:val="000000"/>
      <w:lang w:eastAsia="ru-RU"/>
    </w:rPr>
  </w:style>
  <w:style w:type="paragraph" w:styleId="Xl32" w:customStyle="1">
    <w:name w:val="xl32"/>
    <w:basedOn w:val="Normal"/>
    <w:uiPriority w:val="99"/>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pPr>
    <w:rPr>
      <w:b/>
      <w:bCs/>
      <w:color w:val="000000"/>
      <w:lang w:eastAsia="ru-RU"/>
    </w:rPr>
  </w:style>
  <w:style w:type="paragraph" w:styleId="Xl33" w:customStyle="1">
    <w:name w:val="xl33"/>
    <w:basedOn w:val="Normal"/>
    <w:uiPriority w:val="99"/>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jc w:val="center"/>
    </w:pPr>
    <w:rPr>
      <w:color w:val="000000"/>
      <w:lang w:eastAsia="ru-RU"/>
    </w:rPr>
  </w:style>
  <w:style w:type="paragraph" w:styleId="Xl34" w:customStyle="1">
    <w:name w:val="xl34"/>
    <w:basedOn w:val="Normal"/>
    <w:uiPriority w:val="99"/>
    <w:qFormat/>
    <w:pPr>
      <w:widowControl w:val="false"/>
      <w:tabs>
        <w:tab w:val="clear" w:pos="397"/>
        <w:tab w:val="left" w:pos="5103" w:leader="none"/>
      </w:tabs>
      <w:spacing w:beforeAutospacing="1" w:afterAutospacing="1"/>
    </w:pPr>
    <w:rPr>
      <w:b/>
      <w:bCs/>
      <w:color w:val="000000"/>
      <w:lang w:eastAsia="ru-RU"/>
    </w:rPr>
  </w:style>
  <w:style w:type="paragraph" w:styleId="Xl35" w:customStyle="1">
    <w:name w:val="xl35"/>
    <w:basedOn w:val="Normal"/>
    <w:uiPriority w:val="99"/>
    <w:qFormat/>
    <w:pPr>
      <w:widowControl w:val="false"/>
      <w:tabs>
        <w:tab w:val="clear" w:pos="397"/>
        <w:tab w:val="left" w:pos="5103" w:leader="none"/>
      </w:tabs>
      <w:spacing w:beforeAutospacing="1" w:afterAutospacing="1"/>
      <w:jc w:val="center"/>
    </w:pPr>
    <w:rPr>
      <w:b/>
      <w:bCs/>
      <w:color w:val="000000"/>
      <w:lang w:eastAsia="ru-RU"/>
    </w:rPr>
  </w:style>
  <w:style w:type="paragraph" w:styleId="Xl36" w:customStyle="1">
    <w:name w:val="xl36"/>
    <w:basedOn w:val="Normal"/>
    <w:uiPriority w:val="99"/>
    <w:qFormat/>
    <w:pPr>
      <w:widowControl w:val="false"/>
      <w:pBdr>
        <w:top w:val="single" w:sz="4" w:space="0" w:color="000000"/>
        <w:left w:val="single" w:sz="4" w:space="0" w:color="000000"/>
        <w:right w:val="single" w:sz="4" w:space="0" w:color="000000"/>
      </w:pBdr>
      <w:tabs>
        <w:tab w:val="clear" w:pos="397"/>
        <w:tab w:val="left" w:pos="5103" w:leader="none"/>
      </w:tabs>
      <w:spacing w:beforeAutospacing="1" w:afterAutospacing="1"/>
      <w:jc w:val="center"/>
    </w:pPr>
    <w:rPr>
      <w:b/>
      <w:bCs/>
      <w:color w:val="000000"/>
      <w:lang w:eastAsia="ru-RU"/>
    </w:rPr>
  </w:style>
  <w:style w:type="paragraph" w:styleId="Xl37" w:customStyle="1">
    <w:name w:val="xl37"/>
    <w:basedOn w:val="Normal"/>
    <w:uiPriority w:val="99"/>
    <w:qFormat/>
    <w:pPr>
      <w:widowControl w:val="false"/>
      <w:pBdr>
        <w:top w:val="single" w:sz="4" w:space="0" w:color="000000"/>
        <w:left w:val="single" w:sz="4" w:space="0" w:color="000000"/>
        <w:right w:val="single" w:sz="4" w:space="0" w:color="000000"/>
      </w:pBdr>
      <w:tabs>
        <w:tab w:val="clear" w:pos="397"/>
        <w:tab w:val="left" w:pos="5103" w:leader="none"/>
      </w:tabs>
      <w:spacing w:beforeAutospacing="1" w:afterAutospacing="1"/>
    </w:pPr>
    <w:rPr>
      <w:color w:val="000000"/>
      <w:lang w:eastAsia="ru-RU"/>
    </w:rPr>
  </w:style>
  <w:style w:type="paragraph" w:styleId="Xl38" w:customStyle="1">
    <w:name w:val="xl38"/>
    <w:basedOn w:val="Normal"/>
    <w:uiPriority w:val="99"/>
    <w:qFormat/>
    <w:pPr>
      <w:widowControl w:val="false"/>
      <w:pBdr>
        <w:left w:val="single" w:sz="4" w:space="0" w:color="000000"/>
        <w:right w:val="single" w:sz="4" w:space="0" w:color="000000"/>
      </w:pBdr>
      <w:tabs>
        <w:tab w:val="clear" w:pos="397"/>
        <w:tab w:val="left" w:pos="5103" w:leader="none"/>
      </w:tabs>
      <w:spacing w:beforeAutospacing="1" w:afterAutospacing="1"/>
      <w:jc w:val="center"/>
    </w:pPr>
    <w:rPr>
      <w:b/>
      <w:bCs/>
      <w:color w:val="000000"/>
      <w:lang w:eastAsia="ru-RU"/>
    </w:rPr>
  </w:style>
  <w:style w:type="paragraph" w:styleId="Xl39" w:customStyle="1">
    <w:name w:val="xl39"/>
    <w:basedOn w:val="Normal"/>
    <w:uiPriority w:val="99"/>
    <w:qFormat/>
    <w:pPr>
      <w:widowControl w:val="false"/>
      <w:tabs>
        <w:tab w:val="clear" w:pos="397"/>
        <w:tab w:val="left" w:pos="5103" w:leader="none"/>
      </w:tabs>
      <w:spacing w:beforeAutospacing="1" w:afterAutospacing="1"/>
      <w:jc w:val="center"/>
    </w:pPr>
    <w:rPr>
      <w:color w:val="000000"/>
      <w:lang w:eastAsia="ru-RU"/>
    </w:rPr>
  </w:style>
  <w:style w:type="paragraph" w:styleId="Xl40" w:customStyle="1">
    <w:name w:val="xl40"/>
    <w:basedOn w:val="Normal"/>
    <w:uiPriority w:val="99"/>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jc w:val="center"/>
    </w:pPr>
    <w:rPr>
      <w:b/>
      <w:bCs/>
      <w:color w:val="000000"/>
      <w:lang w:eastAsia="ru-RU"/>
    </w:rPr>
  </w:style>
  <w:style w:type="paragraph" w:styleId="Xl41" w:customStyle="1">
    <w:name w:val="xl41"/>
    <w:basedOn w:val="Normal"/>
    <w:uiPriority w:val="99"/>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jc w:val="center"/>
    </w:pPr>
    <w:rPr>
      <w:color w:val="000000"/>
      <w:lang w:eastAsia="ru-RU"/>
    </w:rPr>
  </w:style>
  <w:style w:type="paragraph" w:styleId="Xl42" w:customStyle="1">
    <w:name w:val="xl42"/>
    <w:basedOn w:val="Normal"/>
    <w:uiPriority w:val="99"/>
    <w:qFormat/>
    <w:pPr>
      <w:widowControl w:val="false"/>
      <w:pBdr>
        <w:left w:val="single" w:sz="4" w:space="0" w:color="000000"/>
        <w:right w:val="single" w:sz="4" w:space="0" w:color="000000"/>
      </w:pBdr>
      <w:tabs>
        <w:tab w:val="clear" w:pos="397"/>
        <w:tab w:val="left" w:pos="5103" w:leader="none"/>
      </w:tabs>
      <w:spacing w:beforeAutospacing="1" w:afterAutospacing="1"/>
    </w:pPr>
    <w:rPr>
      <w:color w:val="000000"/>
      <w:lang w:eastAsia="ru-RU"/>
    </w:rPr>
  </w:style>
  <w:style w:type="paragraph" w:styleId="Xl43" w:customStyle="1">
    <w:name w:val="xl43"/>
    <w:basedOn w:val="Normal"/>
    <w:uiPriority w:val="99"/>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pPr>
    <w:rPr>
      <w:color w:val="000000"/>
      <w:lang w:eastAsia="ru-RU"/>
    </w:rPr>
  </w:style>
  <w:style w:type="paragraph" w:styleId="Xl44" w:customStyle="1">
    <w:name w:val="xl44"/>
    <w:basedOn w:val="Normal"/>
    <w:uiPriority w:val="99"/>
    <w:qFormat/>
    <w:pPr>
      <w:widowControl w:val="false"/>
      <w:pBdr>
        <w:top w:val="single" w:sz="4" w:space="0" w:color="000000"/>
        <w:left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Xl45" w:customStyle="1">
    <w:name w:val="xl45"/>
    <w:basedOn w:val="Normal"/>
    <w:uiPriority w:val="99"/>
    <w:qFormat/>
    <w:pPr>
      <w:widowControl w:val="false"/>
      <w:pBdr>
        <w:left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Xl46" w:customStyle="1">
    <w:name w:val="xl46"/>
    <w:basedOn w:val="Normal"/>
    <w:uiPriority w:val="99"/>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Xl47" w:customStyle="1">
    <w:name w:val="xl47"/>
    <w:basedOn w:val="Normal"/>
    <w:uiPriority w:val="99"/>
    <w:qFormat/>
    <w:pPr>
      <w:widowControl w:val="false"/>
      <w:tabs>
        <w:tab w:val="clear" w:pos="397"/>
        <w:tab w:val="left" w:pos="5103" w:leader="none"/>
      </w:tabs>
      <w:spacing w:beforeAutospacing="1" w:afterAutospacing="1"/>
      <w:jc w:val="right"/>
    </w:pPr>
    <w:rPr>
      <w:color w:val="000000"/>
      <w:lang w:eastAsia="ru-RU"/>
    </w:rPr>
  </w:style>
  <w:style w:type="paragraph" w:styleId="Xl48" w:customStyle="1">
    <w:name w:val="xl48"/>
    <w:basedOn w:val="Normal"/>
    <w:uiPriority w:val="99"/>
    <w:qFormat/>
    <w:pPr>
      <w:widowControl w:val="false"/>
      <w:pBdr>
        <w:top w:val="single" w:sz="4" w:space="0" w:color="000000"/>
        <w:bottom w:val="single" w:sz="4" w:space="0" w:color="000000"/>
      </w:pBdr>
      <w:tabs>
        <w:tab w:val="clear" w:pos="397"/>
        <w:tab w:val="left" w:pos="5103" w:leader="none"/>
      </w:tabs>
      <w:spacing w:beforeAutospacing="1" w:afterAutospacing="1"/>
      <w:jc w:val="right"/>
    </w:pPr>
    <w:rPr>
      <w:color w:val="000000"/>
      <w:lang w:eastAsia="ru-RU"/>
    </w:rPr>
  </w:style>
  <w:style w:type="paragraph" w:styleId="Xl49" w:customStyle="1">
    <w:name w:val="xl49"/>
    <w:basedOn w:val="Normal"/>
    <w:uiPriority w:val="99"/>
    <w:qFormat/>
    <w:pPr>
      <w:widowControl w:val="false"/>
      <w:pBdr>
        <w:top w:val="single" w:sz="4" w:space="0" w:color="000000"/>
        <w:bottom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Xl50" w:customStyle="1">
    <w:name w:val="xl50"/>
    <w:basedOn w:val="Normal"/>
    <w:uiPriority w:val="99"/>
    <w:qFormat/>
    <w:pPr>
      <w:widowControl w:val="false"/>
      <w:pBdr>
        <w:top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Xl51" w:customStyle="1">
    <w:name w:val="xl51"/>
    <w:basedOn w:val="Normal"/>
    <w:uiPriority w:val="99"/>
    <w:qFormat/>
    <w:pPr>
      <w:widowControl w:val="false"/>
      <w:pBdr>
        <w:right w:val="single" w:sz="4" w:space="0" w:color="000000"/>
      </w:pBdr>
      <w:tabs>
        <w:tab w:val="clear" w:pos="397"/>
        <w:tab w:val="left" w:pos="5103" w:leader="none"/>
      </w:tabs>
      <w:spacing w:beforeAutospacing="1" w:afterAutospacing="1"/>
      <w:jc w:val="right"/>
    </w:pPr>
    <w:rPr>
      <w:color w:val="000000"/>
      <w:lang w:eastAsia="ru-RU"/>
    </w:rPr>
  </w:style>
  <w:style w:type="paragraph" w:styleId="Xl52" w:customStyle="1">
    <w:name w:val="xl52"/>
    <w:basedOn w:val="Normal"/>
    <w:uiPriority w:val="99"/>
    <w:qFormat/>
    <w:pPr>
      <w:widowControl w:val="false"/>
      <w:pBdr>
        <w:bottom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2TimesNewRoman12pt60" w:customStyle="1">
    <w:name w:val="Стиль Заголовок 2 + Times New Roman 12 pt Перед:  6 пт После:  0......"/>
    <w:basedOn w:val="Normal"/>
    <w:next w:val="BodyText"/>
    <w:autoRedefine/>
    <w:qFormat/>
    <w:pPr>
      <w:keepNext w:val="true"/>
      <w:widowControl w:val="false"/>
      <w:tabs>
        <w:tab w:val="clear" w:pos="397"/>
        <w:tab w:val="left" w:pos="5103" w:leader="none"/>
      </w:tabs>
      <w:outlineLvl w:val="1"/>
    </w:pPr>
    <w:rPr>
      <w:b/>
      <w:bCs/>
      <w:i/>
      <w:iCs/>
      <w:color w:val="000000"/>
      <w:szCs w:val="20"/>
      <w:lang w:eastAsia="ru-RU"/>
    </w:rPr>
  </w:style>
  <w:style w:type="paragraph" w:styleId="312pt00" w:customStyle="1">
    <w:name w:val="Стиль Заголовок 3 12pt + Перед:  0 пт После:  0 пт"/>
    <w:basedOn w:val="Normal"/>
    <w:qFormat/>
    <w:pPr>
      <w:keepNext w:val="true"/>
      <w:widowControl w:val="false"/>
      <w:tabs>
        <w:tab w:val="clear" w:pos="397"/>
        <w:tab w:val="left" w:pos="5103" w:leader="none"/>
      </w:tabs>
      <w:outlineLvl w:val="2"/>
    </w:pPr>
    <w:rPr>
      <w:i/>
      <w:iCs/>
      <w:color w:val="000000"/>
      <w:szCs w:val="20"/>
      <w:lang w:eastAsia="ru-RU"/>
    </w:rPr>
  </w:style>
  <w:style w:type="paragraph" w:styleId="0" w:customStyle="1">
    <w:name w:val="Заголовок 0"/>
    <w:basedOn w:val="Heading1"/>
    <w:autoRedefine/>
    <w:qFormat/>
    <w:pPr>
      <w:pageBreakBefore w:val="false"/>
      <w:numPr>
        <w:ilvl w:val="0"/>
        <w:numId w:val="0"/>
      </w:numPr>
      <w:tabs>
        <w:tab w:val="clear" w:pos="851"/>
        <w:tab w:val="left" w:pos="992" w:leader="none"/>
        <w:tab w:val="left" w:pos="5103" w:leader="none"/>
      </w:tabs>
      <w:spacing w:lineRule="auto" w:line="360" w:before="480" w:after="360"/>
      <w:ind w:firstLine="709" w:left="927"/>
    </w:pPr>
    <w:rPr>
      <w:caps w:val="false"/>
      <w:smallCaps w:val="false"/>
      <w:color w:val="000000"/>
      <w:kern w:val="0"/>
      <w:lang w:eastAsia="ru-RU"/>
    </w:rPr>
  </w:style>
  <w:style w:type="paragraph" w:styleId="FR1" w:customStyle="1">
    <w:name w:val="FR1"/>
    <w:qFormat/>
    <w:pPr>
      <w:widowControl w:val="false"/>
      <w:suppressAutoHyphens w:val="true"/>
      <w:bidi w:val="0"/>
      <w:spacing w:before="0" w:after="0"/>
      <w:ind w:hanging="0" w:right="200"/>
      <w:jc w:val="center"/>
    </w:pPr>
    <w:rPr>
      <w:rFonts w:ascii="Arial" w:hAnsi="Arial" w:eastAsia="Times New Roman" w:cs="Arial"/>
      <w:b/>
      <w:bCs/>
      <w:color w:val="auto"/>
      <w:kern w:val="0"/>
      <w:sz w:val="24"/>
      <w:szCs w:val="24"/>
      <w:lang w:val="ru-RU" w:eastAsia="ru-RU" w:bidi="ar-SA"/>
    </w:rPr>
  </w:style>
  <w:style w:type="paragraph" w:styleId="ArNar" w:customStyle="1">
    <w:name w:val="Обычный ArNar"/>
    <w:basedOn w:val="Normal"/>
    <w:qFormat/>
    <w:pPr>
      <w:widowControl w:val="false"/>
      <w:tabs>
        <w:tab w:val="clear" w:pos="397"/>
        <w:tab w:val="left" w:pos="5103" w:leader="none"/>
      </w:tabs>
      <w:ind w:firstLine="709"/>
      <w:jc w:val="both"/>
    </w:pPr>
    <w:rPr>
      <w:rFonts w:ascii="Arial Narrow" w:hAnsi="Arial Narrow"/>
      <w:color w:val="000000"/>
      <w:sz w:val="22"/>
      <w:szCs w:val="20"/>
      <w:lang w:eastAsia="ru-RU"/>
    </w:rPr>
  </w:style>
  <w:style w:type="paragraph" w:styleId="Style135" w:customStyle="1">
    <w:name w:val="Список отчета"/>
    <w:basedOn w:val="BodyText"/>
    <w:qFormat/>
    <w:pPr>
      <w:widowControl w:val="false"/>
      <w:tabs>
        <w:tab w:val="clear" w:pos="397"/>
        <w:tab w:val="left" w:pos="5103" w:leader="none"/>
      </w:tabs>
      <w:suppressAutoHyphens w:val="false"/>
      <w:spacing w:lineRule="auto" w:line="312" w:before="120" w:after="0"/>
      <w:ind w:firstLine="709" w:left="993" w:right="170"/>
    </w:pPr>
    <w:rPr>
      <w:color w:val="000000"/>
      <w:spacing w:val="10"/>
      <w:szCs w:val="20"/>
      <w:lang w:eastAsia="ru-RU"/>
    </w:rPr>
  </w:style>
  <w:style w:type="paragraph" w:styleId="FR4" w:customStyle="1">
    <w:name w:val="FR4"/>
    <w:qFormat/>
    <w:pPr>
      <w:widowControl w:val="false"/>
      <w:suppressAutoHyphens w:val="true"/>
      <w:bidi w:val="0"/>
      <w:spacing w:before="0" w:after="0"/>
      <w:ind w:hanging="0" w:left="4960"/>
      <w:jc w:val="left"/>
    </w:pPr>
    <w:rPr>
      <w:rFonts w:ascii="Times New Roman" w:hAnsi="Times New Roman" w:eastAsia="Times New Roman" w:cs="Times New Roman"/>
      <w:color w:val="auto"/>
      <w:kern w:val="0"/>
      <w:sz w:val="16"/>
      <w:szCs w:val="16"/>
      <w:lang w:val="ru-RU" w:eastAsia="ru-RU" w:bidi="ar-SA"/>
    </w:rPr>
  </w:style>
  <w:style w:type="paragraph" w:styleId="Abzac" w:customStyle="1">
    <w:name w:val="abzac"/>
    <w:basedOn w:val="Normal"/>
    <w:qFormat/>
    <w:pPr>
      <w:widowControl w:val="false"/>
      <w:tabs>
        <w:tab w:val="clear" w:pos="397"/>
        <w:tab w:val="left" w:pos="5103" w:leader="none"/>
      </w:tabs>
      <w:ind w:firstLine="225"/>
      <w:jc w:val="both"/>
    </w:pPr>
    <w:rPr>
      <w:color w:val="000000"/>
      <w:lang w:eastAsia="ru-RU"/>
    </w:rPr>
  </w:style>
  <w:style w:type="paragraph" w:styleId="Style136" w:customStyle="1">
    <w:name w:val="штрих"/>
    <w:basedOn w:val="BodyText"/>
    <w:qFormat/>
    <w:pPr>
      <w:widowControl w:val="false"/>
      <w:tabs>
        <w:tab w:val="clear" w:pos="397"/>
        <w:tab w:val="left" w:pos="360" w:leader="none"/>
        <w:tab w:val="left" w:pos="5103" w:leader="none"/>
      </w:tabs>
      <w:suppressAutoHyphens w:val="false"/>
      <w:spacing w:before="0" w:after="0"/>
      <w:ind w:hanging="357" w:left="924"/>
    </w:pPr>
    <w:rPr>
      <w:color w:val="000000"/>
      <w:sz w:val="28"/>
      <w:szCs w:val="28"/>
      <w:lang w:eastAsia="ru-RU"/>
    </w:rPr>
  </w:style>
  <w:style w:type="paragraph" w:styleId="Xl53" w:customStyle="1">
    <w:name w:val="xl53"/>
    <w:basedOn w:val="Normal"/>
    <w:uiPriority w:val="99"/>
    <w:qFormat/>
    <w:pPr>
      <w:widowControl w:val="false"/>
      <w:pBdr>
        <w:top w:val="single" w:sz="4" w:space="0" w:color="000000"/>
        <w:left w:val="single" w:sz="4" w:space="0" w:color="000000"/>
        <w:right w:val="single" w:sz="4" w:space="0" w:color="000000"/>
      </w:pBdr>
      <w:tabs>
        <w:tab w:val="clear" w:pos="397"/>
        <w:tab w:val="left" w:pos="5103" w:leader="none"/>
      </w:tabs>
      <w:spacing w:beforeAutospacing="1" w:afterAutospacing="1"/>
    </w:pPr>
    <w:rPr>
      <w:color w:val="000000"/>
      <w:lang w:eastAsia="ru-RU"/>
    </w:rPr>
  </w:style>
  <w:style w:type="paragraph" w:styleId="Xl54" w:customStyle="1">
    <w:name w:val="xl54"/>
    <w:basedOn w:val="Normal"/>
    <w:uiPriority w:val="99"/>
    <w:qFormat/>
    <w:pPr>
      <w:widowControl w:val="false"/>
      <w:pBdr>
        <w:left w:val="single" w:sz="4" w:space="0" w:color="000000"/>
        <w:right w:val="single" w:sz="4" w:space="0" w:color="000000"/>
      </w:pBdr>
      <w:tabs>
        <w:tab w:val="clear" w:pos="397"/>
        <w:tab w:val="left" w:pos="5103" w:leader="none"/>
      </w:tabs>
      <w:spacing w:beforeAutospacing="1" w:afterAutospacing="1"/>
    </w:pPr>
    <w:rPr>
      <w:color w:val="000000"/>
      <w:lang w:eastAsia="ru-RU"/>
    </w:rPr>
  </w:style>
  <w:style w:type="paragraph" w:styleId="Xl55" w:customStyle="1">
    <w:name w:val="xl55"/>
    <w:basedOn w:val="Normal"/>
    <w:uiPriority w:val="99"/>
    <w:qFormat/>
    <w:pPr>
      <w:widowControl w:val="false"/>
      <w:pBdr>
        <w:left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Xl56" w:customStyle="1">
    <w:name w:val="xl56"/>
    <w:basedOn w:val="Normal"/>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jc w:val="right"/>
    </w:pPr>
    <w:rPr>
      <w:color w:val="000000"/>
      <w:lang w:eastAsia="ru-RU"/>
    </w:rPr>
  </w:style>
  <w:style w:type="paragraph" w:styleId="Xl57" w:customStyle="1">
    <w:name w:val="xl57"/>
    <w:basedOn w:val="Normal"/>
    <w:qFormat/>
    <w:pPr>
      <w:widowControl w:val="false"/>
      <w:pBdr>
        <w:top w:val="single" w:sz="4" w:space="0" w:color="000000"/>
        <w:bottom w:val="single" w:sz="4" w:space="0" w:color="000000"/>
      </w:pBdr>
      <w:tabs>
        <w:tab w:val="clear" w:pos="397"/>
        <w:tab w:val="left" w:pos="5103" w:leader="none"/>
      </w:tabs>
      <w:spacing w:beforeAutospacing="1" w:afterAutospacing="1"/>
    </w:pPr>
    <w:rPr>
      <w:color w:val="000000"/>
      <w:lang w:eastAsia="ru-RU"/>
    </w:rPr>
  </w:style>
  <w:style w:type="paragraph" w:styleId="Xl58" w:customStyle="1">
    <w:name w:val="xl58"/>
    <w:basedOn w:val="Normal"/>
    <w:qFormat/>
    <w:pPr>
      <w:widowControl w:val="false"/>
      <w:pBdr>
        <w:left w:val="single" w:sz="4" w:space="0" w:color="000000"/>
        <w:bottom w:val="single" w:sz="4" w:space="0" w:color="000000"/>
      </w:pBdr>
      <w:tabs>
        <w:tab w:val="clear" w:pos="397"/>
        <w:tab w:val="left" w:pos="5103" w:leader="none"/>
      </w:tabs>
      <w:spacing w:beforeAutospacing="1" w:afterAutospacing="1"/>
      <w:jc w:val="right"/>
    </w:pPr>
    <w:rPr>
      <w:color w:val="000000"/>
      <w:lang w:eastAsia="ru-RU"/>
    </w:rPr>
  </w:style>
  <w:style w:type="paragraph" w:styleId="Xl59" w:customStyle="1">
    <w:name w:val="xl59"/>
    <w:basedOn w:val="Normal"/>
    <w:qFormat/>
    <w:pPr>
      <w:widowControl w:val="false"/>
      <w:pBdr>
        <w:bottom w:val="single" w:sz="4" w:space="0" w:color="000000"/>
      </w:pBdr>
      <w:tabs>
        <w:tab w:val="clear" w:pos="397"/>
        <w:tab w:val="left" w:pos="5103" w:leader="none"/>
      </w:tabs>
      <w:spacing w:beforeAutospacing="1" w:afterAutospacing="1"/>
      <w:jc w:val="right"/>
    </w:pPr>
    <w:rPr>
      <w:color w:val="000000"/>
      <w:lang w:eastAsia="ru-RU"/>
    </w:rPr>
  </w:style>
  <w:style w:type="paragraph" w:styleId="Xl60" w:customStyle="1">
    <w:name w:val="xl60"/>
    <w:basedOn w:val="Normal"/>
    <w:qFormat/>
    <w:pPr>
      <w:widowControl w:val="false"/>
      <w:pBdr>
        <w:bottom w:val="single" w:sz="4" w:space="0" w:color="000000"/>
      </w:pBdr>
      <w:tabs>
        <w:tab w:val="clear" w:pos="397"/>
        <w:tab w:val="left" w:pos="5103" w:leader="none"/>
      </w:tabs>
      <w:spacing w:beforeAutospacing="1" w:afterAutospacing="1"/>
      <w:jc w:val="right"/>
    </w:pPr>
    <w:rPr>
      <w:color w:val="000000"/>
      <w:lang w:eastAsia="ru-RU"/>
    </w:rPr>
  </w:style>
  <w:style w:type="paragraph" w:styleId="Xl61" w:customStyle="1">
    <w:name w:val="xl61"/>
    <w:basedOn w:val="Normal"/>
    <w:qFormat/>
    <w:pPr>
      <w:widowControl w:val="false"/>
      <w:pBdr>
        <w:left w:val="single" w:sz="4" w:space="0" w:color="000000"/>
        <w:bottom w:val="single" w:sz="4" w:space="0" w:color="000000"/>
        <w:right w:val="single" w:sz="4" w:space="0" w:color="000000"/>
      </w:pBdr>
      <w:tabs>
        <w:tab w:val="clear" w:pos="397"/>
        <w:tab w:val="left" w:pos="5103" w:leader="none"/>
      </w:tabs>
      <w:spacing w:beforeAutospacing="1" w:afterAutospacing="1"/>
    </w:pPr>
    <w:rPr>
      <w:b/>
      <w:bCs/>
      <w:color w:val="000000"/>
      <w:lang w:eastAsia="ru-RU"/>
    </w:rPr>
  </w:style>
  <w:style w:type="paragraph" w:styleId="Xl62" w:customStyle="1">
    <w:name w:val="xl62"/>
    <w:basedOn w:val="Normal"/>
    <w:qFormat/>
    <w:pPr>
      <w:widowControl w:val="false"/>
      <w:pBdr>
        <w:left w:val="single" w:sz="4" w:space="0" w:color="000000"/>
        <w:right w:val="single" w:sz="4" w:space="0" w:color="000000"/>
      </w:pBdr>
      <w:tabs>
        <w:tab w:val="clear" w:pos="397"/>
        <w:tab w:val="left" w:pos="5103" w:leader="none"/>
      </w:tabs>
      <w:spacing w:beforeAutospacing="1" w:afterAutospacing="1"/>
      <w:jc w:val="center"/>
    </w:pPr>
    <w:rPr>
      <w:b/>
      <w:bCs/>
      <w:color w:val="000000"/>
      <w:lang w:eastAsia="ru-RU"/>
    </w:rPr>
  </w:style>
  <w:style w:type="paragraph" w:styleId="BlockText">
    <w:name w:val="Block Text"/>
    <w:basedOn w:val="Normal"/>
    <w:qFormat/>
    <w:pPr>
      <w:widowControl w:val="false"/>
      <w:tabs>
        <w:tab w:val="clear" w:pos="397"/>
        <w:tab w:val="left" w:pos="5103" w:leader="none"/>
      </w:tabs>
      <w:ind w:hanging="0" w:left="900" w:right="715"/>
      <w:jc w:val="center"/>
    </w:pPr>
    <w:rPr>
      <w:color w:val="000000"/>
      <w:lang w:eastAsia="ru-RU"/>
    </w:rPr>
  </w:style>
  <w:style w:type="paragraph" w:styleId="ListContinue">
    <w:name w:val="List Continue"/>
    <w:basedOn w:val="Normal"/>
    <w:uiPriority w:val="99"/>
    <w:qFormat/>
    <w:pPr>
      <w:widowControl w:val="false"/>
      <w:tabs>
        <w:tab w:val="clear" w:pos="397"/>
        <w:tab w:val="left" w:pos="5103" w:leader="none"/>
      </w:tabs>
      <w:spacing w:before="0" w:after="120"/>
      <w:ind w:hanging="0" w:left="283"/>
    </w:pPr>
    <w:rPr>
      <w:color w:val="000000"/>
      <w:szCs w:val="20"/>
      <w:lang w:eastAsia="ru-RU"/>
    </w:rPr>
  </w:style>
  <w:style w:type="paragraph" w:styleId="ListContinue2">
    <w:name w:val="List Continue 2"/>
    <w:basedOn w:val="Normal"/>
    <w:uiPriority w:val="99"/>
    <w:qFormat/>
    <w:pPr>
      <w:widowControl w:val="false"/>
      <w:tabs>
        <w:tab w:val="clear" w:pos="397"/>
        <w:tab w:val="left" w:pos="5103" w:leader="none"/>
      </w:tabs>
      <w:spacing w:before="0" w:after="120"/>
      <w:ind w:hanging="0" w:left="566"/>
    </w:pPr>
    <w:rPr>
      <w:color w:val="000000"/>
      <w:szCs w:val="20"/>
      <w:lang w:eastAsia="ru-RU"/>
    </w:rPr>
  </w:style>
  <w:style w:type="paragraph" w:styleId="ListContinue3">
    <w:name w:val="List Continue 3"/>
    <w:basedOn w:val="Normal"/>
    <w:qFormat/>
    <w:pPr>
      <w:widowControl w:val="false"/>
      <w:tabs>
        <w:tab w:val="clear" w:pos="397"/>
        <w:tab w:val="left" w:pos="5103" w:leader="none"/>
      </w:tabs>
      <w:spacing w:before="0" w:after="120"/>
      <w:ind w:hanging="0" w:left="849"/>
    </w:pPr>
    <w:rPr>
      <w:color w:val="000000"/>
      <w:szCs w:val="20"/>
      <w:lang w:eastAsia="ru-RU"/>
    </w:rPr>
  </w:style>
  <w:style w:type="paragraph" w:styleId="NormalIndent">
    <w:name w:val="Normal Indent"/>
    <w:basedOn w:val="Normal"/>
    <w:qFormat/>
    <w:pPr>
      <w:widowControl w:val="false"/>
      <w:tabs>
        <w:tab w:val="clear" w:pos="397"/>
        <w:tab w:val="left" w:pos="5103" w:leader="none"/>
      </w:tabs>
      <w:ind w:hanging="0" w:left="708"/>
    </w:pPr>
    <w:rPr>
      <w:color w:val="000000"/>
      <w:szCs w:val="20"/>
      <w:lang w:eastAsia="ru-RU"/>
    </w:rPr>
  </w:style>
  <w:style w:type="paragraph" w:styleId="PlainText">
    <w:name w:val="Plain Text"/>
    <w:basedOn w:val="Normal"/>
    <w:uiPriority w:val="99"/>
    <w:qFormat/>
    <w:pPr>
      <w:widowControl w:val="false"/>
      <w:tabs>
        <w:tab w:val="clear" w:pos="397"/>
        <w:tab w:val="left" w:pos="5103" w:leader="none"/>
      </w:tabs>
    </w:pPr>
    <w:rPr>
      <w:rFonts w:ascii="Courier New" w:hAnsi="Courier New"/>
      <w:color w:val="000000"/>
      <w:sz w:val="20"/>
      <w:szCs w:val="20"/>
      <w:lang w:eastAsia="ru-RU"/>
    </w:rPr>
  </w:style>
  <w:style w:type="paragraph" w:styleId="Style137" w:customStyle="1">
    <w:name w:val="Основной жирный"/>
    <w:basedOn w:val="BodyTextIndent"/>
    <w:next w:val="BodyTextIndent"/>
    <w:uiPriority w:val="99"/>
    <w:qFormat/>
    <w:pPr>
      <w:widowControl w:val="false"/>
      <w:tabs>
        <w:tab w:val="clear" w:pos="397"/>
        <w:tab w:val="left" w:pos="5103" w:leader="none"/>
      </w:tabs>
      <w:suppressAutoHyphens w:val="false"/>
      <w:spacing w:before="120" w:after="0"/>
      <w:ind w:firstLine="425" w:left="425"/>
    </w:pPr>
    <w:rPr>
      <w:rFonts w:cs="Arial"/>
      <w:b/>
      <w:bCs/>
      <w:color w:val="000000"/>
      <w:lang w:eastAsia="ru-RU"/>
    </w:rPr>
  </w:style>
  <w:style w:type="paragraph" w:styleId="72" w:customStyle="1">
    <w:name w:val="Знак7"/>
    <w:basedOn w:val="Normal"/>
    <w:next w:val="Heading2"/>
    <w:autoRedefine/>
    <w:qFormat/>
    <w:pPr>
      <w:widowControl w:val="false"/>
      <w:tabs>
        <w:tab w:val="clear" w:pos="397"/>
        <w:tab w:val="left" w:pos="5103" w:leader="none"/>
      </w:tabs>
      <w:spacing w:lineRule="exact" w:line="240" w:before="0" w:after="160"/>
      <w:jc w:val="right"/>
    </w:pPr>
    <w:rPr>
      <w:color w:val="000000"/>
      <w:lang w:val="en-US" w:eastAsia="en-US"/>
    </w:rPr>
  </w:style>
  <w:style w:type="paragraph" w:styleId="BodyTextFirstIndent2">
    <w:name w:val="Body Text First Indent 2"/>
    <w:basedOn w:val="BodyTextIndent"/>
    <w:link w:val="212"/>
    <w:uiPriority w:val="99"/>
    <w:qFormat/>
    <w:pPr>
      <w:widowControl w:val="false"/>
      <w:tabs>
        <w:tab w:val="clear" w:pos="397"/>
        <w:tab w:val="left" w:pos="5103" w:leader="none"/>
      </w:tabs>
      <w:suppressAutoHyphens w:val="false"/>
      <w:ind w:firstLine="210" w:left="283"/>
    </w:pPr>
    <w:rPr>
      <w:color w:val="000000"/>
      <w:lang w:eastAsia="ru-RU"/>
    </w:rPr>
  </w:style>
  <w:style w:type="paragraph" w:styleId="Oaaeeiuenoeeu" w:customStyle="1">
    <w:name w:val="Oaaee?iue noeeu"/>
    <w:basedOn w:val="Normal"/>
    <w:qFormat/>
    <w:pPr>
      <w:widowControl w:val="false"/>
      <w:tabs>
        <w:tab w:val="clear" w:pos="397"/>
        <w:tab w:val="left" w:pos="5103" w:leader="none"/>
      </w:tabs>
      <w:jc w:val="center"/>
      <w:textAlignment w:val="baseline"/>
    </w:pPr>
    <w:rPr>
      <w:color w:val="000000"/>
      <w:sz w:val="22"/>
      <w:szCs w:val="20"/>
      <w:lang w:eastAsia="ru-RU"/>
    </w:rPr>
  </w:style>
  <w:style w:type="paragraph" w:styleId="164" w:customStyle="1">
    <w:name w:val="Список маркированный 1"/>
    <w:basedOn w:val="Normal"/>
    <w:qFormat/>
    <w:pPr>
      <w:widowControl w:val="false"/>
      <w:tabs>
        <w:tab w:val="clear" w:pos="397"/>
        <w:tab w:val="left" w:pos="1134" w:leader="none"/>
        <w:tab w:val="left" w:pos="5103" w:leader="none"/>
      </w:tabs>
      <w:spacing w:lineRule="auto" w:line="360"/>
      <w:ind w:firstLine="709"/>
      <w:jc w:val="both"/>
    </w:pPr>
    <w:rPr>
      <w:rFonts w:cs="Arial"/>
      <w:color w:val="000000"/>
      <w:lang w:eastAsia="ru-RU"/>
    </w:rPr>
  </w:style>
  <w:style w:type="paragraph" w:styleId="238" w:customStyle="1">
    <w:name w:val="Список маркированный 2"/>
    <w:basedOn w:val="164"/>
    <w:qFormat/>
    <w:pPr>
      <w:tabs>
        <w:tab w:val="left" w:pos="360" w:leader="none"/>
        <w:tab w:val="left" w:pos="1134" w:leader="none"/>
        <w:tab w:val="left" w:pos="1209" w:leader="none"/>
        <w:tab w:val="left" w:pos="1560" w:leader="none"/>
        <w:tab w:val="left" w:pos="5103" w:leader="none"/>
      </w:tabs>
      <w:ind w:hanging="426" w:left="1560"/>
    </w:pPr>
    <w:rPr/>
  </w:style>
  <w:style w:type="paragraph" w:styleId="Style138" w:customStyle="1">
    <w:name w:val="Письмо"/>
    <w:basedOn w:val="Normal"/>
    <w:qFormat/>
    <w:pPr>
      <w:widowControl w:val="false"/>
      <w:tabs>
        <w:tab w:val="clear" w:pos="397"/>
        <w:tab w:val="left" w:pos="5103" w:leader="none"/>
      </w:tabs>
      <w:ind w:firstLine="709"/>
      <w:jc w:val="both"/>
    </w:pPr>
    <w:rPr>
      <w:color w:val="000000"/>
      <w:sz w:val="28"/>
      <w:lang w:eastAsia="ru-RU"/>
    </w:rPr>
  </w:style>
  <w:style w:type="paragraph" w:styleId="165" w:customStyle="1">
    <w:name w:val="Знак Знак Знак1 Знак"/>
    <w:basedOn w:val="Normal"/>
    <w:qFormat/>
    <w:pPr>
      <w:widowControl w:val="false"/>
      <w:tabs>
        <w:tab w:val="clear" w:pos="397"/>
        <w:tab w:val="left" w:pos="5103" w:leader="none"/>
      </w:tabs>
      <w:spacing w:beforeAutospacing="1" w:afterAutospacing="1"/>
    </w:pPr>
    <w:rPr>
      <w:rFonts w:ascii="Tahoma" w:hAnsi="Tahoma"/>
      <w:color w:val="000000"/>
      <w:sz w:val="20"/>
      <w:szCs w:val="20"/>
      <w:lang w:val="en-US" w:eastAsia="en-US"/>
    </w:rPr>
  </w:style>
  <w:style w:type="paragraph" w:styleId="Style139" w:customStyle="1">
    <w:name w:val="Нормальный (таблица)"/>
    <w:basedOn w:val="Normal"/>
    <w:next w:val="Normal"/>
    <w:qFormat/>
    <w:pPr>
      <w:widowControl w:val="false"/>
      <w:tabs>
        <w:tab w:val="clear" w:pos="397"/>
        <w:tab w:val="left" w:pos="5103" w:leader="none"/>
      </w:tabs>
      <w:jc w:val="both"/>
    </w:pPr>
    <w:rPr>
      <w:rFonts w:ascii="Arial" w:hAnsi="Arial"/>
      <w:color w:val="000000"/>
      <w:lang w:eastAsia="ru-RU"/>
    </w:rPr>
  </w:style>
  <w:style w:type="paragraph" w:styleId="Style1001" w:customStyle="1">
    <w:name w:val="Style100"/>
    <w:basedOn w:val="Normal"/>
    <w:qFormat/>
    <w:pPr>
      <w:widowControl w:val="false"/>
      <w:tabs>
        <w:tab w:val="clear" w:pos="397"/>
        <w:tab w:val="left" w:pos="5103" w:leader="none"/>
      </w:tabs>
      <w:spacing w:lineRule="exact" w:line="185"/>
      <w:ind w:firstLine="525"/>
      <w:jc w:val="both"/>
    </w:pPr>
    <w:rPr>
      <w:color w:val="000000"/>
      <w:lang w:eastAsia="ru-RU"/>
    </w:rPr>
  </w:style>
  <w:style w:type="paragraph" w:styleId="ListBullet">
    <w:name w:val="List Bullet"/>
    <w:basedOn w:val="Normal"/>
    <w:uiPriority w:val="99"/>
    <w:unhideWhenUsed/>
    <w:qFormat/>
    <w:pPr>
      <w:widowControl w:val="false"/>
      <w:tabs>
        <w:tab w:val="clear" w:pos="397"/>
        <w:tab w:val="left" w:pos="643" w:leader="none"/>
        <w:tab w:val="left" w:pos="5103" w:leader="none"/>
      </w:tabs>
      <w:ind w:firstLine="709" w:left="720"/>
    </w:pPr>
    <w:rPr>
      <w:color w:val="000000"/>
      <w:lang w:eastAsia="ru-RU"/>
    </w:rPr>
  </w:style>
  <w:style w:type="paragraph" w:styleId="2113" w:customStyle="1">
    <w:name w:val="Знак21"/>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324" w:customStyle="1">
    <w:name w:val="Знак3"/>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166" w:customStyle="1">
    <w:name w:val="Знак Знак Знак1 Знак Знак Знак Знак"/>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1211" w:customStyle="1">
    <w:name w:val="Знак Знак Знак1 Знак2"/>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325" w:customStyle="1">
    <w:name w:val="3"/>
    <w:basedOn w:val="ListBullet"/>
    <w:autoRedefine/>
    <w:uiPriority w:val="99"/>
    <w:qFormat/>
    <w:pPr>
      <w:tabs>
        <w:tab w:val="left" w:pos="643" w:leader="none"/>
        <w:tab w:val="left" w:pos="1260" w:leader="none"/>
        <w:tab w:val="left" w:pos="1565" w:leader="none"/>
        <w:tab w:val="left" w:pos="5103" w:leader="none"/>
      </w:tabs>
      <w:spacing w:lineRule="auto" w:line="288"/>
      <w:ind w:hanging="180" w:left="1260"/>
    </w:pPr>
    <w:rPr>
      <w:rFonts w:eastAsia="Arial Unicode MS"/>
    </w:rPr>
  </w:style>
  <w:style w:type="paragraph" w:styleId="46" w:customStyle="1">
    <w:name w:val="4"/>
    <w:basedOn w:val="Normal"/>
    <w:uiPriority w:val="99"/>
    <w:qFormat/>
    <w:pPr>
      <w:widowControl w:val="false"/>
      <w:tabs>
        <w:tab w:val="clear" w:pos="397"/>
        <w:tab w:val="left" w:pos="638" w:leader="none"/>
        <w:tab w:val="left" w:pos="1565" w:leader="none"/>
        <w:tab w:val="left" w:pos="4678" w:leader="none"/>
        <w:tab w:val="left" w:pos="5103" w:leader="none"/>
      </w:tabs>
      <w:spacing w:lineRule="auto" w:line="360" w:before="120" w:after="120"/>
      <w:ind w:firstLine="709" w:left="638"/>
      <w:jc w:val="both"/>
    </w:pPr>
    <w:rPr>
      <w:color w:val="000000"/>
      <w:szCs w:val="20"/>
      <w:lang w:eastAsia="ru-RU"/>
    </w:rPr>
  </w:style>
  <w:style w:type="paragraph" w:styleId="ConsPlusNonformat" w:customStyle="1">
    <w:name w:val="ConsPlusNonformat"/>
    <w:qFormat/>
    <w:pPr>
      <w:widowControl/>
      <w:suppressAutoHyphens w:val="true"/>
      <w:bidi w:val="0"/>
      <w:spacing w:before="0" w:after="0"/>
      <w:jc w:val="left"/>
    </w:pPr>
    <w:rPr>
      <w:rFonts w:ascii="Courier New" w:hAnsi="Courier New" w:eastAsia="Times New Roman" w:cs="Courier New"/>
      <w:color w:val="auto"/>
      <w:kern w:val="0"/>
      <w:sz w:val="28"/>
      <w:szCs w:val="20"/>
      <w:lang w:val="ru-RU" w:eastAsia="ru-RU" w:bidi="ar-SA"/>
    </w:rPr>
  </w:style>
  <w:style w:type="paragraph" w:styleId="47" w:customStyle="1">
    <w:name w:val="Знак4"/>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1117" w:customStyle="1">
    <w:name w:val="Знак Знак Знак1 Знак Знак Знак Знак1"/>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2210" w:customStyle="1">
    <w:name w:val="Знак22"/>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1118" w:customStyle="1">
    <w:name w:val="Знак11"/>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1119" w:customStyle="1">
    <w:name w:val="Знак Знак Знак Знак11"/>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Style140" w:customStyle="1">
    <w:name w:val="Эко_№_таб"/>
    <w:basedOn w:val="Normal"/>
    <w:next w:val="Normal"/>
    <w:uiPriority w:val="99"/>
    <w:qFormat/>
    <w:pPr>
      <w:widowControl w:val="false"/>
      <w:tabs>
        <w:tab w:val="clear" w:pos="397"/>
        <w:tab w:val="left" w:pos="5103" w:leader="none"/>
      </w:tabs>
      <w:spacing w:before="120" w:after="0"/>
      <w:ind w:firstLine="709"/>
      <w:jc w:val="right"/>
    </w:pPr>
    <w:rPr>
      <w:i/>
      <w:color w:val="000000"/>
      <w:szCs w:val="20"/>
      <w:lang w:eastAsia="ru-RU"/>
    </w:rPr>
  </w:style>
  <w:style w:type="paragraph" w:styleId="167" w:customStyle="1">
    <w:name w:val="Заголовок 1 с Нум"/>
    <w:basedOn w:val="Heading1"/>
    <w:uiPriority w:val="99"/>
    <w:qFormat/>
    <w:pPr>
      <w:pageBreakBefore w:val="false"/>
      <w:numPr>
        <w:ilvl w:val="0"/>
        <w:numId w:val="0"/>
      </w:numPr>
      <w:tabs>
        <w:tab w:val="clear" w:pos="851"/>
        <w:tab w:val="left" w:pos="992" w:leader="none"/>
        <w:tab w:val="left" w:pos="5103" w:leader="none"/>
      </w:tabs>
      <w:spacing w:before="480" w:after="60"/>
      <w:ind w:firstLine="709" w:left="927"/>
      <w:jc w:val="left"/>
    </w:pPr>
    <w:rPr>
      <w:rFonts w:cs="Arial"/>
      <w:caps w:val="false"/>
      <w:smallCaps w:val="false"/>
      <w:color w:val="000000"/>
      <w:sz w:val="24"/>
      <w:szCs w:val="32"/>
      <w:lang w:eastAsia="ru-RU"/>
    </w:rPr>
  </w:style>
  <w:style w:type="paragraph" w:styleId="ConsNormal" w:customStyle="1">
    <w:name w:val="ConsNormal"/>
    <w:uiPriority w:val="99"/>
    <w:qFormat/>
    <w:pPr>
      <w:widowControl w:val="false"/>
      <w:suppressAutoHyphens w:val="true"/>
      <w:bidi w:val="0"/>
      <w:spacing w:before="0" w:after="0"/>
      <w:ind w:firstLine="720"/>
      <w:jc w:val="left"/>
    </w:pPr>
    <w:rPr>
      <w:rFonts w:ascii="Arial" w:hAnsi="Arial" w:eastAsia="Times New Roman" w:cs="Arial"/>
      <w:color w:val="auto"/>
      <w:kern w:val="0"/>
      <w:sz w:val="28"/>
      <w:szCs w:val="20"/>
      <w:lang w:val="ru-RU" w:eastAsia="ru-RU" w:bidi="ar-SA"/>
    </w:rPr>
  </w:style>
  <w:style w:type="paragraph" w:styleId="3110" w:customStyle="1">
    <w:name w:val="Знак31"/>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Style141" w:customStyle="1">
    <w:name w:val="Эко_таб"/>
    <w:basedOn w:val="Normal"/>
    <w:uiPriority w:val="99"/>
    <w:qFormat/>
    <w:pPr>
      <w:widowControl w:val="false"/>
      <w:tabs>
        <w:tab w:val="clear" w:pos="397"/>
        <w:tab w:val="left" w:pos="5103" w:leader="none"/>
      </w:tabs>
      <w:spacing w:before="120" w:after="120"/>
      <w:jc w:val="center"/>
    </w:pPr>
    <w:rPr>
      <w:b/>
      <w:i/>
      <w:color w:val="000000"/>
      <w:szCs w:val="20"/>
      <w:lang w:eastAsia="ru-RU"/>
    </w:rPr>
  </w:style>
  <w:style w:type="paragraph" w:styleId="Podzag" w:customStyle="1">
    <w:name w:val="podzag"/>
    <w:basedOn w:val="Normal"/>
    <w:uiPriority w:val="99"/>
    <w:qFormat/>
    <w:pPr>
      <w:widowControl w:val="false"/>
      <w:tabs>
        <w:tab w:val="clear" w:pos="397"/>
        <w:tab w:val="left" w:pos="5103" w:leader="none"/>
      </w:tabs>
      <w:spacing w:before="100" w:after="100"/>
    </w:pPr>
    <w:rPr>
      <w:rFonts w:ascii="Arial Unicode MS" w:hAnsi="Arial Unicode MS" w:eastAsia="Arial Unicode MS"/>
      <w:color w:val="000000"/>
      <w:szCs w:val="20"/>
      <w:lang w:eastAsia="ru-RU"/>
    </w:rPr>
  </w:style>
  <w:style w:type="paragraph" w:styleId="ConsTitle" w:customStyle="1">
    <w:name w:val="ConsTitle"/>
    <w:uiPriority w:val="99"/>
    <w:qFormat/>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1120" w:customStyle="1">
    <w:name w:val="Знак Знак Знак1 Знак1"/>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56" w:customStyle="1">
    <w:name w:val="Знак5"/>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63" w:customStyle="1">
    <w:name w:val="Знак6"/>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2114" w:customStyle="1">
    <w:name w:val="Основной текст 211"/>
    <w:basedOn w:val="Normal"/>
    <w:uiPriority w:val="99"/>
    <w:qFormat/>
    <w:pPr>
      <w:widowControl w:val="false"/>
      <w:tabs>
        <w:tab w:val="clear" w:pos="397"/>
        <w:tab w:val="left" w:pos="5103" w:leader="none"/>
      </w:tabs>
      <w:jc w:val="both"/>
    </w:pPr>
    <w:rPr>
      <w:color w:val="000000"/>
      <w:szCs w:val="20"/>
      <w:lang w:eastAsia="ru-RU"/>
    </w:rPr>
  </w:style>
  <w:style w:type="paragraph" w:styleId="Style142" w:customStyle="1">
    <w:name w:val="Содержание"/>
    <w:basedOn w:val="Normal"/>
    <w:uiPriority w:val="99"/>
    <w:qFormat/>
    <w:pPr>
      <w:widowControl w:val="false"/>
      <w:tabs>
        <w:tab w:val="clear" w:pos="397"/>
        <w:tab w:val="left" w:pos="5103" w:leader="none"/>
        <w:tab w:val="right" w:pos="9356" w:leader="dot"/>
      </w:tabs>
      <w:spacing w:lineRule="auto" w:line="360"/>
    </w:pPr>
    <w:rPr>
      <w:b/>
      <w:caps/>
      <w:color w:val="000000"/>
      <w:szCs w:val="20"/>
      <w:lang w:eastAsia="ru-RU"/>
    </w:rPr>
  </w:style>
  <w:style w:type="paragraph" w:styleId="2115" w:customStyle="1">
    <w:name w:val="Основной текст с отступом 211"/>
    <w:basedOn w:val="Normal"/>
    <w:uiPriority w:val="99"/>
    <w:qFormat/>
    <w:pPr>
      <w:widowControl w:val="false"/>
      <w:tabs>
        <w:tab w:val="clear" w:pos="397"/>
        <w:tab w:val="left" w:pos="5103" w:leader="none"/>
      </w:tabs>
      <w:spacing w:before="240" w:after="0"/>
      <w:ind w:firstLine="567"/>
      <w:jc w:val="both"/>
    </w:pPr>
    <w:rPr>
      <w:color w:val="000000"/>
      <w:sz w:val="28"/>
      <w:szCs w:val="20"/>
      <w:lang w:eastAsia="ru-RU"/>
    </w:rPr>
  </w:style>
  <w:style w:type="paragraph" w:styleId="Iacaaieaoaaeeou" w:customStyle="1">
    <w:name w:val="Iacaaiea oaaeeou"/>
    <w:basedOn w:val="BodyText"/>
    <w:uiPriority w:val="99"/>
    <w:qFormat/>
    <w:pPr>
      <w:widowControl w:val="false"/>
      <w:tabs>
        <w:tab w:val="clear" w:pos="397"/>
        <w:tab w:val="left" w:pos="5103" w:leader="none"/>
      </w:tabs>
      <w:suppressAutoHyphens w:val="false"/>
      <w:spacing w:before="0" w:after="0"/>
      <w:ind w:hanging="0" w:left="720"/>
      <w:jc w:val="center"/>
    </w:pPr>
    <w:rPr>
      <w:b/>
      <w:color w:val="000000"/>
      <w:szCs w:val="20"/>
      <w:lang w:eastAsia="ru-RU"/>
    </w:rPr>
  </w:style>
  <w:style w:type="paragraph" w:styleId="101" w:customStyle="1">
    <w:name w:val="Стиль Основной текст + по ширине Первая строка:  1 см После:  0 пт"/>
    <w:basedOn w:val="BodyText"/>
    <w:uiPriority w:val="99"/>
    <w:qFormat/>
    <w:pPr>
      <w:widowControl w:val="false"/>
      <w:tabs>
        <w:tab w:val="clear" w:pos="397"/>
        <w:tab w:val="left" w:pos="5103" w:leader="none"/>
      </w:tabs>
      <w:suppressAutoHyphens w:val="false"/>
      <w:spacing w:lineRule="auto" w:line="360" w:before="0" w:after="0"/>
    </w:pPr>
    <w:rPr>
      <w:color w:val="000000"/>
      <w:szCs w:val="20"/>
      <w:lang w:eastAsia="ru-RU"/>
    </w:rPr>
  </w:style>
  <w:style w:type="paragraph" w:styleId="Style143" w:customStyle="1">
    <w:name w:val="ВВедение"/>
    <w:basedOn w:val="Normal"/>
    <w:uiPriority w:val="99"/>
    <w:qFormat/>
    <w:pPr>
      <w:widowControl w:val="false"/>
      <w:tabs>
        <w:tab w:val="clear" w:pos="397"/>
        <w:tab w:val="left" w:pos="5103" w:leader="none"/>
      </w:tabs>
      <w:spacing w:before="120" w:after="120"/>
      <w:ind w:hanging="709" w:left="709"/>
      <w:jc w:val="both"/>
    </w:pPr>
    <w:rPr>
      <w:b/>
      <w:bCs/>
      <w:color w:val="000000"/>
      <w:sz w:val="28"/>
      <w:szCs w:val="20"/>
      <w:lang w:eastAsia="ru-RU"/>
    </w:rPr>
  </w:style>
  <w:style w:type="paragraph" w:styleId="12562" w:customStyle="1">
    <w:name w:val="Стиль По ширине Первая строка:  125 см Перед:  6 пт После:  2 пт"/>
    <w:basedOn w:val="Normal"/>
    <w:uiPriority w:val="99"/>
    <w:qFormat/>
    <w:pPr>
      <w:widowControl w:val="false"/>
      <w:tabs>
        <w:tab w:val="clear" w:pos="397"/>
        <w:tab w:val="left" w:pos="5103" w:leader="none"/>
      </w:tabs>
      <w:spacing w:before="40" w:after="40"/>
      <w:ind w:firstLine="709"/>
      <w:jc w:val="both"/>
    </w:pPr>
    <w:rPr>
      <w:color w:val="000000"/>
      <w:szCs w:val="20"/>
      <w:lang w:eastAsia="ru-RU"/>
    </w:rPr>
  </w:style>
  <w:style w:type="paragraph" w:styleId="12521" w:customStyle="1">
    <w:name w:val="Стиль По ширине Первая строка:  125 см После:  2 пт1"/>
    <w:basedOn w:val="Normal"/>
    <w:uiPriority w:val="99"/>
    <w:qFormat/>
    <w:pPr>
      <w:widowControl w:val="false"/>
      <w:tabs>
        <w:tab w:val="clear" w:pos="397"/>
        <w:tab w:val="left" w:pos="5103" w:leader="none"/>
      </w:tabs>
      <w:spacing w:before="0" w:after="40"/>
      <w:ind w:firstLine="709"/>
      <w:jc w:val="both"/>
    </w:pPr>
    <w:rPr>
      <w:color w:val="000000"/>
      <w:szCs w:val="20"/>
      <w:lang w:eastAsia="ru-RU"/>
    </w:rPr>
  </w:style>
  <w:style w:type="paragraph" w:styleId="1121" w:customStyle="1">
    <w:name w:val="Текст11"/>
    <w:basedOn w:val="Normal"/>
    <w:uiPriority w:val="99"/>
    <w:qFormat/>
    <w:pPr>
      <w:widowControl w:val="false"/>
      <w:tabs>
        <w:tab w:val="clear" w:pos="397"/>
        <w:tab w:val="left" w:pos="5103" w:leader="none"/>
      </w:tabs>
      <w:ind w:firstLine="709"/>
      <w:jc w:val="both"/>
    </w:pPr>
    <w:rPr>
      <w:color w:val="000000"/>
      <w:szCs w:val="20"/>
      <w:lang w:eastAsia="ru-RU"/>
    </w:rPr>
  </w:style>
  <w:style w:type="paragraph" w:styleId="3111" w:customStyle="1">
    <w:name w:val="Основной текст с отступом 311"/>
    <w:basedOn w:val="Normal"/>
    <w:uiPriority w:val="99"/>
    <w:qFormat/>
    <w:pPr>
      <w:widowControl w:val="false"/>
      <w:tabs>
        <w:tab w:val="clear" w:pos="397"/>
        <w:tab w:val="left" w:pos="5103" w:leader="none"/>
      </w:tabs>
      <w:ind w:firstLine="720"/>
      <w:jc w:val="both"/>
    </w:pPr>
    <w:rPr>
      <w:rFonts w:ascii="AcademyACTT" w:hAnsi="AcademyACTT"/>
      <w:color w:val="000000"/>
      <w:sz w:val="28"/>
      <w:szCs w:val="20"/>
      <w:lang w:val="en-US" w:eastAsia="ru-RU"/>
    </w:rPr>
  </w:style>
  <w:style w:type="paragraph" w:styleId="3112" w:customStyle="1">
    <w:name w:val="Основной текст 311"/>
    <w:basedOn w:val="Normal"/>
    <w:uiPriority w:val="99"/>
    <w:qFormat/>
    <w:pPr>
      <w:widowControl w:val="false"/>
      <w:tabs>
        <w:tab w:val="clear" w:pos="397"/>
        <w:tab w:val="left" w:pos="5103" w:leader="none"/>
      </w:tabs>
      <w:jc w:val="center"/>
    </w:pPr>
    <w:rPr>
      <w:b/>
      <w:color w:val="000000"/>
      <w:szCs w:val="20"/>
      <w:lang w:eastAsia="ru-RU"/>
    </w:rPr>
  </w:style>
  <w:style w:type="paragraph" w:styleId="1122" w:customStyle="1">
    <w:name w:val="Обычный (веб)11"/>
    <w:basedOn w:val="Normal"/>
    <w:uiPriority w:val="99"/>
    <w:qFormat/>
    <w:pPr>
      <w:widowControl w:val="false"/>
      <w:tabs>
        <w:tab w:val="clear" w:pos="397"/>
        <w:tab w:val="left" w:pos="5103" w:leader="none"/>
      </w:tabs>
      <w:spacing w:before="100" w:after="100"/>
    </w:pPr>
    <w:rPr>
      <w:color w:val="000000"/>
      <w:szCs w:val="20"/>
      <w:lang w:eastAsia="ru-RU"/>
    </w:rPr>
  </w:style>
  <w:style w:type="paragraph" w:styleId="168" w:customStyle="1">
    <w:name w:val="Знак Знак Знак1 Знак Знак Знак Знак Знак Знак Знак Знак Знак Знак"/>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169" w:customStyle="1">
    <w:name w:val="Знак Знак Знак1 Знак Знак Знак Знак Знак Знак Знак Знак Знак Знак Знак Знак Знак Знак Знак Знак Знак Знак Знак Знак Знак Знак Знак Знак Знак"/>
    <w:basedOn w:val="Normal"/>
    <w:next w:val="Heading2"/>
    <w:autoRedefine/>
    <w:uiPriority w:val="99"/>
    <w:qFormat/>
    <w:pPr>
      <w:widowControl w:val="false"/>
      <w:tabs>
        <w:tab w:val="clear" w:pos="397"/>
        <w:tab w:val="left" w:pos="5103" w:leader="none"/>
      </w:tabs>
      <w:spacing w:lineRule="exact" w:line="240" w:before="0" w:after="160"/>
      <w:jc w:val="right"/>
    </w:pPr>
    <w:rPr>
      <w:color w:val="000000"/>
      <w:lang w:val="en-US" w:eastAsia="en-US"/>
    </w:rPr>
  </w:style>
  <w:style w:type="paragraph" w:styleId="Style144" w:customStyle="1">
    <w:name w:val="Заголовок для СТП"/>
    <w:basedOn w:val="Normal"/>
    <w:uiPriority w:val="99"/>
    <w:qFormat/>
    <w:pPr>
      <w:widowControl w:val="false"/>
      <w:tabs>
        <w:tab w:val="clear" w:pos="397"/>
        <w:tab w:val="left" w:pos="1429" w:leader="none"/>
        <w:tab w:val="left" w:pos="5103" w:leader="none"/>
      </w:tabs>
      <w:ind w:firstLine="709" w:left="360"/>
    </w:pPr>
    <w:rPr>
      <w:color w:val="000000"/>
      <w:sz w:val="20"/>
      <w:szCs w:val="20"/>
      <w:lang w:eastAsia="ru-RU"/>
    </w:rPr>
  </w:style>
  <w:style w:type="paragraph" w:styleId="170" w:customStyle="1">
    <w:name w:val="1 Знак"/>
    <w:basedOn w:val="Normal"/>
    <w:qFormat/>
    <w:pPr>
      <w:widowControl w:val="false"/>
      <w:tabs>
        <w:tab w:val="clear" w:pos="397"/>
        <w:tab w:val="left" w:pos="5103" w:leader="none"/>
      </w:tabs>
      <w:spacing w:beforeAutospacing="1" w:afterAutospacing="1"/>
    </w:pPr>
    <w:rPr>
      <w:rFonts w:ascii="Tahoma" w:hAnsi="Tahoma"/>
      <w:color w:val="000000"/>
      <w:sz w:val="20"/>
      <w:szCs w:val="20"/>
      <w:lang w:val="en-US" w:eastAsia="en-US"/>
    </w:rPr>
  </w:style>
  <w:style w:type="paragraph" w:styleId="11111" w:customStyle="1">
    <w:name w:val="1.1.1.1_ норм"/>
    <w:basedOn w:val="Normal"/>
    <w:link w:val="1111"/>
    <w:autoRedefine/>
    <w:qFormat/>
    <w:pPr>
      <w:keepNext w:val="true"/>
      <w:widowControl w:val="false"/>
      <w:tabs>
        <w:tab w:val="clear" w:pos="397"/>
        <w:tab w:val="left" w:pos="5103" w:leader="none"/>
      </w:tabs>
      <w:spacing w:lineRule="auto" w:line="360"/>
      <w:ind w:firstLine="709"/>
      <w:jc w:val="both"/>
      <w:outlineLvl w:val="3"/>
    </w:pPr>
    <w:rPr>
      <w:bCs/>
      <w:lang w:eastAsia="ru-RU" w:bidi="en-US"/>
    </w:rPr>
  </w:style>
  <w:style w:type="paragraph" w:styleId="Style145" w:customStyle="1">
    <w:name w:val="Îáû÷íûé"/>
    <w:uiPriority w:val="99"/>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Nonformat" w:customStyle="1">
    <w:name w:val="ConsNonformat"/>
    <w:uiPriority w:val="99"/>
    <w:qFormat/>
    <w:pPr>
      <w:widowControl w:val="false"/>
      <w:suppressAutoHyphens w:val="true"/>
      <w:bidi w:val="0"/>
      <w:spacing w:before="0" w:after="0"/>
      <w:jc w:val="left"/>
    </w:pPr>
    <w:rPr>
      <w:rFonts w:ascii="Courier New" w:hAnsi="Courier New" w:eastAsia="Times New Roman" w:cs="Courier New"/>
      <w:color w:val="auto"/>
      <w:kern w:val="0"/>
      <w:sz w:val="28"/>
      <w:szCs w:val="20"/>
      <w:lang w:val="ru-RU" w:eastAsia="ru-RU" w:bidi="ar-SA"/>
    </w:rPr>
  </w:style>
  <w:style w:type="paragraph" w:styleId="BodyTextIndent21" w:customStyle="1">
    <w:name w:val="Body Text Indent 21"/>
    <w:basedOn w:val="Normal"/>
    <w:uiPriority w:val="99"/>
    <w:qFormat/>
    <w:pPr>
      <w:widowControl w:val="false"/>
      <w:tabs>
        <w:tab w:val="clear" w:pos="397"/>
        <w:tab w:val="left" w:pos="5103" w:leader="none"/>
      </w:tabs>
      <w:spacing w:before="120" w:after="0"/>
      <w:ind w:firstLine="709"/>
      <w:jc w:val="both"/>
    </w:pPr>
    <w:rPr>
      <w:color w:val="000000"/>
      <w:lang w:eastAsia="ru-RU"/>
    </w:rPr>
  </w:style>
  <w:style w:type="paragraph" w:styleId="BodyText22" w:customStyle="1">
    <w:name w:val="Body Text 22"/>
    <w:basedOn w:val="Normal"/>
    <w:uiPriority w:val="99"/>
    <w:qFormat/>
    <w:pPr>
      <w:widowControl w:val="false"/>
      <w:tabs>
        <w:tab w:val="clear" w:pos="397"/>
        <w:tab w:val="left" w:pos="5103" w:leader="none"/>
      </w:tabs>
      <w:ind w:firstLine="1418"/>
      <w:jc w:val="both"/>
    </w:pPr>
    <w:rPr>
      <w:color w:val="000000"/>
      <w:szCs w:val="20"/>
      <w:lang w:eastAsia="ru-RU"/>
    </w:rPr>
  </w:style>
  <w:style w:type="paragraph" w:styleId="Char1" w:customStyle="1">
    <w:name w:val="Char1"/>
    <w:basedOn w:val="Normal"/>
    <w:uiPriority w:val="99"/>
    <w:qFormat/>
    <w:pPr>
      <w:widowControl w:val="false"/>
      <w:tabs>
        <w:tab w:val="clear" w:pos="397"/>
        <w:tab w:val="left" w:pos="5103" w:leader="none"/>
      </w:tabs>
      <w:spacing w:beforeAutospacing="1" w:afterAutospacing="1"/>
    </w:pPr>
    <w:rPr>
      <w:rFonts w:ascii="Tahoma" w:hAnsi="Tahoma"/>
      <w:color w:val="000000"/>
      <w:sz w:val="20"/>
      <w:szCs w:val="20"/>
      <w:lang w:val="en-US" w:eastAsia="en-US"/>
    </w:rPr>
  </w:style>
  <w:style w:type="paragraph" w:styleId="Style146" w:customStyle="1">
    <w:name w:val="Список с точкой"/>
    <w:basedOn w:val="Normal"/>
    <w:uiPriority w:val="99"/>
    <w:qFormat/>
    <w:pPr>
      <w:widowControl w:val="false"/>
      <w:tabs>
        <w:tab w:val="clear" w:pos="397"/>
        <w:tab w:val="left" w:pos="900" w:leader="none"/>
        <w:tab w:val="left" w:pos="5103" w:leader="none"/>
      </w:tabs>
      <w:ind w:hanging="360" w:left="900"/>
      <w:jc w:val="both"/>
    </w:pPr>
    <w:rPr>
      <w:color w:val="000000"/>
      <w:lang w:eastAsia="ru-RU"/>
    </w:rPr>
  </w:style>
  <w:style w:type="paragraph" w:styleId="Style309" w:customStyle="1">
    <w:name w:val="Style309"/>
    <w:basedOn w:val="Normal"/>
    <w:uiPriority w:val="99"/>
    <w:qFormat/>
    <w:pPr>
      <w:widowControl w:val="false"/>
      <w:tabs>
        <w:tab w:val="clear" w:pos="397"/>
        <w:tab w:val="left" w:pos="5103" w:leader="none"/>
      </w:tabs>
      <w:spacing w:lineRule="exact" w:line="202"/>
      <w:ind w:firstLine="2083"/>
      <w:jc w:val="both"/>
    </w:pPr>
    <w:rPr>
      <w:color w:val="000000"/>
      <w:lang w:eastAsia="ru-RU"/>
    </w:rPr>
  </w:style>
  <w:style w:type="paragraph" w:styleId="Style610" w:customStyle="1">
    <w:name w:val="Style6"/>
    <w:basedOn w:val="Normal"/>
    <w:uiPriority w:val="99"/>
    <w:qFormat/>
    <w:pPr>
      <w:widowControl w:val="false"/>
      <w:tabs>
        <w:tab w:val="clear" w:pos="397"/>
        <w:tab w:val="left" w:pos="5103" w:leader="none"/>
      </w:tabs>
      <w:spacing w:lineRule="exact" w:line="216"/>
      <w:ind w:firstLine="570"/>
      <w:jc w:val="both"/>
    </w:pPr>
    <w:rPr>
      <w:color w:val="000000"/>
      <w:lang w:eastAsia="ru-RU"/>
    </w:rPr>
  </w:style>
  <w:style w:type="paragraph" w:styleId="Style621" w:customStyle="1">
    <w:name w:val="Style62"/>
    <w:basedOn w:val="Normal"/>
    <w:uiPriority w:val="99"/>
    <w:qFormat/>
    <w:pPr>
      <w:widowControl w:val="false"/>
      <w:tabs>
        <w:tab w:val="clear" w:pos="397"/>
        <w:tab w:val="left" w:pos="5103" w:leader="none"/>
      </w:tabs>
      <w:spacing w:lineRule="exact" w:line="218"/>
      <w:ind w:firstLine="588"/>
      <w:jc w:val="both"/>
    </w:pPr>
    <w:rPr>
      <w:color w:val="000000"/>
      <w:lang w:eastAsia="ru-RU"/>
    </w:rPr>
  </w:style>
  <w:style w:type="paragraph" w:styleId="Style931" w:customStyle="1">
    <w:name w:val="Style93"/>
    <w:basedOn w:val="Normal"/>
    <w:uiPriority w:val="99"/>
    <w:qFormat/>
    <w:pPr>
      <w:widowControl w:val="false"/>
      <w:tabs>
        <w:tab w:val="clear" w:pos="397"/>
        <w:tab w:val="left" w:pos="5103" w:leader="none"/>
      </w:tabs>
      <w:spacing w:lineRule="exact" w:line="217"/>
      <w:ind w:firstLine="919"/>
      <w:jc w:val="both"/>
    </w:pPr>
    <w:rPr>
      <w:color w:val="000000"/>
      <w:lang w:eastAsia="ru-RU"/>
    </w:rPr>
  </w:style>
  <w:style w:type="paragraph" w:styleId="239" w:customStyle="1">
    <w:name w:val="Основной текст с отступом 23"/>
    <w:basedOn w:val="Normal"/>
    <w:qFormat/>
    <w:pPr>
      <w:widowControl w:val="false"/>
      <w:tabs>
        <w:tab w:val="clear" w:pos="397"/>
        <w:tab w:val="left" w:pos="5103" w:leader="none"/>
      </w:tabs>
      <w:spacing w:before="240" w:after="0"/>
      <w:ind w:firstLine="567"/>
      <w:jc w:val="both"/>
    </w:pPr>
    <w:rPr>
      <w:color w:val="000000"/>
      <w:sz w:val="28"/>
      <w:szCs w:val="20"/>
      <w:lang w:eastAsia="ru-RU"/>
    </w:rPr>
  </w:style>
  <w:style w:type="paragraph" w:styleId="326" w:customStyle="1">
    <w:name w:val="Обычный3"/>
    <w:qFormat/>
    <w:pPr>
      <w:widowControl/>
      <w:suppressAutoHyphens w:val="true"/>
      <w:bidi w:val="0"/>
      <w:snapToGrid w:val="false"/>
      <w:spacing w:before="0" w:after="0"/>
      <w:jc w:val="left"/>
    </w:pPr>
    <w:rPr>
      <w:rFonts w:ascii="Times New Roman" w:hAnsi="Times New Roman" w:eastAsia="Times New Roman" w:cs="Times New Roman"/>
      <w:color w:val="auto"/>
      <w:kern w:val="0"/>
      <w:sz w:val="28"/>
      <w:szCs w:val="20"/>
      <w:lang w:val="ru-RU" w:eastAsia="ru-RU" w:bidi="ar-SA"/>
    </w:rPr>
  </w:style>
  <w:style w:type="paragraph" w:styleId="240" w:customStyle="1">
    <w:name w:val="Абзац списка2"/>
    <w:basedOn w:val="Normal"/>
    <w:qFormat/>
    <w:pPr>
      <w:widowControl w:val="false"/>
      <w:tabs>
        <w:tab w:val="clear" w:pos="397"/>
        <w:tab w:val="left" w:pos="5103" w:leader="none"/>
      </w:tabs>
      <w:spacing w:before="0" w:after="0"/>
      <w:ind w:hanging="0" w:left="720"/>
      <w:contextualSpacing/>
    </w:pPr>
    <w:rPr>
      <w:rFonts w:eastAsia="Calibri"/>
      <w:color w:val="000000"/>
      <w:lang w:eastAsia="ru-RU"/>
    </w:rPr>
  </w:style>
  <w:style w:type="paragraph" w:styleId="Titabs" w:customStyle="1">
    <w:name w:val="titabs"/>
    <w:basedOn w:val="Normal"/>
    <w:qFormat/>
    <w:pPr>
      <w:tabs>
        <w:tab w:val="clear" w:pos="397"/>
        <w:tab w:val="left" w:pos="5103" w:leader="none"/>
      </w:tabs>
      <w:suppressAutoHyphens w:val="false"/>
      <w:spacing w:beforeAutospacing="1" w:afterAutospacing="1"/>
    </w:pPr>
    <w:rPr>
      <w:lang w:eastAsia="ru-RU"/>
    </w:rPr>
  </w:style>
  <w:style w:type="paragraph" w:styleId="MTypeEquation" w:customStyle="1">
    <w:name w:val="MTypeEquation"/>
    <w:basedOn w:val="Normal"/>
    <w:next w:val="Normal"/>
    <w:qFormat/>
    <w:pPr>
      <w:tabs>
        <w:tab w:val="clear" w:pos="397"/>
        <w:tab w:val="center" w:pos="4820" w:leader="none"/>
        <w:tab w:val="left" w:pos="5103" w:leader="none"/>
        <w:tab w:val="right" w:pos="9639" w:leader="none"/>
      </w:tabs>
      <w:spacing w:lineRule="auto" w:line="360" w:before="0" w:after="120"/>
      <w:ind w:firstLine="709"/>
      <w:jc w:val="both"/>
    </w:pPr>
    <w:rPr>
      <w:sz w:val="28"/>
      <w:szCs w:val="28"/>
      <w:lang w:eastAsia="ru-RU"/>
    </w:rPr>
  </w:style>
  <w:style w:type="paragraph" w:styleId="Style147" w:customStyle="1">
    <w:name w:val="подформула"/>
    <w:basedOn w:val="Normal"/>
    <w:next w:val="Normal"/>
    <w:qFormat/>
    <w:pPr>
      <w:tabs>
        <w:tab w:val="clear" w:pos="397"/>
        <w:tab w:val="left" w:pos="5103" w:leader="none"/>
      </w:tabs>
      <w:spacing w:lineRule="auto" w:line="360"/>
      <w:jc w:val="both"/>
    </w:pPr>
    <w:rPr>
      <w:sz w:val="28"/>
      <w:szCs w:val="20"/>
      <w:lang w:eastAsia="ru-RU"/>
    </w:rPr>
  </w:style>
  <w:style w:type="paragraph" w:styleId="Style148" w:customStyle="1">
    <w:name w:val="Название_Таблицы"/>
    <w:basedOn w:val="159"/>
    <w:qFormat/>
    <w:pPr>
      <w:keepNext w:val="true"/>
      <w:widowControl/>
      <w:spacing w:before="0" w:after="0"/>
      <w:ind w:hanging="360" w:left="1429"/>
      <w:jc w:val="left"/>
    </w:pPr>
    <w:rPr>
      <w:color w:val="auto"/>
    </w:rPr>
  </w:style>
  <w:style w:type="paragraph" w:styleId="1140" w:customStyle="1">
    <w:name w:val="Стиль Заголовок 1 + 14 пт не полужирный По ширине Перед:  0 пт ..."/>
    <w:basedOn w:val="Heading1"/>
    <w:qFormat/>
    <w:pPr>
      <w:keepNext w:val="false"/>
      <w:widowControl w:val="false"/>
      <w:numPr>
        <w:ilvl w:val="0"/>
        <w:numId w:val="0"/>
      </w:numPr>
      <w:tabs>
        <w:tab w:val="left" w:pos="851" w:leader="none"/>
        <w:tab w:val="left" w:pos="992" w:leader="none"/>
        <w:tab w:val="left" w:pos="5103" w:leader="none"/>
      </w:tabs>
      <w:spacing w:lineRule="auto" w:line="360" w:before="480" w:after="360"/>
      <w:ind w:firstLine="709" w:left="927"/>
      <w:jc w:val="both"/>
    </w:pPr>
    <w:rPr>
      <w:bCs w:val="false"/>
      <w:szCs w:val="20"/>
      <w:lang w:eastAsia="ru-RU"/>
    </w:rPr>
  </w:style>
  <w:style w:type="paragraph" w:styleId="Style149" w:customStyle="1">
    <w:name w:val="Подпункт"/>
    <w:basedOn w:val="Normal"/>
    <w:next w:val="Normal"/>
    <w:qFormat/>
    <w:pPr>
      <w:tabs>
        <w:tab w:val="clear" w:pos="397"/>
        <w:tab w:val="left" w:pos="5103" w:leader="none"/>
      </w:tabs>
      <w:spacing w:lineRule="auto" w:line="360"/>
      <w:ind w:firstLine="709"/>
      <w:jc w:val="both"/>
    </w:pPr>
    <w:rPr>
      <w:b/>
      <w:sz w:val="28"/>
      <w:szCs w:val="28"/>
      <w:lang w:eastAsia="ru-RU"/>
    </w:rPr>
  </w:style>
  <w:style w:type="paragraph" w:styleId="171" w:customStyle="1">
    <w:name w:val="Таблица заголовок 1"/>
    <w:qFormat/>
    <w:pPr>
      <w:widowControl/>
      <w:suppressAutoHyphens w:val="true"/>
      <w:bidi w:val="0"/>
      <w:spacing w:before="60" w:after="60"/>
      <w:ind w:hanging="0" w:left="-85" w:right="-85"/>
      <w:contextualSpacing/>
      <w:jc w:val="both"/>
    </w:pPr>
    <w:rPr>
      <w:rFonts w:ascii="Tahoma" w:hAnsi="Tahoma" w:eastAsia="Calibri" w:cs="Times New Roman"/>
      <w:b/>
      <w:bCs/>
      <w:color w:val="auto"/>
      <w:kern w:val="0"/>
      <w:sz w:val="16"/>
      <w:szCs w:val="16"/>
      <w:lang w:val="ru-RU" w:eastAsia="ru-RU" w:bidi="ar-SA"/>
    </w:rPr>
  </w:style>
  <w:style w:type="paragraph" w:styleId="172" w:customStyle="1">
    <w:name w:val="Таблица текст 1"/>
    <w:basedOn w:val="Normal"/>
    <w:qFormat/>
    <w:pPr>
      <w:tabs>
        <w:tab w:val="clear" w:pos="397"/>
        <w:tab w:val="left" w:pos="5103" w:leader="none"/>
      </w:tabs>
      <w:suppressAutoHyphens w:val="false"/>
      <w:spacing w:before="60" w:after="60"/>
      <w:ind w:hanging="0" w:left="-85" w:right="-85"/>
      <w:contextualSpacing/>
      <w:jc w:val="center"/>
    </w:pPr>
    <w:rPr>
      <w:rFonts w:ascii="Tahoma" w:hAnsi="Tahoma" w:eastAsia="Calibri"/>
      <w:sz w:val="16"/>
      <w:szCs w:val="20"/>
      <w:lang w:eastAsia="ru-RU"/>
    </w:rPr>
  </w:style>
  <w:style w:type="paragraph" w:styleId="102" w:customStyle="1">
    <w:name w:val="Стиль Заголовок 1 + не полужирный По ширине Перед:  0 пт После: ..."/>
    <w:basedOn w:val="Heading1"/>
    <w:qFormat/>
    <w:pPr>
      <w:keepNext w:val="false"/>
      <w:widowControl w:val="false"/>
      <w:numPr>
        <w:ilvl w:val="0"/>
        <w:numId w:val="0"/>
      </w:numPr>
      <w:tabs>
        <w:tab w:val="left" w:pos="851" w:leader="none"/>
        <w:tab w:val="left" w:pos="992" w:leader="none"/>
        <w:tab w:val="left" w:pos="5103" w:leader="none"/>
      </w:tabs>
      <w:spacing w:lineRule="auto" w:line="360" w:before="480" w:after="360"/>
      <w:ind w:firstLine="709" w:left="927"/>
      <w:jc w:val="both"/>
    </w:pPr>
    <w:rPr>
      <w:bCs w:val="false"/>
      <w:sz w:val="36"/>
      <w:szCs w:val="20"/>
      <w:lang w:eastAsia="ru-RU"/>
    </w:rPr>
  </w:style>
  <w:style w:type="paragraph" w:styleId="Style150" w:customStyle="1">
    <w:name w:val="Обычный Р"/>
    <w:basedOn w:val="Normal"/>
    <w:qFormat/>
    <w:pPr>
      <w:tabs>
        <w:tab w:val="clear" w:pos="397"/>
        <w:tab w:val="left" w:pos="5103" w:leader="none"/>
      </w:tabs>
      <w:spacing w:lineRule="auto" w:line="360" w:before="120" w:after="0"/>
      <w:ind w:firstLine="624"/>
      <w:jc w:val="both"/>
    </w:pPr>
    <w:rPr>
      <w:sz w:val="28"/>
      <w:szCs w:val="20"/>
      <w:lang w:eastAsia="ru-RU"/>
    </w:rPr>
  </w:style>
  <w:style w:type="paragraph" w:styleId="Style151" w:customStyle="1">
    <w:name w:val="Перечисление с числами"/>
    <w:basedOn w:val="Style128"/>
    <w:qFormat/>
    <w:pPr>
      <w:widowControl w:val="false"/>
    </w:pPr>
    <w:rPr/>
  </w:style>
  <w:style w:type="paragraph" w:styleId="1-1" w:customStyle="1">
    <w:name w:val="Перечисление 1-го уровня"/>
    <w:basedOn w:val="Normal"/>
    <w:qFormat/>
    <w:locked/>
    <w:pPr>
      <w:widowControl w:val="false"/>
      <w:tabs>
        <w:tab w:val="clear" w:pos="397"/>
        <w:tab w:val="left" w:pos="0" w:leader="none"/>
        <w:tab w:val="left" w:pos="709" w:leader="none"/>
        <w:tab w:val="left" w:pos="992" w:leader="none"/>
        <w:tab w:val="left" w:pos="5103" w:leader="none"/>
      </w:tabs>
      <w:spacing w:lineRule="auto" w:line="360"/>
      <w:ind w:firstLine="709"/>
      <w:jc w:val="both"/>
    </w:pPr>
    <w:rPr>
      <w:sz w:val="28"/>
      <w:szCs w:val="28"/>
      <w:lang w:eastAsia="ru-RU"/>
    </w:rPr>
  </w:style>
  <w:style w:type="paragraph" w:styleId="Formattext" w:customStyle="1">
    <w:name w:val="formattext"/>
    <w:basedOn w:val="Normal"/>
    <w:qFormat/>
    <w:pPr>
      <w:tabs>
        <w:tab w:val="clear" w:pos="397"/>
        <w:tab w:val="left" w:pos="5103" w:leader="none"/>
      </w:tabs>
      <w:suppressAutoHyphens w:val="false"/>
      <w:spacing w:beforeAutospacing="1" w:afterAutospacing="1"/>
    </w:pPr>
    <w:rPr>
      <w:lang w:eastAsia="ru-RU"/>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en-US" w:eastAsia="en-US" w:bidi="en-US"/>
    </w:rPr>
  </w:style>
  <w:style w:type="paragraph" w:styleId="Pboth" w:customStyle="1">
    <w:name w:val="pboth"/>
    <w:basedOn w:val="Normal"/>
    <w:qFormat/>
    <w:pPr>
      <w:tabs>
        <w:tab w:val="clear" w:pos="397"/>
        <w:tab w:val="left" w:pos="5103" w:leader="none"/>
      </w:tabs>
      <w:suppressAutoHyphens w:val="false"/>
      <w:spacing w:beforeAutospacing="1" w:afterAutospacing="1"/>
    </w:pPr>
    <w:rPr>
      <w:lang w:eastAsia="ru-RU"/>
    </w:rPr>
  </w:style>
  <w:style w:type="paragraph" w:styleId="ConsPlusDocList" w:customStyle="1">
    <w:name w:val="ConsPlusDocList"/>
    <w:qFormat/>
    <w:pPr>
      <w:widowControl w:val="false"/>
      <w:suppressAutoHyphens w:val="true"/>
      <w:bidi w:val="0"/>
      <w:spacing w:before="0" w:after="0"/>
      <w:jc w:val="left"/>
    </w:pPr>
    <w:rPr>
      <w:rFonts w:ascii="Calibri" w:hAnsi="Calibri" w:eastAsia="" w:cs="Calibri" w:eastAsiaTheme="minorEastAsia"/>
      <w:color w:val="auto"/>
      <w:kern w:val="0"/>
      <w:sz w:val="22"/>
      <w:szCs w:val="22"/>
      <w:lang w:val="ru-RU" w:eastAsia="ru-RU"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 w:cs="Tahoma" w:eastAsiaTheme="minorEastAsia"/>
      <w:color w:val="auto"/>
      <w:kern w:val="0"/>
      <w:sz w:val="24"/>
      <w:szCs w:val="22"/>
      <w:lang w:val="ru-RU" w:eastAsia="ru-RU"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 w:cs="Tahoma" w:eastAsiaTheme="minorEastAsia"/>
      <w:color w:val="auto"/>
      <w:kern w:val="0"/>
      <w:sz w:val="26"/>
      <w:szCs w:val="22"/>
      <w:lang w:val="ru-RU" w:eastAsia="ru-RU"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 w:cs="Arial" w:eastAsiaTheme="minorEastAsia"/>
      <w:color w:val="auto"/>
      <w:kern w:val="0"/>
      <w:sz w:val="24"/>
      <w:szCs w:val="22"/>
      <w:lang w:val="ru-RU" w:eastAsia="ru-RU" w:bidi="ar-SA"/>
    </w:rPr>
  </w:style>
  <w:style w:type="paragraph" w:styleId="Style152" w:customStyle="1">
    <w:name w:val="Другое"/>
    <w:basedOn w:val="Normal"/>
    <w:qFormat/>
    <w:pPr>
      <w:widowControl w:val="false"/>
      <w:suppressAutoHyphens w:val="false"/>
      <w:ind w:firstLine="400"/>
    </w:pPr>
    <w:rPr>
      <w:sz w:val="28"/>
      <w:szCs w:val="28"/>
      <w:lang w:eastAsia="ru-RU"/>
    </w:rPr>
  </w:style>
  <w:style w:type="numbering" w:styleId="NoList" w:default="1">
    <w:name w:val="No List"/>
    <w:uiPriority w:val="99"/>
    <w:semiHidden/>
    <w:unhideWhenUsed/>
    <w:qFormat/>
  </w:style>
  <w:style w:type="numbering" w:styleId="Style153" w:customStyle="1">
    <w:name w:val="Без списка"/>
    <w:uiPriority w:val="99"/>
    <w:semiHidden/>
    <w:unhideWhenUsed/>
    <w:qFormat/>
  </w:style>
  <w:style w:type="numbering" w:styleId="173" w:customStyle="1">
    <w:name w:val="Нет списка1"/>
    <w:uiPriority w:val="99"/>
    <w:semiHidden/>
    <w:unhideWhenUsed/>
    <w:qFormat/>
  </w:style>
  <w:style w:type="numbering" w:styleId="327" w:customStyle="1">
    <w:name w:val="Стиль3"/>
    <w:qFormat/>
  </w:style>
  <w:style w:type="numbering" w:styleId="48" w:customStyle="1">
    <w:name w:val="Стиль4"/>
    <w:qFormat/>
  </w:style>
  <w:style w:type="numbering" w:styleId="OutlineList3">
    <w:name w:val="Outline List 3"/>
    <w:qFormat/>
  </w:style>
  <w:style w:type="numbering" w:styleId="441" w:customStyle="1">
    <w:name w:val="Стиль44"/>
    <w:qFormat/>
  </w:style>
  <w:style w:type="numbering" w:styleId="1123" w:customStyle="1">
    <w:name w:val="Нет списка11"/>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ffffffffc">
    <w:name w:val="Table Grid"/>
    <w:basedOn w:val="a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f3">
    <w:name w:val="Средний список 11"/>
    <w:basedOn w:val="a4"/>
    <w:uiPriority w:val="65"/>
    <w:rPr>
      <w:lang w:eastAsia="en-US"/>
      <w:sz w:val="22"/>
      <w:szCs w:val="22"/>
    </w:rPr>
    <w:tblPr>
      <w:tblStyleRowBandSize w:val="1"/>
      <w:tblStyleColBandSize w:val="1"/>
      <w:tblBorders>
        <w:top w:val="single" w:color="000000" w:sz="8" w:space="0"/>
        <w:bottom w:val="single" w:color="000000" w:sz="8" w:space="0"/>
      </w:tblBorders>
      <w:tblCellMar>
        <w:top w:w="0" w:type="dxa"/>
        <w:left w:w="108" w:type="dxa"/>
        <w:bottom w:w="0" w:type="dxa"/>
        <w:right w:w="108" w:type="dxa"/>
      </w:tblCellMar>
    </w:tblPr>
    <w:tblStylePr w:type="firstRow">
      <w:tblPr/>
      <w:tcPr>
        <w:tcBorders>
          <w:top w:val="nil"/>
          <w:bottom w:val="single" w:color="000000" w:sz="8" w:space="0"/>
        </w:tcBorders>
      </w:tcPr>
    </w:tblStylePr>
    <w:tblStylePr w:type="lastRow">
      <w:rPr>
        <w:b/>
        <w:bCs/>
      </w:rPr>
      <w:tblPr/>
      <w:tcPr>
        <w:tcBorders>
          <w:top w:val="single" w:color="000000" w:sz="8" w:space="0"/>
          <w:bottom w:val="single" w:color="000000" w:sz="8" w:space="0"/>
        </w:tcBorders>
      </w:tcPr>
    </w:tblStylePr>
    <w:tblStylePr w:type="firstCol">
      <w:rPr>
        <w:b/>
        <w:bCs/>
      </w:rPr>
      <w:tblPr/>
    </w:tblStylePr>
    <w:tblStylePr w:type="lastCol">
      <w:rPr>
        <w:b/>
        <w:bCs/>
      </w:rPr>
      <w:tblPr/>
      <w:tcPr>
        <w:tcBorders>
          <w:top w:val="single" w:color="000000" w:sz="8" w:space="0"/>
          <w:bottom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customStyle="1" w:styleId="1ffff4">
    <w:name w:val="Сетка таблицы1"/>
    <w:basedOn w:val="a4"/>
    <w:uiPriority w:val="39"/>
    <w:rPr>
      <w:lang w:bidi="ru-RU"/>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ff8">
    <w:name w:val="Сетка таблицы2"/>
    <w:basedOn w:val="a4"/>
    <w:uiPriority w:val="9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Pr>
      <w:lang w:val="en-US" w:eastAsia="en-US"/>
      <w:sz w:val="22"/>
      <w:szCs w:val="22"/>
    </w:rPr>
    <w:tblPr>
      <w:tblCellMar>
        <w:top w:w="0" w:type="dxa"/>
        <w:left w:w="0" w:type="dxa"/>
        <w:bottom w:w="0" w:type="dxa"/>
        <w:right w:w="0" w:type="dxa"/>
      </w:tblCellMar>
    </w:tblPr>
  </w:style>
  <w:style w:type="table" w:customStyle="1" w:styleId="3fa">
    <w:name w:val="Сетка таблицы3"/>
    <w:basedOn w:val="a4"/>
    <w:uiPriority w:val="3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Таблица-сетка 1 светлая1"/>
    <w:basedOn w:val="a4"/>
    <w:uiPriority w:val="46"/>
    <w:tblPr>
      <w:tblStyleRowBandSize w:val="1"/>
      <w:tblStyleColBandSize w:val="1"/>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blPr/>
      <w:tcPr>
        <w:tcBorders>
          <w:bottom w:val="single" w:color="666666" w:sz="12" w:space="0"/>
        </w:tcBorders>
      </w:tcPr>
    </w:tblStylePr>
    <w:tblStylePr w:type="lastRow">
      <w:rPr>
        <w:b/>
        <w:bCs/>
      </w:rPr>
      <w:tblPr/>
      <w:tcPr>
        <w:tcBorders>
          <w:top w:val="double" w:color="666666" w:sz="2" w:space="0"/>
        </w:tcBorders>
      </w:tcPr>
    </w:tblStylePr>
    <w:tblStylePr w:type="firstCol">
      <w:rPr>
        <w:b/>
        <w:bCs/>
      </w:rPr>
      <w:tblPr/>
    </w:tblStylePr>
    <w:tblStylePr w:type="lastCol">
      <w:rPr>
        <w:b/>
        <w:bCs/>
      </w:rPr>
      <w:tblPr/>
    </w:tblStylePr>
  </w:style>
  <w:style w:type="table" w:customStyle="1" w:styleId="410">
    <w:name w:val="Таблица простая 41"/>
    <w:basedOn w:val="a4"/>
    <w:uiPriority w:val="44"/>
    <w:tblPr>
      <w:tblStyleRowBandSize w:val="1"/>
      <w:tblStyleColBandSize w:val="1"/>
      <w:tblCellMar>
        <w:top w:w="0" w:type="dxa"/>
        <w:left w:w="108" w:type="dxa"/>
        <w:bottom w:w="0" w:type="dxa"/>
        <w:right w:w="108" w:type="dxa"/>
      </w:tblCellMar>
    </w:tblPr>
    <w:tblStylePr w:type="firstRow">
      <w:rPr>
        <w:b/>
        <w:bCs/>
      </w:rPr>
      <w:tblPr/>
    </w:tblStylePr>
    <w:tblStylePr w:type="lastRow">
      <w:rPr>
        <w:b/>
        <w:bCs/>
      </w:rPr>
      <w:tblPr/>
    </w:tblStylePr>
    <w:tblStylePr w:type="firstCol">
      <w:rPr>
        <w:b/>
        <w:bCs/>
      </w:rPr>
      <w:tblPr/>
    </w:tblStylePr>
    <w:tblStylePr w:type="lastCol">
      <w:rPr>
        <w:b/>
        <w:bCs/>
      </w:rPr>
      <w:tblPr/>
    </w:tblStylePr>
    <w:tblStylePr w:type="band1Vert">
      <w:tblPr/>
      <w:tcPr>
        <w:shd w:val="clear" w:color="auto" w:fill="F2F2F2"/>
      </w:tcPr>
    </w:tblStylePr>
    <w:tblStylePr w:type="band1Horz">
      <w:tblPr/>
      <w:tcPr>
        <w:shd w:val="clear" w:color="auto" w:fill="F2F2F2"/>
      </w:tcPr>
    </w:tblStylePr>
  </w:style>
  <w:style w:type="table" w:customStyle="1" w:styleId="511">
    <w:name w:val="Таблица простая 51"/>
    <w:basedOn w:val="a4"/>
    <w:uiPriority w:val="45"/>
    <w:tblPr>
      <w:tblStyleRowBandSize w:val="1"/>
      <w:tblStyleColBandSize w:val="1"/>
      <w:tblCellMar>
        <w:top w:w="0" w:type="dxa"/>
        <w:left w:w="108" w:type="dxa"/>
        <w:bottom w:w="0" w:type="dxa"/>
        <w:right w:w="108" w:type="dxa"/>
      </w:tblCellMar>
    </w:tblPr>
    <w:tblStylePr w:type="firstRow">
      <w:rPr>
        <w:i/>
        <w:sz w:val="26"/>
      </w:rPr>
      <w:tblPr/>
      <w:tcPr>
        <w:tcBorders>
          <w:bottom w:val="single" w:color="7F7F7F" w:sz="4" w:space="0"/>
        </w:tcBorders>
        <w:shd w:val="clear" w:color="auto" w:fill="FFFFFF"/>
      </w:tcPr>
    </w:tblStylePr>
    <w:tblStylePr w:type="lastRow">
      <w:rPr>
        <w:i/>
        <w:sz w:val="26"/>
      </w:rPr>
      <w:tblPr/>
      <w:tcPr>
        <w:tcBorders>
          <w:top w:val="single" w:color="7F7F7F" w:sz="4" w:space="0"/>
        </w:tcBorders>
        <w:shd w:val="clear" w:color="auto" w:fill="FFFFFF"/>
      </w:tcPr>
    </w:tblStylePr>
    <w:tblStylePr w:type="firstCol">
      <w:pPr>
        <w:jc w:val="right"/>
      </w:pPr>
      <w:rPr>
        <w:i/>
        <w:sz w:val="26"/>
      </w:rPr>
      <w:tblPr/>
      <w:tcPr>
        <w:tcBorders>
          <w:right w:val="single" w:color="7F7F7F" w:sz="4" w:space="0"/>
        </w:tcBorders>
        <w:shd w:val="clear" w:color="auto" w:fill="FFFFFF"/>
      </w:tcPr>
    </w:tblStylePr>
    <w:tblStylePr w:type="lastCol">
      <w:rPr>
        <w:i/>
        <w:sz w:val="26"/>
      </w:rPr>
      <w:tblPr/>
      <w:tcPr>
        <w:tcBorders>
          <w:left w:val="single" w:color="7F7F7F" w:sz="4" w:space="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
    <w:name w:val="Таблица-сетка 1 светлая — акцент 11"/>
    <w:basedOn w:val="a4"/>
    <w:uiPriority w:val="46"/>
    <w:tblPr>
      <w:tblStyleRowBandSize w:val="1"/>
      <w:tblStyleColBandSize w:val="1"/>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CellMar>
        <w:top w:w="0" w:type="dxa"/>
        <w:left w:w="108" w:type="dxa"/>
        <w:bottom w:w="0" w:type="dxa"/>
        <w:right w:w="108" w:type="dxa"/>
      </w:tblCellMar>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Pr/>
    </w:tblStylePr>
    <w:tblStylePr w:type="lastCol">
      <w:rPr>
        <w:b/>
        <w:bCs/>
      </w:rPr>
      <w:tblPr/>
    </w:tblStylePr>
  </w:style>
  <w:style w:type="table" w:styleId="1ffff5">
    <w:name w:val="Table Columns 1"/>
    <w:basedOn w:val="a4"/>
    <w:rPr>
      <w:b/>
      <w:bCs/>
    </w:rPr>
    <w:tblPr>
      <w:tblStyleColBandSize w:val="1"/>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59">
    <w:name w:val="Table Columns 5"/>
    <w:basedOn w:val="a4"/>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tblPr/>
      <w:tcPr>
        <w:shd w:val="solid" w:color="C0C0C0" w:fill="FFFFFF"/>
      </w:tcPr>
    </w:tblStylePr>
  </w:style>
  <w:style w:type="table" w:styleId="-20">
    <w:name w:val="Table List 2"/>
    <w:basedOn w:val="a4"/>
    <w:tblPr>
      <w:tblStyleRowBandSize w:val="2"/>
      <w:tblBorders>
        <w:bottom w:val="single" w:color="808080" w:sz="12" w:space="0"/>
      </w:tblBorders>
      <w:tblCellMar>
        <w:top w:w="0" w:type="dxa"/>
        <w:left w:w="108" w:type="dxa"/>
        <w:bottom w:w="0" w:type="dxa"/>
        <w:right w:w="108" w:type="dxa"/>
      </w:tblCellMar>
    </w:tblPr>
    <w:tblStylePr w:type="firstRow">
      <w:rPr>
        <w:b/>
        <w:bCs/>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tblPr/>
      <w:tcPr>
        <w:tcBorders>
          <w:tl2br w:val="none" w:color="auto" w:sz="0" w:space="0"/>
          <w:tr2bl w:val="none" w:color="auto" w:sz="0" w:space="0"/>
        </w:tcBorders>
        <w:shd w:val="pct20" w:color="00FF00" w:fill="FFFFFF"/>
      </w:tcPr>
    </w:tblStylePr>
    <w:tblStylePr w:type="band2Horz">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7">
    <w:name w:val="Table List 7"/>
    <w:basedOn w:val="a4"/>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8">
    <w:name w:val="Table List 8"/>
    <w:basedOn w:val="a4"/>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3fb">
    <w:name w:val="Table 3D effects 3"/>
    <w:basedOn w:val="a4"/>
    <w:tblPr>
      <w:tblStyleRowBandSize w:val="1"/>
      <w:tblStyleColBandSize w:val="1"/>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afffffffffffd">
    <w:name w:val="Table Contemporary"/>
    <w:basedOn w:val="a4"/>
    <w:tblPr>
      <w:tblStyleRowBandSize w:val="1"/>
      <w:tblBorders>
        <w:insideH w:val="single" w:color="FFFFFF" w:sz="18" w:space="0"/>
        <w:insideV w:val="single" w:color="FFFFFF" w:sz="18" w:space="0"/>
      </w:tblBorders>
      <w:tblCellMar>
        <w:top w:w="0" w:type="dxa"/>
        <w:left w:w="108" w:type="dxa"/>
        <w:bottom w:w="0" w:type="dxa"/>
        <w:right w:w="108" w:type="dxa"/>
      </w:tblCellMar>
    </w:tblPr>
    <w:tblStylePr w:type="firstRow">
      <w:rPr>
        <w:b/>
        <w:bCs/>
      </w:rPr>
      <w:tblPr/>
      <w:tcPr>
        <w:tcBorders>
          <w:tl2br w:val="none" w:color="auto" w:sz="0" w:space="0"/>
          <w:tr2bl w:val="none" w:color="auto" w:sz="0" w:space="0"/>
        </w:tcBorders>
        <w:shd w:val="pct20" w:color="000000" w:fill="FFFFFF"/>
      </w:tcPr>
    </w:tblStylePr>
    <w:tblStylePr w:type="band1Horz">
      <w:tblPr/>
      <w:tcPr>
        <w:tcBorders>
          <w:tl2br w:val="none" w:color="auto" w:sz="0" w:space="0"/>
          <w:tr2bl w:val="none" w:color="auto" w:sz="0" w:space="0"/>
        </w:tcBorders>
        <w:shd w:val="pct5" w:color="000000" w:fill="FFFFFF"/>
      </w:tcPr>
    </w:tblStylePr>
    <w:tblStylePr w:type="band2Horz">
      <w:tblPr/>
      <w:tcPr>
        <w:tcBorders>
          <w:tl2br w:val="none" w:color="auto" w:sz="0" w:space="0"/>
          <w:tr2bl w:val="none" w:color="auto" w:sz="0" w:space="0"/>
        </w:tcBorders>
        <w:shd w:val="pct20" w:color="000000" w:fill="FFFFFF"/>
      </w:tcPr>
    </w:tblStylePr>
  </w:style>
  <w:style w:type="table" w:styleId="afffffffffffe">
    <w:name w:val="Table Elegant"/>
    <w:basedOn w:val="a4"/>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rPr>
      <w:tblPr/>
      <w:tcPr>
        <w:tcBorders>
          <w:tl2br w:val="none" w:color="auto" w:sz="0" w:space="0"/>
          <w:tr2bl w:val="none" w:color="auto" w:sz="0" w:space="0"/>
        </w:tcBorders>
      </w:tcPr>
    </w:tblStylePr>
  </w:style>
  <w:style w:type="table" w:styleId="1ffff6">
    <w:name w:val="Table Subtle 1"/>
    <w:basedOn w:val="a4"/>
    <w:tblPr>
      <w:tblStyleRowBandSize w:val="1"/>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0">
    <w:name w:val="Table Web 3"/>
    <w:basedOn w:val="a4"/>
    <w:tblPr>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tcPr>
    </w:tblStylePr>
  </w:style>
  <w:style w:type="table" w:customStyle="1" w:styleId="1ffff7">
    <w:name w:val="Стиль таблицы1"/>
    <w:basedOn w:val="afffffffffffc"/>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ffff8">
    <w:name w:val="Table Simple 1"/>
    <w:basedOn w:val="a4"/>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affffffffffff">
    <w:name w:val="Table Professional"/>
    <w:basedOn w:val="a4"/>
    <w:uiPriority w:val="99"/>
    <w:semiHidden/>
    <w:unhideWhenUsed/>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tblPr/>
      <w:tcPr>
        <w:tcBorders>
          <w:tl2br w:val="none" w:color="auto" w:sz="0" w:space="0"/>
          <w:tr2bl w:val="none" w:color="auto" w:sz="0" w:space="0"/>
        </w:tcBorders>
        <w:shd w:val="solid" w:color="000000" w:fill="FFFFFF"/>
      </w:tcPr>
    </w:tblStylePr>
  </w:style>
  <w:style w:type="table" w:customStyle="1" w:styleId="2ff9">
    <w:name w:val="Стиль таблицы2"/>
    <w:uiPriority w:val="99"/>
    <w:rPr>
      <w:lang w:eastAsia="en-US"/>
    </w:rPr>
    <w:tblPr>
      <w:tblCellMar>
        <w:top w:w="0" w:type="dxa"/>
        <w:left w:w="108" w:type="dxa"/>
        <w:bottom w:w="0" w:type="dxa"/>
        <w:right w:w="108" w:type="dxa"/>
      </w:tblCellMar>
    </w:tblPr>
  </w:style>
  <w:style w:type="table" w:customStyle="1" w:styleId="3fc">
    <w:name w:val="Стиль таблицы3"/>
    <w:uiPriority w:val="99"/>
    <w:rPr>
      <w:lang w:eastAsia="en-US"/>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footer" Target="footer1.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footer" Target="footer6.xml"/><Relationship Id="rId20" Type="http://schemas.openxmlformats.org/officeDocument/2006/relationships/footer" Target="footer7.xml"/><Relationship Id="rId21" Type="http://schemas.openxmlformats.org/officeDocument/2006/relationships/header" Target="header13.xml"/><Relationship Id="rId22" Type="http://schemas.openxmlformats.org/officeDocument/2006/relationships/header" Target="header14.xml"/><Relationship Id="rId23" Type="http://schemas.openxmlformats.org/officeDocument/2006/relationships/footer" Target="footer8.xml"/><Relationship Id="rId24" Type="http://schemas.openxmlformats.org/officeDocument/2006/relationships/footer" Target="footer9.xml"/><Relationship Id="rId25" Type="http://schemas.openxmlformats.org/officeDocument/2006/relationships/hyperlink" Target="https://ru.wikipedia.org/wiki/&#1050;&#1072;&#1083;&#1091;&#1078;&#1089;&#1082;&#1072;&#1103;_&#1075;&#1091;&#1073;&#1077;&#1088;&#1085;&#1080;&#1103;" TargetMode="External"/><Relationship Id="rId26" Type="http://schemas.openxmlformats.org/officeDocument/2006/relationships/hyperlink" Target="https://ru.wikipedia.org/wiki/&#1054;&#1082;&#1072;" TargetMode="External"/><Relationship Id="rId27" Type="http://schemas.openxmlformats.org/officeDocument/2006/relationships/header" Target="header15.xml"/><Relationship Id="rId28" Type="http://schemas.openxmlformats.org/officeDocument/2006/relationships/header" Target="header16.xml"/><Relationship Id="rId29" Type="http://schemas.openxmlformats.org/officeDocument/2006/relationships/footer" Target="footer10.xml"/><Relationship Id="rId30" Type="http://schemas.openxmlformats.org/officeDocument/2006/relationships/footer" Target="footer11.xml"/><Relationship Id="rId31" Type="http://schemas.openxmlformats.org/officeDocument/2006/relationships/hyperlink" Target="https://login.consultant.ru/link/?req=doc&amp;base=RLAW037&amp;n=179276&amp;dst=100011" TargetMode="External"/><Relationship Id="rId32" Type="http://schemas.openxmlformats.org/officeDocument/2006/relationships/header" Target="header17.xml"/><Relationship Id="rId33" Type="http://schemas.openxmlformats.org/officeDocument/2006/relationships/header" Target="header18.xml"/><Relationship Id="rId34" Type="http://schemas.openxmlformats.org/officeDocument/2006/relationships/footer" Target="footer12.xml"/><Relationship Id="rId35" Type="http://schemas.openxmlformats.org/officeDocument/2006/relationships/footer" Target="footer13.xml"/><Relationship Id="rId36" Type="http://schemas.openxmlformats.org/officeDocument/2006/relationships/header" Target="header19.xml"/><Relationship Id="rId37" Type="http://schemas.openxmlformats.org/officeDocument/2006/relationships/header" Target="header20.xml"/><Relationship Id="rId38" Type="http://schemas.openxmlformats.org/officeDocument/2006/relationships/footer" Target="footer14.xml"/><Relationship Id="rId39" Type="http://schemas.openxmlformats.org/officeDocument/2006/relationships/footer" Target="footer15.xml"/><Relationship Id="rId40" Type="http://schemas.openxmlformats.org/officeDocument/2006/relationships/header" Target="header21.xml"/><Relationship Id="rId41" Type="http://schemas.openxmlformats.org/officeDocument/2006/relationships/header" Target="header22.xml"/><Relationship Id="rId42" Type="http://schemas.openxmlformats.org/officeDocument/2006/relationships/footer" Target="footer16.xml"/><Relationship Id="rId43" Type="http://schemas.openxmlformats.org/officeDocument/2006/relationships/footer" Target="footer17.xml"/><Relationship Id="rId44" Type="http://schemas.openxmlformats.org/officeDocument/2006/relationships/header" Target="header23.xml"/><Relationship Id="rId45" Type="http://schemas.openxmlformats.org/officeDocument/2006/relationships/header" Target="header24.xml"/><Relationship Id="rId46" Type="http://schemas.openxmlformats.org/officeDocument/2006/relationships/footer" Target="footer18.xml"/><Relationship Id="rId47" Type="http://schemas.openxmlformats.org/officeDocument/2006/relationships/footer" Target="footer19.xml"/><Relationship Id="rId48" Type="http://schemas.openxmlformats.org/officeDocument/2006/relationships/hyperlink" Target="https://egrp365.org/reestr?egrp=40:26:000298:41" TargetMode="External"/><Relationship Id="rId49" Type="http://schemas.openxmlformats.org/officeDocument/2006/relationships/hyperlink" Target="https://egrp365.org/reestr?egrp=40:26:000000:156" TargetMode="External"/><Relationship Id="rId50" Type="http://schemas.openxmlformats.org/officeDocument/2006/relationships/hyperlink" Target="https://egrp365.org/reestr?egrp=40:26:000000:153" TargetMode="External"/><Relationship Id="rId51" Type="http://schemas.openxmlformats.org/officeDocument/2006/relationships/header" Target="header25.xml"/><Relationship Id="rId52" Type="http://schemas.openxmlformats.org/officeDocument/2006/relationships/header" Target="header26.xml"/><Relationship Id="rId53" Type="http://schemas.openxmlformats.org/officeDocument/2006/relationships/footer" Target="footer20.xml"/><Relationship Id="rId54" Type="http://schemas.openxmlformats.org/officeDocument/2006/relationships/footer" Target="footer21.xml"/><Relationship Id="rId55" Type="http://schemas.openxmlformats.org/officeDocument/2006/relationships/header" Target="header27.xml"/><Relationship Id="rId56" Type="http://schemas.openxmlformats.org/officeDocument/2006/relationships/header" Target="header28.xml"/><Relationship Id="rId57" Type="http://schemas.openxmlformats.org/officeDocument/2006/relationships/footer" Target="footer22.xml"/><Relationship Id="rId58" Type="http://schemas.openxmlformats.org/officeDocument/2006/relationships/footer" Target="footer23.xml"/><Relationship Id="rId59" Type="http://schemas.openxmlformats.org/officeDocument/2006/relationships/header" Target="header29.xml"/><Relationship Id="rId60" Type="http://schemas.openxmlformats.org/officeDocument/2006/relationships/header" Target="header30.xml"/><Relationship Id="rId61" Type="http://schemas.openxmlformats.org/officeDocument/2006/relationships/footer" Target="footer24.xml"/><Relationship Id="rId62" Type="http://schemas.openxmlformats.org/officeDocument/2006/relationships/footer" Target="footer25.xml"/><Relationship Id="rId63" Type="http://schemas.openxmlformats.org/officeDocument/2006/relationships/header" Target="header31.xml"/><Relationship Id="rId64" Type="http://schemas.openxmlformats.org/officeDocument/2006/relationships/header" Target="header32.xml"/><Relationship Id="rId65" Type="http://schemas.openxmlformats.org/officeDocument/2006/relationships/footer" Target="footer26.xml"/><Relationship Id="rId66" Type="http://schemas.openxmlformats.org/officeDocument/2006/relationships/footer" Target="footer27.xml"/><Relationship Id="rId67" Type="http://schemas.openxmlformats.org/officeDocument/2006/relationships/hyperlink" Target="http://www.skonline.ru/ya2.php?text=&#1057;&#1053;&#1080;&#1055;+2.05.06-85*+&#1052;&#1072;&#1075;&#1080;&#1089;&#1090;&#1088;&#1072;&#1083;&#1100;&#1085;&#1099;&#1077;+&#1090;&#1088;&#1091;&#1073;&#1086;&#1087;&#1088;&#1086;&#1074;&#1086;&#1076;&#1099;" TargetMode="External"/><Relationship Id="rId68" Type="http://schemas.openxmlformats.org/officeDocument/2006/relationships/hyperlink" Target="https://login.consultant.ru/link/?req=doc&amp;base=RZR&amp;n=454299&amp;dst=421" TargetMode="External"/><Relationship Id="rId69" Type="http://schemas.openxmlformats.org/officeDocument/2006/relationships/hyperlink" Target="https://login.consultant.ru/link/?req=doc&amp;base=RZR&amp;n=416265&amp;dst=100017" TargetMode="External"/><Relationship Id="rId70" Type="http://schemas.openxmlformats.org/officeDocument/2006/relationships/hyperlink" Target="https://login.consultant.ru/link/?req=doc&amp;base=RZR&amp;n=454299&amp;dst=422" TargetMode="External"/><Relationship Id="rId71" Type="http://schemas.openxmlformats.org/officeDocument/2006/relationships/hyperlink" Target="https://login.consultant.ru/link/?req=doc&amp;base=RZR&amp;n=285896&amp;dst=100009" TargetMode="External"/><Relationship Id="rId72" Type="http://schemas.openxmlformats.org/officeDocument/2006/relationships/hyperlink" Target="https://login.consultant.ru/link/?req=doc&amp;base=RZR&amp;n=454299&amp;dst=423" TargetMode="External"/><Relationship Id="rId73" Type="http://schemas.openxmlformats.org/officeDocument/2006/relationships/hyperlink" Target="https://login.consultant.ru/link/?req=doc&amp;base=RZR&amp;n=416265&amp;dst=100019" TargetMode="External"/><Relationship Id="rId74" Type="http://schemas.openxmlformats.org/officeDocument/2006/relationships/hyperlink" Target="https://login.consultant.ru/link/?req=doc&amp;base=RZR&amp;n=207750" TargetMode="External"/><Relationship Id="rId75" Type="http://schemas.openxmlformats.org/officeDocument/2006/relationships/hyperlink" Target="https://login.consultant.ru/link/?req=doc&amp;base=RZR&amp;n=454299&amp;dst=424" TargetMode="External"/><Relationship Id="rId76" Type="http://schemas.openxmlformats.org/officeDocument/2006/relationships/hyperlink" Target="https://login.consultant.ru/link/?req=doc&amp;base=RZR&amp;n=416265&amp;dst=100020" TargetMode="External"/><Relationship Id="rId77" Type="http://schemas.openxmlformats.org/officeDocument/2006/relationships/hyperlink" Target="https://login.consultant.ru/link/?req=doc&amp;base=RZR&amp;n=401975" TargetMode="External"/><Relationship Id="rId78" Type="http://schemas.openxmlformats.org/officeDocument/2006/relationships/hyperlink" Target="https://login.consultant.ru/link/?req=doc&amp;base=RZR&amp;n=461857" TargetMode="External"/><Relationship Id="rId79" Type="http://schemas.openxmlformats.org/officeDocument/2006/relationships/hyperlink" Target="https://login.consultant.ru/link/?req=doc&amp;base=RZR&amp;n=454299&amp;dst=425" TargetMode="External"/><Relationship Id="rId80" Type="http://schemas.openxmlformats.org/officeDocument/2006/relationships/hyperlink" Target="https://login.consultant.ru/link/?req=doc&amp;base=RZR&amp;n=416265&amp;dst=100021" TargetMode="External"/><Relationship Id="rId81" Type="http://schemas.openxmlformats.org/officeDocument/2006/relationships/hyperlink" Target="https://login.consultant.ru/link/?req=doc&amp;base=RZR&amp;n=454299&amp;dst=426" TargetMode="External"/><Relationship Id="rId82" Type="http://schemas.openxmlformats.org/officeDocument/2006/relationships/hyperlink" Target="https://login.consultant.ru/link/?req=doc&amp;base=RZR&amp;n=416265&amp;dst=100022" TargetMode="External"/><Relationship Id="rId83" Type="http://schemas.openxmlformats.org/officeDocument/2006/relationships/hyperlink" Target="https://login.consultant.ru/link/?req=doc&amp;base=RZR&amp;n=454299&amp;dst=558" TargetMode="External"/><Relationship Id="rId84" Type="http://schemas.openxmlformats.org/officeDocument/2006/relationships/hyperlink" Target="https://login.consultant.ru/link/?req=doc&amp;base=RZR&amp;n=416265&amp;dst=100023" TargetMode="External"/><Relationship Id="rId85" Type="http://schemas.openxmlformats.org/officeDocument/2006/relationships/hyperlink" Target="https://login.consultant.ru/link/?req=doc&amp;base=RZR&amp;n=461102&amp;dst=2067" TargetMode="External"/><Relationship Id="rId86" Type="http://schemas.openxmlformats.org/officeDocument/2006/relationships/hyperlink" Target="https://login.consultant.ru/link/?req=doc&amp;base=RZR&amp;n=461102&amp;dst=4267" TargetMode="External"/><Relationship Id="rId87" Type="http://schemas.openxmlformats.org/officeDocument/2006/relationships/hyperlink" Target="https://login.consultant.ru/link/?req=doc&amp;base=RZR&amp;n=452886&amp;dst=211" TargetMode="External"/><Relationship Id="rId88" Type="http://schemas.openxmlformats.org/officeDocument/2006/relationships/hyperlink" Target="https://login.consultant.ru/link/?req=doc&amp;base=RZR&amp;n=441707&amp;dst=100137" TargetMode="External"/><Relationship Id="rId89" Type="http://schemas.openxmlformats.org/officeDocument/2006/relationships/header" Target="header33.xml"/><Relationship Id="rId90" Type="http://schemas.openxmlformats.org/officeDocument/2006/relationships/header" Target="header34.xml"/><Relationship Id="rId91" Type="http://schemas.openxmlformats.org/officeDocument/2006/relationships/footer" Target="footer28.xml"/><Relationship Id="rId92" Type="http://schemas.openxmlformats.org/officeDocument/2006/relationships/footer" Target="footer29.xml"/><Relationship Id="rId93" Type="http://schemas.openxmlformats.org/officeDocument/2006/relationships/header" Target="header35.xml"/><Relationship Id="rId94" Type="http://schemas.openxmlformats.org/officeDocument/2006/relationships/header" Target="header36.xml"/><Relationship Id="rId95" Type="http://schemas.openxmlformats.org/officeDocument/2006/relationships/footer" Target="footer30.xml"/><Relationship Id="rId96" Type="http://schemas.openxmlformats.org/officeDocument/2006/relationships/footer" Target="footer31.xml"/><Relationship Id="rId97" Type="http://schemas.openxmlformats.org/officeDocument/2006/relationships/header" Target="header37.xml"/><Relationship Id="rId98" Type="http://schemas.openxmlformats.org/officeDocument/2006/relationships/header" Target="header38.xml"/><Relationship Id="rId99" Type="http://schemas.openxmlformats.org/officeDocument/2006/relationships/footer" Target="footer32.xml"/><Relationship Id="rId100" Type="http://schemas.openxmlformats.org/officeDocument/2006/relationships/footer" Target="footer33.xml"/><Relationship Id="rId101" Type="http://schemas.openxmlformats.org/officeDocument/2006/relationships/header" Target="header39.xml"/><Relationship Id="rId102" Type="http://schemas.openxmlformats.org/officeDocument/2006/relationships/header" Target="header40.xml"/><Relationship Id="rId103" Type="http://schemas.openxmlformats.org/officeDocument/2006/relationships/footer" Target="footer34.xml"/><Relationship Id="rId104" Type="http://schemas.openxmlformats.org/officeDocument/2006/relationships/footer" Target="footer35.xml"/><Relationship Id="rId105" Type="http://schemas.openxmlformats.org/officeDocument/2006/relationships/header" Target="header41.xml"/><Relationship Id="rId106" Type="http://schemas.openxmlformats.org/officeDocument/2006/relationships/header" Target="header42.xml"/><Relationship Id="rId107" Type="http://schemas.openxmlformats.org/officeDocument/2006/relationships/footer" Target="footer36.xml"/><Relationship Id="rId108" Type="http://schemas.openxmlformats.org/officeDocument/2006/relationships/footer" Target="footer37.xml"/><Relationship Id="rId109" Type="http://schemas.openxmlformats.org/officeDocument/2006/relationships/header" Target="header43.xml"/><Relationship Id="rId110" Type="http://schemas.openxmlformats.org/officeDocument/2006/relationships/header" Target="header44.xml"/><Relationship Id="rId111" Type="http://schemas.openxmlformats.org/officeDocument/2006/relationships/footer" Target="footer38.xml"/><Relationship Id="rId112" Type="http://schemas.openxmlformats.org/officeDocument/2006/relationships/footer" Target="footer39.xml"/><Relationship Id="rId113" Type="http://schemas.openxmlformats.org/officeDocument/2006/relationships/header" Target="header45.xml"/><Relationship Id="rId114" Type="http://schemas.openxmlformats.org/officeDocument/2006/relationships/header" Target="header46.xml"/><Relationship Id="rId115" Type="http://schemas.openxmlformats.org/officeDocument/2006/relationships/footer" Target="footer40.xml"/><Relationship Id="rId116" Type="http://schemas.openxmlformats.org/officeDocument/2006/relationships/footer" Target="footer41.xml"/><Relationship Id="rId117" Type="http://schemas.openxmlformats.org/officeDocument/2006/relationships/hyperlink" Target="https://egrp365.org/reestr?egrp=40:26:000128:30&amp;id=h0KsTI" TargetMode="External"/><Relationship Id="rId118" Type="http://schemas.openxmlformats.org/officeDocument/2006/relationships/header" Target="header47.xml"/><Relationship Id="rId119" Type="http://schemas.openxmlformats.org/officeDocument/2006/relationships/header" Target="header48.xml"/><Relationship Id="rId120" Type="http://schemas.openxmlformats.org/officeDocument/2006/relationships/footer" Target="footer42.xml"/><Relationship Id="rId121" Type="http://schemas.openxmlformats.org/officeDocument/2006/relationships/footer" Target="footer43.xml"/><Relationship Id="rId122" Type="http://schemas.openxmlformats.org/officeDocument/2006/relationships/header" Target="header49.xml"/><Relationship Id="rId123" Type="http://schemas.openxmlformats.org/officeDocument/2006/relationships/header" Target="header50.xml"/><Relationship Id="rId124" Type="http://schemas.openxmlformats.org/officeDocument/2006/relationships/footer" Target="footer44.xml"/><Relationship Id="rId125" Type="http://schemas.openxmlformats.org/officeDocument/2006/relationships/footer" Target="footer45.xml"/><Relationship Id="rId126" Type="http://schemas.openxmlformats.org/officeDocument/2006/relationships/header" Target="header51.xml"/><Relationship Id="rId127" Type="http://schemas.openxmlformats.org/officeDocument/2006/relationships/header" Target="header52.xml"/><Relationship Id="rId128" Type="http://schemas.openxmlformats.org/officeDocument/2006/relationships/footer" Target="footer46.xml"/><Relationship Id="rId129" Type="http://schemas.openxmlformats.org/officeDocument/2006/relationships/footer" Target="footer47.xml"/><Relationship Id="rId130" Type="http://schemas.openxmlformats.org/officeDocument/2006/relationships/footnotes" Target="footnotes.xml"/><Relationship Id="rId131" Type="http://schemas.openxmlformats.org/officeDocument/2006/relationships/numbering" Target="numbering.xml"/><Relationship Id="rId132" Type="http://schemas.openxmlformats.org/officeDocument/2006/relationships/fontTable" Target="fontTable.xml"/><Relationship Id="rId133" Type="http://schemas.openxmlformats.org/officeDocument/2006/relationships/settings" Target="settings.xml"/><Relationship Id="rId134" Type="http://schemas.openxmlformats.org/officeDocument/2006/relationships/theme" Target="theme/theme1.xml"/><Relationship Id="rId13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6438A-188A-4A80-A18D-DD2E86A0A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23159</TotalTime>
  <Application>LibreOffice/7.6.4.1$Windows_X86_64 LibreOffice_project/e19e193f88cd6c0525a17fb7a176ed8e6a3e2aa1</Application>
  <AppVersion>15.0000</AppVersion>
  <DocSecurity>0</DocSecurity>
  <Pages>236</Pages>
  <Words>71754</Words>
  <Characters>442053</Characters>
  <CharactersWithSpaces>500850</CharactersWithSpaces>
  <Paragraphs>14451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2022-07-19T14:19:00Z</dcterms:created>
  <dc:creator/>
  <dc:description/>
  <dc:language>ru-RU</dc:language>
  <cp:lastModifiedBy/>
  <cp:lastPrinted>2025-12-19T12:18:00Z</cp:lastPrinted>
  <dcterms:modified xsi:type="dcterms:W3CDTF">2026-06-16T16:15:58Z</dcterms:modified>
  <cp:revision>1102</cp:revision>
  <dc:subject>Территориальное планирование</dc:subject>
  <dc:title>Название_документа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y fmtid="{D5CDD505-2E9C-101B-9397-08002B2CF9AE}" pid="6" name="_DocHome">
    <vt:i4>1202553444</vt:i4>
  </property>
</Properties>
</file>