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8"/>
        <w:spacing w:lineRule="auto" w:line="240" w:before="0" w:after="0"/>
        <w:ind w:left="11339" w:hanging="0"/>
        <w:jc w:val="right"/>
        <w:rPr/>
      </w:pPr>
      <w:r>
        <w:rPr>
          <w:rFonts w:eastAsia="Times New Roman" w:cs="Times New Roman" w:ascii="Times New Roman" w:hAnsi="Times New Roman"/>
          <w:spacing w:val="-2"/>
          <w:sz w:val="20"/>
          <w:szCs w:val="20"/>
          <w:lang w:eastAsia="ar-SA"/>
        </w:rPr>
        <w:t xml:space="preserve">Приложение № 4.1 </w:t>
      </w:r>
    </w:p>
    <w:p>
      <w:pPr>
        <w:pStyle w:val="Style18"/>
        <w:spacing w:lineRule="auto" w:line="240" w:before="0" w:after="0"/>
        <w:ind w:left="11339" w:hanging="0"/>
        <w:jc w:val="right"/>
        <w:rPr/>
      </w:pPr>
      <w:r>
        <w:rPr>
          <w:rFonts w:eastAsia="Times New Roman" w:cs="Times New Roman" w:ascii="Times New Roman" w:hAnsi="Times New Roman"/>
          <w:color w:val="000000"/>
          <w:spacing w:val="-2"/>
          <w:sz w:val="20"/>
          <w:szCs w:val="20"/>
          <w:lang w:eastAsia="ar-SA"/>
        </w:rPr>
        <w:t xml:space="preserve">к Административному регламенту </w:t>
      </w:r>
    </w:p>
    <w:p>
      <w:pPr>
        <w:pStyle w:val="Style18"/>
        <w:spacing w:lineRule="auto" w:line="240" w:before="0" w:after="0"/>
        <w:ind w:left="11339" w:hanging="0"/>
        <w:jc w:val="right"/>
        <w:rPr/>
      </w:pPr>
      <w:r>
        <w:rPr>
          <w:rFonts w:eastAsia="Times New Roman" w:cs="Times New Roman" w:ascii="Times New Roman" w:hAnsi="Times New Roman"/>
          <w:color w:val="000000"/>
          <w:spacing w:val="-2"/>
          <w:sz w:val="20"/>
          <w:szCs w:val="20"/>
          <w:lang w:eastAsia="ar-SA"/>
        </w:rPr>
        <w:t>по предоставлению муниципальной услуги</w:t>
      </w:r>
    </w:p>
    <w:p>
      <w:pPr>
        <w:pStyle w:val="Style18"/>
        <w:spacing w:lineRule="auto" w:line="240" w:before="0" w:after="0"/>
        <w:ind w:left="11339" w:hanging="0"/>
        <w:rPr/>
      </w:pPr>
      <w:r>
        <w:rPr>
          <w:rFonts w:eastAsia="Times New Roman" w:cs="Times New Roman" w:ascii="Times New Roman" w:hAnsi="Times New Roman"/>
          <w:color w:val="000000"/>
          <w:spacing w:val="-2"/>
          <w:sz w:val="20"/>
          <w:szCs w:val="20"/>
          <w:lang w:eastAsia="ar-SA"/>
        </w:rPr>
        <w:t>«Предоставление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 на территории муниципального образования «Город Калуга»</w:t>
      </w:r>
    </w:p>
    <w:p>
      <w:pPr>
        <w:pStyle w:val="Normal"/>
        <w:spacing w:lineRule="auto" w:line="360"/>
        <w:jc w:val="center"/>
        <w:rPr/>
      </w:pPr>
      <w:r>
        <w:rPr/>
      </w:r>
    </w:p>
    <w:p>
      <w:pPr>
        <w:pStyle w:val="Normal"/>
        <w:spacing w:lineRule="auto" w:line="360"/>
        <w:jc w:val="center"/>
        <w:rPr/>
      </w:pPr>
      <w:r>
        <w:rPr>
          <w:b/>
          <w:bCs/>
          <w:spacing w:val="-2"/>
        </w:rPr>
        <w:t xml:space="preserve">Состав, последовательность </w:t>
      </w:r>
      <w:r>
        <w:rPr>
          <w:rFonts w:eastAsia="TimesNewRomanPS-ItalicMT" w:cs="Times New Roman" w:ascii="Times New Roman" w:hAnsi="Times New Roman"/>
          <w:b/>
          <w:bCs/>
          <w:color w:val="000000"/>
          <w:spacing w:val="-2"/>
          <w:lang w:eastAsia="ar-SA"/>
        </w:rPr>
        <w:t xml:space="preserve">и сроки выполнения административных процедур (действий) при предоставлении муниципальной услуги  </w:t>
      </w:r>
    </w:p>
    <w:p>
      <w:pPr>
        <w:pStyle w:val="Normal"/>
        <w:spacing w:lineRule="auto" w:line="360"/>
        <w:jc w:val="center"/>
        <w:rPr/>
      </w:pPr>
      <w:r>
        <w:rPr>
          <w:spacing w:val="-2"/>
        </w:rPr>
        <w:t>(</w:t>
      </w:r>
      <w:r>
        <w:rPr>
          <w:rFonts w:eastAsia="TimesNewRomanPS-ItalicMT" w:cs="Times New Roman" w:ascii="Times New Roman" w:hAnsi="Times New Roman"/>
          <w:color w:val="000000"/>
          <w:spacing w:val="-2"/>
          <w:lang w:eastAsia="ar-SA"/>
        </w:rPr>
        <w:t>в</w:t>
      </w:r>
      <w:r>
        <w:rPr>
          <w:rFonts w:cs="Times New Roman" w:ascii="Times New Roman" w:hAnsi="Times New Roman"/>
        </w:rPr>
        <w:t xml:space="preserve"> случае предоставление земельного участка, </w:t>
      </w:r>
      <w:r>
        <w:rPr>
          <w:rFonts w:cs="Times New Roman" w:ascii="Times New Roman" w:hAnsi="Times New Roman"/>
          <w:kern w:val="0"/>
          <w:lang w:bidi="ar-SA"/>
        </w:rPr>
        <w:t>для индивидуального жилищного строительства гражданам, имеющим трех и более детей)</w:t>
      </w:r>
    </w:p>
    <w:p>
      <w:pPr>
        <w:pStyle w:val="Normal"/>
        <w:tabs>
          <w:tab w:val="clear" w:pos="708"/>
          <w:tab w:val="left" w:pos="5297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5297" w:leader="none"/>
        </w:tabs>
        <w:rPr/>
      </w:pPr>
      <w:r>
        <w:rPr/>
        <w:tab/>
      </w:r>
    </w:p>
    <w:tbl>
      <w:tblPr>
        <w:tblW w:w="15592" w:type="dxa"/>
        <w:jc w:val="left"/>
        <w:tblInd w:w="-289" w:type="dxa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3"/>
        <w:gridCol w:w="2244"/>
        <w:gridCol w:w="165"/>
        <w:gridCol w:w="2950"/>
        <w:gridCol w:w="1"/>
        <w:gridCol w:w="1843"/>
        <w:gridCol w:w="166"/>
        <w:gridCol w:w="1677"/>
        <w:gridCol w:w="166"/>
        <w:gridCol w:w="2243"/>
        <w:gridCol w:w="8"/>
        <w:gridCol w:w="1835"/>
        <w:gridCol w:w="164"/>
        <w:gridCol w:w="2105"/>
      </w:tblGrid>
      <w:tr>
        <w:trPr>
          <w:trHeight w:val="446" w:hRule="atLeast"/>
        </w:trPr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false"/>
              <w:ind w:left="0" w:hanging="0"/>
              <w:jc w:val="center"/>
              <w:rPr/>
            </w:pPr>
            <w:r>
              <w:rPr>
                <w:b/>
                <w:bCs/>
              </w:rPr>
              <w:t>Основание для начала административной процедуры</w:t>
            </w:r>
          </w:p>
        </w:tc>
        <w:tc>
          <w:tcPr>
            <w:tcW w:w="3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false"/>
              <w:ind w:left="0" w:hanging="0"/>
              <w:jc w:val="center"/>
              <w:rPr/>
            </w:pPr>
            <w:r>
              <w:rPr>
                <w:b/>
                <w:bCs/>
              </w:rPr>
              <w:t>Содержание административных действий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false"/>
              <w:ind w:left="0" w:hanging="0"/>
              <w:jc w:val="center"/>
              <w:rPr/>
            </w:pPr>
            <w:r>
              <w:rPr>
                <w:b/>
                <w:bCs/>
              </w:rPr>
              <w:t>Срок выполнения административных действий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false"/>
              <w:ind w:left="0" w:hanging="0"/>
              <w:jc w:val="center"/>
              <w:rPr/>
            </w:pPr>
            <w:r>
              <w:rPr>
                <w:b/>
                <w:bCs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false"/>
              <w:ind w:left="0" w:hanging="0"/>
              <w:jc w:val="center"/>
              <w:rPr/>
            </w:pPr>
            <w:r>
              <w:rPr>
                <w:b/>
                <w:bCs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false"/>
              <w:ind w:left="0" w:hanging="0"/>
              <w:jc w:val="center"/>
              <w:rPr/>
            </w:pPr>
            <w:r>
              <w:rPr>
                <w:b/>
                <w:bCs/>
              </w:rPr>
              <w:t>Критерии принятия решения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false"/>
              <w:ind w:left="0" w:hanging="0"/>
              <w:jc w:val="center"/>
              <w:rPr/>
            </w:pPr>
            <w:r>
              <w:rPr>
                <w:b/>
                <w:bCs/>
              </w:rPr>
              <w:t>Результат административного действия, способ фиксации</w:t>
            </w:r>
          </w:p>
        </w:tc>
      </w:tr>
      <w:tr>
        <w:trPr>
          <w:trHeight w:val="89" w:hRule="atLeast"/>
        </w:trPr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false"/>
              <w:ind w:left="0" w:hanging="0"/>
              <w:jc w:val="center"/>
              <w:rPr/>
            </w:pPr>
            <w:r>
              <w:rPr>
                <w:b/>
                <w:bCs/>
              </w:rPr>
              <w:t>1</w:t>
            </w:r>
          </w:p>
        </w:tc>
        <w:tc>
          <w:tcPr>
            <w:tcW w:w="3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false"/>
              <w:ind w:left="0" w:hanging="0"/>
              <w:jc w:val="center"/>
              <w:rPr/>
            </w:pPr>
            <w:r>
              <w:rPr>
                <w:b/>
                <w:bCs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false"/>
              <w:ind w:left="0" w:hanging="0"/>
              <w:jc w:val="center"/>
              <w:rPr/>
            </w:pPr>
            <w:r>
              <w:rPr>
                <w:b/>
                <w:bCs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false"/>
              <w:ind w:left="0" w:hanging="0"/>
              <w:jc w:val="center"/>
              <w:rPr/>
            </w:pPr>
            <w:r>
              <w:rPr>
                <w:b/>
                <w:bCs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false"/>
              <w:ind w:left="0" w:hanging="0"/>
              <w:jc w:val="center"/>
              <w:rPr/>
            </w:pPr>
            <w:r>
              <w:rPr>
                <w:b/>
                <w:bCs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false"/>
              <w:ind w:left="0" w:hanging="0"/>
              <w:jc w:val="center"/>
              <w:rPr/>
            </w:pPr>
            <w:r>
              <w:rPr>
                <w:b/>
                <w:bCs/>
              </w:rPr>
              <w:t>6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false"/>
              <w:ind w:left="0" w:hanging="0"/>
              <w:jc w:val="center"/>
              <w:rPr/>
            </w:pPr>
            <w:r>
              <w:rPr>
                <w:b/>
                <w:bCs/>
              </w:rPr>
              <w:t>7</w:t>
            </w:r>
          </w:p>
        </w:tc>
      </w:tr>
      <w:tr>
        <w:trPr>
          <w:trHeight w:val="301" w:hRule="atLeast"/>
        </w:trPr>
        <w:tc>
          <w:tcPr>
            <w:tcW w:w="1559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457" w:leader="none"/>
              </w:tabs>
              <w:suppressAutoHyphens w:val="false"/>
              <w:spacing w:before="0" w:after="0"/>
              <w:contextualSpacing/>
              <w:jc w:val="center"/>
              <w:rPr/>
            </w:pPr>
            <w:r>
              <w:rPr>
                <w:rFonts w:eastAsia="TimesNewRomanPS-ItalicMT" w:cs="Times New Roman" w:ascii="Times New Roman" w:hAnsi="Times New Roman"/>
                <w:b/>
                <w:bCs/>
                <w:color w:val="000000"/>
                <w:lang w:eastAsia="en-US" w:bidi="ar-SA"/>
              </w:rPr>
              <w:t xml:space="preserve">1. </w:t>
            </w:r>
            <w:r>
              <w:rPr>
                <w:rFonts w:eastAsia="TimesNewRomanPS-ItalicMT" w:cs="Times New Roman" w:ascii="Times New Roman" w:hAnsi="Times New Roman"/>
                <w:b/>
                <w:bCs/>
                <w:color w:val="000000"/>
              </w:rPr>
              <w:t>Проверка документов и регистрация заявления</w:t>
            </w:r>
          </w:p>
        </w:tc>
      </w:tr>
      <w:tr>
        <w:trPr>
          <w:trHeight w:val="1067" w:hRule="atLeast"/>
        </w:trPr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ind w:left="0" w:hanging="0"/>
              <w:rPr>
                <w:rFonts w:eastAsia="Calibri" w:eastAsiaTheme="minorHAnsi"/>
                <w:kern w:val="0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eastAsia="en-US"/>
              </w:rPr>
              <w:t>Формирование перечня земельных участков в целях бесплатного предоставления гражданам, имеющим трех и более детей, для индивидуального жилищного строительства в соответствии с Законом Калужской области от 26.04.2012 № 275-ОЗ.</w:t>
            </w:r>
          </w:p>
        </w:tc>
        <w:tc>
          <w:tcPr>
            <w:tcW w:w="3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ind w:right="9" w:hanging="0"/>
              <w:rPr>
                <w:rFonts w:ascii="Times New Roman" w:hAnsi="Times New Roman" w:eastAsia="TimesNewRomanPS-ItalicMT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0"/>
                <w:szCs w:val="20"/>
                <w:lang w:eastAsia="en-US" w:bidi="ar-SA"/>
              </w:rPr>
              <w:t>Опубликование перечня земельных участков в приложении к газете «Калужская неделя»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false"/>
              <w:spacing w:lineRule="exact" w:line="272"/>
              <w:ind w:left="2" w:right="43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Ежеквартально не позднее 10 числа месяца, следующего за истекшим кварталом.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Отдел </w:t>
            </w:r>
            <w:r>
              <w:rPr>
                <w:rStyle w:val="Style16"/>
                <w:rFonts w:cs="Times New Roman" w:ascii="Times New Roman" w:hAnsi="Times New Roman"/>
                <w:kern w:val="0"/>
                <w:sz w:val="20"/>
                <w:szCs w:val="22"/>
                <w:lang w:eastAsia="ru-RU"/>
              </w:rPr>
              <w:t xml:space="preserve">оформления земельных участков под строительство и иные цели комитета земельных отношений </w:t>
            </w:r>
            <w:r>
              <w:rPr>
                <w:rStyle w:val="Style16"/>
                <w:rFonts w:cs="Times New Roman" w:ascii="Times New Roman" w:hAnsi="Times New Roman"/>
                <w:kern w:val="0"/>
                <w:sz w:val="20"/>
                <w:szCs w:val="22"/>
                <w:lang w:eastAsia="ru-RU"/>
              </w:rPr>
              <w:t>у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полномоченного органа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ind w:left="7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Уполномоченный орган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jc w:val="both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0"/>
                <w:szCs w:val="20"/>
                <w:lang w:eastAsia="en-US" w:bidi="ar-SA"/>
              </w:rPr>
              <w:t>Обращение заявителя в Уполномоченный орган с заявлением установленной формы о согласии на предоставление ему земельного участка из опубликованного перечня земельных участков.</w:t>
            </w:r>
          </w:p>
          <w:p>
            <w:pPr>
              <w:pStyle w:val="Normal"/>
              <w:shd w:val="clear" w:color="auto" w:fill="FFFFFF"/>
              <w:suppressAutoHyphens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hd w:val="clear" w:color="auto" w:fill="FFFFFF"/>
              <w:suppressAutoHyphens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hd w:val="clear" w:color="auto" w:fill="FFFFFF"/>
              <w:suppressAutoHyphens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1464" w:hRule="atLeast"/>
        </w:trPr>
        <w:tc>
          <w:tcPr>
            <w:tcW w:w="22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ind w:left="0" w:hanging="0"/>
              <w:rPr/>
            </w:pPr>
            <w:r>
              <w:rPr>
                <w:sz w:val="20"/>
                <w:szCs w:val="20"/>
              </w:rPr>
              <w:t>Поступление заявления согласии на предоставление земельного участка в управлении архитектуры, градостроительства и земельных отношений города Калуги (далее – уполномоченный орган</w:t>
            </w:r>
          </w:p>
        </w:tc>
        <w:tc>
          <w:tcPr>
            <w:tcW w:w="3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ind w:right="9" w:hanging="0"/>
              <w:rPr/>
            </w:pPr>
            <w:r>
              <w:rPr>
                <w:rFonts w:eastAsia="TimesNewRomanPS-ItalicMT" w:cs="Times New Roman" w:ascii="Times New Roman" w:hAnsi="Times New Roman"/>
                <w:color w:val="000000"/>
                <w:sz w:val="20"/>
                <w:szCs w:val="20"/>
              </w:rPr>
              <w:t>Прием и проверка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NewRomanPS-ItalicMT" w:cs="Times New Roman" w:ascii="Times New Roman" w:hAnsi="Times New Roman"/>
                <w:color w:val="000000"/>
                <w:sz w:val="20"/>
                <w:szCs w:val="20"/>
              </w:rPr>
              <w:t>комплектности документов на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NewRomanPS-ItalicMT" w:cs="Times New Roman" w:ascii="Times New Roman" w:hAnsi="Times New Roman"/>
                <w:color w:val="000000"/>
                <w:sz w:val="20"/>
                <w:szCs w:val="20"/>
              </w:rPr>
              <w:t>наличие/отсутствие оснований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NewRomanPS-ItalicMT" w:cs="Times New Roman" w:ascii="Times New Roman" w:hAnsi="Times New Roman"/>
                <w:color w:val="000000"/>
                <w:sz w:val="20"/>
                <w:szCs w:val="20"/>
              </w:rPr>
              <w:t>для отказа в приеме документов,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NewRomanPS-ItalicMT" w:cs="Times New Roman" w:ascii="Times New Roman" w:hAnsi="Times New Roman"/>
                <w:color w:val="000000"/>
                <w:sz w:val="20"/>
                <w:szCs w:val="20"/>
              </w:rPr>
              <w:t>предусмотренных пунктом</w:t>
            </w:r>
            <w:r>
              <w:rPr>
                <w:rFonts w:eastAsia="TimesNewRomanPS-ItalicMT" w:cs="Times New Roman" w:ascii="Times New Roman" w:hAnsi="Times New Roman"/>
                <w:sz w:val="20"/>
                <w:szCs w:val="20"/>
              </w:rPr>
              <w:t xml:space="preserve"> 2.16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NewRomanPS-ItalicMT" w:cs="Times New Roman" w:ascii="Times New Roman" w:hAnsi="Times New Roman"/>
                <w:color w:val="000000"/>
                <w:sz w:val="20"/>
                <w:szCs w:val="20"/>
              </w:rPr>
              <w:t>Административного регламента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false"/>
              <w:spacing w:lineRule="exact" w:line="272"/>
              <w:ind w:left="2" w:right="43" w:hanging="0"/>
              <w:jc w:val="center"/>
              <w:rPr/>
            </w:pPr>
            <w:r>
              <w:rPr>
                <w:sz w:val="20"/>
                <w:szCs w:val="20"/>
              </w:rPr>
              <w:t>1 рабочий день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Специалист организационно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контрольного отдела уполномоченного органа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ind w:left="7" w:hanging="0"/>
              <w:rPr/>
            </w:pPr>
            <w:r>
              <w:rPr>
                <w:sz w:val="20"/>
                <w:szCs w:val="20"/>
              </w:rPr>
              <w:t>Уполномоченный орган / ГИС</w:t>
            </w:r>
            <w:r>
              <w:rPr>
                <w:strike/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СЭД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ind w:left="0" w:hanging="0"/>
              <w:rPr/>
            </w:pPr>
            <w:r>
              <w:rPr>
                <w:sz w:val="20"/>
                <w:szCs w:val="20"/>
              </w:rPr>
              <w:t>Наличие/отсутствие оснований для отказа в приеме документов, указанных в п.2.16 Административного регламента</w:t>
            </w:r>
          </w:p>
          <w:p>
            <w:pPr>
              <w:pStyle w:val="TableParagraph"/>
              <w:widowControl w:val="false"/>
              <w:snapToGrid w:val="false"/>
              <w:ind w:left="0" w:hanging="0"/>
              <w:rPr/>
            </w:pPr>
            <w:r>
              <w:rPr>
                <w:rFonts w:eastAsia="TimesNewRomanPS-ItalicMT"/>
                <w:color w:val="000000"/>
              </w:rPr>
              <w:t>-</w:t>
            </w:r>
            <w:bookmarkStart w:id="0" w:name="_GoBack"/>
            <w:bookmarkEnd w:id="0"/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hd w:val="clear" w:color="auto" w:fill="FFFFFF"/>
              <w:suppressAutoHyphens w:val="false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Регистрация заявления и документов в ГИС//СЭД (присвоение номера и датирование); </w:t>
            </w:r>
            <w:r>
              <w:rPr>
                <w:rFonts w:eastAsia="TimesNewRomanPS-ItalicMT" w:cs="Times New Roman" w:ascii="Times New Roman" w:hAnsi="Times New Roman"/>
                <w:color w:val="000000"/>
                <w:sz w:val="20"/>
                <w:szCs w:val="20"/>
              </w:rPr>
              <w:t xml:space="preserve">Организационно-контрольный отдел уполномоченного органа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накладывает проект резолюции и направляется для исполнения специалистам уполномоченного органа, </w:t>
            </w:r>
            <w:r>
              <w:rPr>
                <w:rFonts w:eastAsia="Times New Roman" w:cs="Times New Roman" w:ascii="Times New Roman" w:hAnsi="Times New Roman"/>
                <w:color w:val="262633"/>
                <w:kern w:val="0"/>
                <w:sz w:val="20"/>
                <w:szCs w:val="20"/>
                <w:lang w:eastAsia="ru-RU" w:bidi="ar-SA"/>
              </w:rPr>
              <w:t>Направленное</w:t>
            </w:r>
          </w:p>
          <w:p>
            <w:pPr>
              <w:pStyle w:val="Normal"/>
              <w:shd w:val="clear" w:color="auto" w:fill="FFFFFF"/>
              <w:suppressAutoHyphens w:val="false"/>
              <w:rPr/>
            </w:pPr>
            <w:r>
              <w:rPr>
                <w:rFonts w:eastAsia="Times New Roman" w:cs="Times New Roman" w:ascii="Times New Roman" w:hAnsi="Times New Roman"/>
                <w:color w:val="262633"/>
                <w:kern w:val="0"/>
                <w:sz w:val="20"/>
                <w:szCs w:val="20"/>
                <w:lang w:eastAsia="ru-RU" w:bidi="ar-SA"/>
              </w:rPr>
              <w:t>заявителю</w:t>
            </w:r>
          </w:p>
          <w:p>
            <w:pPr>
              <w:pStyle w:val="Normal"/>
              <w:shd w:val="clear" w:color="auto" w:fill="FFFFFF"/>
              <w:suppressAutoHyphens w:val="false"/>
              <w:rPr/>
            </w:pPr>
            <w:r>
              <w:rPr>
                <w:rFonts w:eastAsia="Times New Roman" w:cs="Times New Roman" w:ascii="Times New Roman" w:hAnsi="Times New Roman"/>
                <w:color w:val="262633"/>
                <w:kern w:val="0"/>
                <w:sz w:val="20"/>
                <w:szCs w:val="20"/>
                <w:lang w:eastAsia="ru-RU" w:bidi="ar-SA"/>
              </w:rPr>
              <w:t>электронное</w:t>
            </w:r>
          </w:p>
          <w:p>
            <w:pPr>
              <w:pStyle w:val="Normal"/>
              <w:shd w:val="clear" w:color="auto" w:fill="FFFFFF"/>
              <w:suppressAutoHyphens w:val="false"/>
              <w:rPr/>
            </w:pPr>
            <w:r>
              <w:rPr>
                <w:rFonts w:eastAsia="Times New Roman" w:cs="Times New Roman" w:ascii="Times New Roman" w:hAnsi="Times New Roman"/>
                <w:color w:val="262633"/>
                <w:kern w:val="0"/>
                <w:sz w:val="20"/>
                <w:szCs w:val="20"/>
                <w:lang w:eastAsia="ru-RU" w:bidi="ar-SA"/>
              </w:rPr>
              <w:t>уведомление о</w:t>
            </w:r>
          </w:p>
          <w:p>
            <w:pPr>
              <w:pStyle w:val="Normal"/>
              <w:shd w:val="clear" w:color="auto" w:fill="FFFFFF"/>
              <w:suppressAutoHyphens w:val="false"/>
              <w:rPr/>
            </w:pPr>
            <w:r>
              <w:rPr>
                <w:rFonts w:eastAsia="Times New Roman" w:cs="Times New Roman" w:ascii="Times New Roman" w:hAnsi="Times New Roman"/>
                <w:color w:val="262633"/>
                <w:kern w:val="0"/>
                <w:sz w:val="20"/>
                <w:szCs w:val="20"/>
                <w:lang w:eastAsia="ru-RU" w:bidi="ar-SA"/>
              </w:rPr>
              <w:t>приеме заявления к</w:t>
            </w:r>
          </w:p>
          <w:p>
            <w:pPr>
              <w:pStyle w:val="Normal"/>
              <w:shd w:val="clear" w:color="auto" w:fill="FFFFFF"/>
              <w:suppressAutoHyphens w:val="false"/>
              <w:rPr/>
            </w:pPr>
            <w:r>
              <w:rPr>
                <w:rFonts w:eastAsia="Times New Roman" w:cs="Times New Roman" w:ascii="Times New Roman" w:hAnsi="Times New Roman"/>
                <w:color w:val="262633"/>
                <w:kern w:val="0"/>
                <w:sz w:val="20"/>
                <w:szCs w:val="20"/>
                <w:lang w:eastAsia="ru-RU" w:bidi="ar-SA"/>
              </w:rPr>
              <w:t>рассмотрению либо</w:t>
            </w:r>
          </w:p>
          <w:p>
            <w:pPr>
              <w:pStyle w:val="Normal"/>
              <w:shd w:val="clear" w:color="auto" w:fill="FFFFFF"/>
              <w:suppressAutoHyphens w:val="false"/>
              <w:rPr/>
            </w:pPr>
            <w:r>
              <w:rPr>
                <w:rFonts w:eastAsia="Times New Roman" w:cs="Times New Roman" w:ascii="Times New Roman" w:hAnsi="Times New Roman"/>
                <w:color w:val="262633"/>
                <w:kern w:val="0"/>
                <w:sz w:val="20"/>
                <w:szCs w:val="20"/>
                <w:lang w:eastAsia="ru-RU" w:bidi="ar-SA"/>
              </w:rPr>
              <w:t>отказа в приеме</w:t>
            </w:r>
          </w:p>
          <w:p>
            <w:pPr>
              <w:pStyle w:val="Normal"/>
              <w:shd w:val="clear" w:color="auto" w:fill="FFFFFF"/>
              <w:suppressAutoHyphens w:val="false"/>
              <w:rPr/>
            </w:pPr>
            <w:r>
              <w:rPr>
                <w:rFonts w:eastAsia="Times New Roman" w:cs="Times New Roman" w:ascii="Times New Roman" w:hAnsi="Times New Roman"/>
                <w:color w:val="262633"/>
                <w:kern w:val="0"/>
                <w:sz w:val="20"/>
                <w:szCs w:val="20"/>
                <w:lang w:eastAsia="ru-RU" w:bidi="ar-SA"/>
              </w:rPr>
              <w:t>заявления к</w:t>
            </w:r>
          </w:p>
          <w:p>
            <w:pPr>
              <w:pStyle w:val="Normal"/>
              <w:shd w:val="clear" w:color="auto" w:fill="FFFFFF"/>
              <w:suppressAutoHyphens w:val="false"/>
              <w:rPr/>
            </w:pPr>
            <w:r>
              <w:rPr>
                <w:rFonts w:eastAsia="Times New Roman" w:cs="Times New Roman" w:ascii="Times New Roman" w:hAnsi="Times New Roman"/>
                <w:color w:val="262633"/>
                <w:kern w:val="0"/>
                <w:sz w:val="20"/>
                <w:szCs w:val="20"/>
                <w:lang w:eastAsia="ru-RU" w:bidi="ar-SA"/>
              </w:rPr>
              <w:t>рассмотрению.</w:t>
            </w:r>
          </w:p>
          <w:p>
            <w:pPr>
              <w:pStyle w:val="Normal"/>
              <w:suppressAutoHyphens w:val="false"/>
              <w:jc w:val="both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0"/>
                <w:szCs w:val="20"/>
                <w:lang w:eastAsia="en-US" w:bidi="ar-SA"/>
              </w:rPr>
              <w:t>Формирование списка заявлений о согласии на предоставление земельного участка.</w:t>
            </w:r>
          </w:p>
          <w:p>
            <w:pPr>
              <w:pStyle w:val="TableParagraph"/>
              <w:widowControl w:val="false"/>
              <w:ind w:left="8" w:hanging="0"/>
              <w:rPr>
                <w:color w:val="262633"/>
                <w:kern w:val="0"/>
                <w:sz w:val="20"/>
                <w:szCs w:val="20"/>
                <w:lang w:eastAsia="ru-RU"/>
              </w:rPr>
            </w:pPr>
            <w:r>
              <w:rPr>
                <w:color w:val="262633"/>
                <w:kern w:val="0"/>
                <w:sz w:val="20"/>
                <w:szCs w:val="20"/>
                <w:lang w:eastAsia="ru-RU"/>
              </w:rPr>
            </w:r>
          </w:p>
        </w:tc>
      </w:tr>
      <w:tr>
        <w:trPr>
          <w:trHeight w:val="733" w:hRule="atLeast"/>
        </w:trPr>
        <w:tc>
          <w:tcPr>
            <w:tcW w:w="2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false"/>
              <w:snapToGrid w:val="false"/>
              <w:ind w:left="0" w:hanging="0"/>
              <w:rPr>
                <w:color w:val="262633"/>
                <w:kern w:val="0"/>
                <w:sz w:val="20"/>
                <w:szCs w:val="20"/>
                <w:lang w:eastAsia="ru-RU"/>
              </w:rPr>
            </w:pPr>
            <w:r>
              <w:rPr>
                <w:color w:val="262633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3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ind w:right="9" w:hanging="0"/>
              <w:rPr/>
            </w:pPr>
            <w:r>
              <w:rPr>
                <w:rFonts w:eastAsia="TimesNewRomanPS-ItalicMT" w:cs="Times New Roman" w:ascii="Times New Roman" w:hAnsi="Times New Roman"/>
                <w:color w:val="000000"/>
                <w:sz w:val="20"/>
                <w:szCs w:val="20"/>
              </w:rPr>
              <w:t xml:space="preserve">В случае выявления оснований для отказа в приеме документов, направление заявителю в электронной форме в личный кабинет на ЕПГУ уведомления </w:t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false"/>
              <w:snapToGrid w:val="false"/>
              <w:spacing w:lineRule="exact" w:line="270"/>
              <w:ind w:left="2" w:right="43" w:hanging="0"/>
              <w:jc w:val="center"/>
              <w:rPr/>
            </w:pPr>
            <w:r>
              <w:rPr/>
            </w:r>
          </w:p>
        </w:tc>
        <w:tc>
          <w:tcPr>
            <w:tcW w:w="184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uppressAutoHyphens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40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false"/>
              <w:snapToGrid w:val="false"/>
              <w:ind w:left="7" w:hanging="0"/>
              <w:rPr>
                <w:rFonts w:eastAsia="TimesNewRomanPS-ItalicMT"/>
                <w:color w:val="000000"/>
                <w:sz w:val="20"/>
                <w:szCs w:val="20"/>
              </w:rPr>
            </w:pPr>
            <w:r>
              <w:rPr>
                <w:rFonts w:eastAsia="TimesNewRomanPS-ItalicMT"/>
                <w:color w:val="000000"/>
                <w:sz w:val="20"/>
                <w:szCs w:val="20"/>
              </w:rPr>
            </w:r>
          </w:p>
        </w:tc>
        <w:tc>
          <w:tcPr>
            <w:tcW w:w="1843" w:type="dxa"/>
            <w:gridSpan w:val="2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napToGrid w:val="false"/>
              <w:ind w:left="0" w:hanging="0"/>
              <w:rPr>
                <w:rFonts w:eastAsia="TimesNewRomanPS-ItalicMT"/>
                <w:color w:val="000000"/>
                <w:sz w:val="20"/>
                <w:szCs w:val="20"/>
              </w:rPr>
            </w:pPr>
            <w:r>
              <w:rPr>
                <w:rFonts w:eastAsia="TimesNewRomanPS-ItalicMT"/>
                <w:color w:val="000000"/>
                <w:sz w:val="20"/>
                <w:szCs w:val="20"/>
              </w:rPr>
            </w:r>
          </w:p>
        </w:tc>
        <w:tc>
          <w:tcPr>
            <w:tcW w:w="226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false"/>
              <w:snapToGrid w:val="false"/>
              <w:ind w:left="8" w:hanging="0"/>
              <w:rPr>
                <w:rFonts w:eastAsia="TimesNewRomanPS-ItalicMT"/>
                <w:color w:val="000000"/>
                <w:sz w:val="20"/>
                <w:szCs w:val="20"/>
              </w:rPr>
            </w:pPr>
            <w:r>
              <w:rPr>
                <w:rFonts w:eastAsia="TimesNewRomanPS-ItalicMT"/>
                <w:color w:val="000000"/>
                <w:sz w:val="20"/>
                <w:szCs w:val="20"/>
              </w:rPr>
            </w:r>
          </w:p>
        </w:tc>
      </w:tr>
      <w:tr>
        <w:trPr>
          <w:trHeight w:val="701" w:hRule="atLeast"/>
        </w:trPr>
        <w:tc>
          <w:tcPr>
            <w:tcW w:w="2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false"/>
              <w:snapToGrid w:val="false"/>
              <w:ind w:left="0" w:hanging="0"/>
              <w:rPr>
                <w:rFonts w:eastAsia="TimesNewRomanPS-ItalicMT"/>
                <w:color w:val="000000"/>
              </w:rPr>
            </w:pPr>
            <w:r>
              <w:rPr>
                <w:rFonts w:eastAsia="TimesNewRomanPS-ItalicMT"/>
                <w:color w:val="000000"/>
              </w:rPr>
            </w:r>
          </w:p>
        </w:tc>
        <w:tc>
          <w:tcPr>
            <w:tcW w:w="3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ind w:right="9" w:hanging="0"/>
              <w:rPr/>
            </w:pPr>
            <w:r>
              <w:rPr>
                <w:rFonts w:eastAsia="TimesNewRomanPS-ItalicMT" w:cs="Times New Roman" w:ascii="Times New Roman" w:hAnsi="Times New Roman"/>
                <w:color w:val="000000"/>
                <w:sz w:val="20"/>
                <w:szCs w:val="20"/>
              </w:rPr>
              <w:t>В случае отсутствия оснований для отказа в приеме документов, предусмотренных пунк</w:t>
            </w:r>
            <w:r>
              <w:rPr>
                <w:rFonts w:eastAsia="TimesNewRomanPS-ItalicMT" w:cs="Times New Roman" w:ascii="Times New Roman" w:hAnsi="Times New Roman"/>
                <w:sz w:val="20"/>
                <w:szCs w:val="20"/>
              </w:rPr>
              <w:t xml:space="preserve">том 2.16 </w:t>
            </w:r>
            <w:r>
              <w:rPr>
                <w:rFonts w:eastAsia="TimesNewRomanPS-ItalicMT" w:cs="Times New Roman" w:ascii="Times New Roman" w:hAnsi="Times New Roman"/>
                <w:color w:val="000000"/>
                <w:sz w:val="20"/>
                <w:szCs w:val="20"/>
              </w:rPr>
              <w:t>Административного регламента, регистрация заявления в электронной базе данных по учету документов</w:t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false"/>
              <w:snapToGrid w:val="false"/>
              <w:spacing w:lineRule="exact" w:line="270"/>
              <w:ind w:left="2" w:right="43" w:hanging="0"/>
              <w:rPr/>
            </w:pPr>
            <w:r>
              <w:rPr/>
            </w:r>
          </w:p>
        </w:tc>
        <w:tc>
          <w:tcPr>
            <w:tcW w:w="184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uppressAutoHyphens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4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false"/>
              <w:snapToGrid w:val="false"/>
              <w:ind w:left="7" w:hanging="0"/>
              <w:rPr/>
            </w:pPr>
            <w:r>
              <w:rPr/>
            </w:r>
          </w:p>
        </w:tc>
        <w:tc>
          <w:tcPr>
            <w:tcW w:w="1843" w:type="dxa"/>
            <w:gridSpan w:val="2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napToGrid w:val="false"/>
              <w:ind w:left="0" w:hanging="0"/>
              <w:rPr>
                <w:rFonts w:eastAsia="TimesNewRomanPS-ItalicMT"/>
                <w:color w:val="000000"/>
                <w:sz w:val="20"/>
                <w:szCs w:val="20"/>
              </w:rPr>
            </w:pPr>
            <w:r>
              <w:rPr>
                <w:rFonts w:eastAsia="TimesNewRomanPS-ItalicMT"/>
                <w:color w:val="000000"/>
                <w:sz w:val="20"/>
                <w:szCs w:val="20"/>
              </w:rPr>
            </w:r>
          </w:p>
        </w:tc>
        <w:tc>
          <w:tcPr>
            <w:tcW w:w="226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false"/>
              <w:snapToGrid w:val="false"/>
              <w:ind w:left="8" w:hanging="0"/>
              <w:rPr>
                <w:rFonts w:eastAsia="TimesNewRomanPS-ItalicMT"/>
                <w:color w:val="000000"/>
                <w:sz w:val="20"/>
                <w:szCs w:val="20"/>
              </w:rPr>
            </w:pPr>
            <w:r>
              <w:rPr>
                <w:rFonts w:eastAsia="TimesNewRomanPS-ItalicMT"/>
                <w:color w:val="000000"/>
                <w:sz w:val="20"/>
                <w:szCs w:val="20"/>
              </w:rPr>
            </w:r>
          </w:p>
        </w:tc>
      </w:tr>
      <w:tr>
        <w:trPr>
          <w:trHeight w:val="692" w:hRule="atLeast"/>
        </w:trPr>
        <w:tc>
          <w:tcPr>
            <w:tcW w:w="22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false"/>
              <w:snapToGrid w:val="false"/>
              <w:ind w:left="0" w:hanging="0"/>
              <w:rPr>
                <w:rFonts w:eastAsia="TimesNewRomanPS-ItalicMT"/>
                <w:color w:val="000000"/>
              </w:rPr>
            </w:pPr>
            <w:r>
              <w:rPr>
                <w:rFonts w:eastAsia="TimesNewRomanPS-ItalicMT"/>
                <w:color w:val="000000"/>
              </w:rPr>
            </w:r>
          </w:p>
        </w:tc>
        <w:tc>
          <w:tcPr>
            <w:tcW w:w="3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NewRomanPS-ItalicMT" w:cs="Times New Roman" w:ascii="Times New Roman" w:hAnsi="Times New Roman"/>
                <w:color w:val="000000"/>
                <w:sz w:val="20"/>
                <w:szCs w:val="20"/>
              </w:rPr>
              <w:t>Проверка заявления и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NewRomanPS-ItalicMT" w:cs="Times New Roman" w:ascii="Times New Roman" w:hAnsi="Times New Roman"/>
                <w:color w:val="000000"/>
                <w:sz w:val="20"/>
                <w:szCs w:val="20"/>
              </w:rPr>
              <w:t>документов представленных для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NewRomanPS-ItalicMT" w:cs="Times New Roman" w:ascii="Times New Roman" w:hAnsi="Times New Roman"/>
                <w:color w:val="000000"/>
                <w:sz w:val="20"/>
                <w:szCs w:val="20"/>
              </w:rPr>
              <w:t>получения муниципальной</w:t>
            </w:r>
          </w:p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Fonts w:eastAsia="TimesNewRomanPS-ItalicMT" w:cs="Times New Roman" w:ascii="Times New Roman" w:hAnsi="Times New Roman"/>
                <w:color w:val="000000"/>
                <w:sz w:val="20"/>
                <w:szCs w:val="20"/>
              </w:rPr>
              <w:t>услуги</w:t>
            </w:r>
          </w:p>
          <w:p>
            <w:pPr>
              <w:pStyle w:val="Normal"/>
              <w:widowControl w:val="false"/>
              <w:snapToGrid w:val="false"/>
              <w:ind w:right="9" w:hanging="0"/>
              <w:rPr>
                <w:rFonts w:ascii="Times New Roman" w:hAnsi="Times New Roman" w:eastAsia="TimesNewRomanPS-ItalicMT" w:cs="Times New Roman"/>
                <w:color w:val="000000"/>
                <w:sz w:val="20"/>
                <w:szCs w:val="20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843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false"/>
              <w:snapToGrid w:val="false"/>
              <w:spacing w:lineRule="exact" w:line="270"/>
              <w:ind w:left="2" w:right="43" w:hanging="0"/>
              <w:jc w:val="center"/>
              <w:rPr>
                <w:rFonts w:eastAsia="TimesNewRomanPS-ItalicMT"/>
                <w:color w:val="000000"/>
                <w:sz w:val="20"/>
                <w:szCs w:val="20"/>
              </w:rPr>
            </w:pPr>
            <w:r>
              <w:rPr>
                <w:rFonts w:eastAsia="TimesNewRomanPS-ItalicMT"/>
                <w:color w:val="000000"/>
                <w:sz w:val="20"/>
                <w:szCs w:val="20"/>
              </w:rPr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uppressAutoHyphens w:val="false"/>
              <w:snapToGrid w:val="false"/>
              <w:jc w:val="both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Специалист организационно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контрольного отдела уполномоченного органа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false"/>
              <w:snapToGrid w:val="false"/>
              <w:ind w:left="7" w:hanging="0"/>
              <w:rPr/>
            </w:pPr>
            <w:r>
              <w:rPr>
                <w:sz w:val="20"/>
                <w:szCs w:val="20"/>
              </w:rPr>
              <w:t>Уполномоченный орган / ГИС</w:t>
            </w:r>
            <w:r>
              <w:rPr>
                <w:strike/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СЭД</w:t>
            </w:r>
          </w:p>
        </w:tc>
        <w:tc>
          <w:tcPr>
            <w:tcW w:w="184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false"/>
              <w:snapToGrid w:val="false"/>
              <w:ind w:left="0" w:hanging="0"/>
              <w:rPr/>
            </w:pPr>
            <w:r>
              <w:rPr/>
            </w:r>
          </w:p>
        </w:tc>
        <w:tc>
          <w:tcPr>
            <w:tcW w:w="226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false"/>
              <w:snapToGrid w:val="false"/>
              <w:ind w:left="8" w:hanging="0"/>
              <w:rPr>
                <w:rFonts w:eastAsia="TimesNewRomanPS-ItalicMT"/>
                <w:color w:val="000000"/>
              </w:rPr>
            </w:pPr>
            <w:r>
              <w:rPr>
                <w:rFonts w:eastAsia="TimesNewRomanPS-ItalicMT"/>
                <w:color w:val="000000"/>
              </w:rPr>
            </w:r>
          </w:p>
        </w:tc>
      </w:tr>
      <w:tr>
        <w:trPr>
          <w:trHeight w:val="252" w:hRule="atLeast"/>
        </w:trPr>
        <w:tc>
          <w:tcPr>
            <w:tcW w:w="23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Times New Roman" w:hAnsi="Times New Roman" w:eastAsia="TimesNewRomanPS-ItalicMT" w:cs="Times New Roman"/>
                <w:color w:val="000000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</w:rPr>
            </w:r>
          </w:p>
        </w:tc>
        <w:tc>
          <w:tcPr>
            <w:tcW w:w="1556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jc w:val="center"/>
              <w:rPr/>
            </w:pPr>
            <w:r>
              <w:rPr>
                <w:b/>
                <w:bCs/>
              </w:rPr>
              <w:t>2. Проведение проверки на соответствие (несоответствие) гражданина требованиям. установленным Законом Калужской области от 26.04.2012 N 275-ОЗ "О случаях и порядке бесплатного предоставления в Калужской области земельных участков гражданам, имеющим трех и более детей"</w:t>
            </w:r>
          </w:p>
        </w:tc>
      </w:tr>
      <w:tr>
        <w:trPr>
          <w:trHeight w:val="2162" w:hRule="atLeast"/>
        </w:trPr>
        <w:tc>
          <w:tcPr>
            <w:tcW w:w="23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Поступление заявления                                о согласии на предоставление земельного участка из перечня земельных участков должностному лицу, ответственному за предоставление муниципальной услуги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 w:bidi="ar-SA"/>
              </w:rPr>
              <w:t xml:space="preserve">Определение очередности предоставления земельного участка гражданину в соответствии с очередностью постановки на учет и занесения данного гражданина в список-реестр в порядке, утвержденном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eastAsia="ru-RU" w:bidi="ar-SA"/>
              </w:rPr>
              <w:t>постановлением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eastAsia="ru-RU" w:bidi="ar-SA"/>
              </w:rPr>
              <w:t xml:space="preserve"> Правительства Калужской об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 w:bidi="ar-SA"/>
              </w:rPr>
              <w:t>ласти от 25.09.2012 N 485 "О мерах по реализации статьи 5 Закона Калужской области "О случаях и порядке бесплатного предоставления в Калужской области земельных участков гражданам, имеющим трех и более детей".</w:t>
            </w:r>
          </w:p>
          <w:p>
            <w:pPr>
              <w:pStyle w:val="TableParagraph"/>
              <w:widowControl w:val="false"/>
              <w:ind w:lef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 w:bidi="ar-SA"/>
              </w:rPr>
              <w:t>3 рабочих дня</w:t>
            </w:r>
          </w:p>
          <w:p>
            <w:pPr>
              <w:pStyle w:val="TableParagraph"/>
              <w:widowControl w:val="false"/>
              <w:ind w:lef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ind w:left="0" w:hanging="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sz w:val="20"/>
                <w:szCs w:val="20"/>
              </w:rPr>
              <w:t>Специалист организационно-контрольного отдела уполномоченного органа</w:t>
            </w:r>
          </w:p>
        </w:tc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ind w:left="0" w:hanging="0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Уполномоченный орган / ГИС</w:t>
            </w:r>
            <w:r>
              <w:rPr>
                <w:strike/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СЭД</w:t>
            </w:r>
          </w:p>
        </w:tc>
        <w:tc>
          <w:tcPr>
            <w:tcW w:w="1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jc w:val="both"/>
              <w:rPr>
                <w:rFonts w:ascii="Times New Roman" w:hAnsi="Times New Roman" w:eastAsia="Calibri" w:cs="Times New Roman" w:eastAsiaTheme="minorHAnsi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2"/>
                <w:szCs w:val="22"/>
                <w:lang w:eastAsia="en-US" w:bidi="ar-SA"/>
              </w:rPr>
              <w:t xml:space="preserve">Установления очередности предоставления земельного участка гражданину </w:t>
            </w:r>
          </w:p>
          <w:p>
            <w:pPr>
              <w:pStyle w:val="TableParagraph"/>
              <w:widowControl w:val="false"/>
              <w:ind w:lef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162" w:hRule="atLeast"/>
        </w:trPr>
        <w:tc>
          <w:tcPr>
            <w:tcW w:w="23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2409" w:type="dxa"/>
            <w:gridSpan w:val="2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ind w:left="0" w:hanging="0"/>
              <w:rPr/>
            </w:pPr>
            <w:r>
              <w:rPr>
                <w:sz w:val="22"/>
                <w:szCs w:val="22"/>
              </w:rPr>
              <w:t>Направление межведомственных запросов в органы и организации, указанные в пункте 2.3 Административного регламента</w:t>
            </w:r>
          </w:p>
        </w:tc>
        <w:tc>
          <w:tcPr>
            <w:tcW w:w="2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ind w:left="0" w:hanging="0"/>
              <w:jc w:val="center"/>
              <w:rPr/>
            </w:pPr>
            <w:r>
              <w:rPr/>
              <w:t>В течение 10 рабочих дней после установления очередности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ind w:left="0" w:hanging="0"/>
              <w:rPr/>
            </w:pPr>
            <w:r>
              <w:rPr>
                <w:color w:val="000000"/>
                <w:kern w:val="0"/>
                <w:sz w:val="22"/>
                <w:szCs w:val="22"/>
              </w:rPr>
              <w:t>специалист организационно-контрольного отдела уполномоченного органа</w:t>
            </w:r>
          </w:p>
        </w:tc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ind w:left="0" w:hanging="0"/>
              <w:rPr/>
            </w:pPr>
            <w:r>
              <w:rPr>
                <w:sz w:val="22"/>
                <w:szCs w:val="22"/>
              </w:rPr>
              <w:t>Уполномоченный орган/ГИС/СМЭВ</w:t>
            </w:r>
          </w:p>
        </w:tc>
        <w:tc>
          <w:tcPr>
            <w:tcW w:w="1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rPr/>
            </w:pPr>
            <w:r>
              <w:rPr>
                <w:sz w:val="22"/>
                <w:szCs w:val="22"/>
              </w:rPr>
              <w:t>Необходимость Проведение проверки на соответствие (несоответствие) гражданина требованиям, установленным Законом Калужской области от 26.04.2012 N 275-ОЗ</w:t>
            </w:r>
          </w:p>
          <w:p>
            <w:pPr>
              <w:pStyle w:val="TableParagraph"/>
              <w:widowControl w:val="false"/>
              <w:ind w:left="0" w:hanging="0"/>
              <w:rPr/>
            </w:pPr>
            <w:r>
              <w:rPr>
                <w:sz w:val="22"/>
                <w:szCs w:val="22"/>
              </w:rPr>
              <w:t>"О случаях и порядке бесплатного предоставления в Калужской области земельных участков гражданам, имеющим трех и более детей"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ind w:left="0" w:hanging="0"/>
              <w:rPr/>
            </w:pPr>
            <w:r>
              <w:rPr>
                <w:sz w:val="22"/>
                <w:szCs w:val="22"/>
              </w:rPr>
              <w:t>Направление межведомственного запроса в органы (организации), предо</w:t>
            </w:r>
            <w:r>
              <w:rPr>
                <w:color w:val="000000"/>
                <w:sz w:val="22"/>
                <w:szCs w:val="22"/>
              </w:rPr>
              <w:t xml:space="preserve">ставляющие документы </w:t>
            </w:r>
            <w:r>
              <w:rPr>
                <w:sz w:val="22"/>
                <w:szCs w:val="22"/>
              </w:rPr>
              <w:t>(сведения), предусмотренные пунктами 2.13</w:t>
            </w:r>
          </w:p>
          <w:p>
            <w:pPr>
              <w:pStyle w:val="TableParagraph"/>
              <w:widowControl w:val="false"/>
              <w:ind w:left="0" w:hanging="0"/>
              <w:rPr/>
            </w:pPr>
            <w:r>
              <w:rPr>
                <w:sz w:val="22"/>
                <w:szCs w:val="22"/>
              </w:rPr>
              <w:t>Административ</w:t>
            </w:r>
            <w:r>
              <w:rPr>
                <w:color w:val="000000"/>
                <w:sz w:val="22"/>
                <w:szCs w:val="22"/>
              </w:rPr>
              <w:t xml:space="preserve">ного </w:t>
            </w:r>
            <w:r>
              <w:rPr>
                <w:sz w:val="22"/>
                <w:szCs w:val="22"/>
              </w:rPr>
              <w:t>регламента, в том числе с использованием СМЭВ</w:t>
            </w:r>
          </w:p>
        </w:tc>
      </w:tr>
      <w:tr>
        <w:trPr>
          <w:trHeight w:val="79" w:hRule="atLeast"/>
        </w:trPr>
        <w:tc>
          <w:tcPr>
            <w:tcW w:w="23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409" w:type="dxa"/>
            <w:gridSpan w:val="2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ind w:left="0" w:hanging="0"/>
              <w:rPr/>
            </w:pPr>
            <w:r>
              <w:rPr>
                <w:sz w:val="22"/>
                <w:szCs w:val="22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ind w:left="0" w:hanging="0"/>
              <w:jc w:val="center"/>
              <w:rPr/>
            </w:pPr>
            <w:r>
              <w:rPr>
                <w:sz w:val="22"/>
                <w:szCs w:val="22"/>
              </w:rPr>
              <w:t xml:space="preserve">48 часов с момента направления межведомственного запроса в орган или организацию, </w:t>
            </w:r>
            <w:r>
              <w:rPr>
                <w:color w:val="000000"/>
                <w:sz w:val="22"/>
                <w:szCs w:val="22"/>
              </w:rPr>
              <w:t>подпункте 2.3. административного регламента, ес</w:t>
            </w:r>
            <w:r>
              <w:rPr>
                <w:sz w:val="22"/>
                <w:szCs w:val="22"/>
              </w:rPr>
              <w:t xml:space="preserve">ли иные сроки не предусмотрены законодательством РФ </w:t>
            </w:r>
          </w:p>
          <w:p>
            <w:pPr>
              <w:pStyle w:val="TableParagraph"/>
              <w:widowControl w:val="false"/>
              <w:ind w:lef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napToGrid w:val="false"/>
              <w:ind w:lef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ind w:left="0" w:hanging="0"/>
              <w:rPr/>
            </w:pPr>
            <w:r>
              <w:rPr>
                <w:b/>
                <w:bCs/>
                <w:sz w:val="22"/>
                <w:szCs w:val="22"/>
              </w:rPr>
              <w:t>Уполномоченный орган/ГИС/СМЭВ</w:t>
            </w:r>
          </w:p>
        </w:tc>
        <w:tc>
          <w:tcPr>
            <w:tcW w:w="1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false"/>
              <w:snapToGrid w:val="false"/>
              <w:ind w:left="0" w:hanging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ind w:left="0" w:hanging="0"/>
              <w:rPr/>
            </w:pPr>
            <w:r>
              <w:rPr>
                <w:sz w:val="22"/>
                <w:szCs w:val="22"/>
              </w:rPr>
              <w:t>Получение документов (сведений), необходимых для предоставления муниципальной услуги</w:t>
            </w:r>
          </w:p>
        </w:tc>
      </w:tr>
      <w:tr>
        <w:trPr>
          <w:trHeight w:val="79" w:hRule="atLeast"/>
        </w:trPr>
        <w:tc>
          <w:tcPr>
            <w:tcW w:w="23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556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3.  </w:t>
            </w:r>
            <w:r>
              <w:rPr>
                <w:rFonts w:eastAsia="TimesNewRomanPS-ItalicMT" w:cs="Times New Roman" w:ascii="Times New Roman" w:hAnsi="Times New Roman"/>
                <w:b/>
                <w:bCs/>
                <w:color w:val="000000"/>
              </w:rPr>
              <w:t>Рассмотрение документов и сведений</w:t>
            </w:r>
          </w:p>
        </w:tc>
      </w:tr>
      <w:tr>
        <w:trPr>
          <w:trHeight w:val="461" w:hRule="atLeast"/>
        </w:trPr>
        <w:tc>
          <w:tcPr>
            <w:tcW w:w="23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eastAsia="ru-RU" w:bidi="ar-SA"/>
              </w:rPr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napToGrid w:val="false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Поступление необходимой информации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jc w:val="both"/>
              <w:rPr>
                <w:rFonts w:ascii="Times New Roman" w:hAnsi="Times New Roman" w:eastAsia="Calibri" w:cs="Times New Roman" w:eastAsiaTheme="minorHAnsi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2"/>
                <w:szCs w:val="22"/>
                <w:lang w:eastAsia="en-US" w:bidi="ar-SA"/>
              </w:rPr>
              <w:t>Подготовка проекта приказа о соответствии заявителя требованиям для предоставления заявителю земельного участка в собственность бесплатно</w:t>
            </w:r>
          </w:p>
          <w:p>
            <w:pPr>
              <w:pStyle w:val="Normal"/>
              <w:suppressAutoHyphens w:val="false"/>
              <w:jc w:val="both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 w:bidi="ar-SA"/>
              </w:rPr>
            </w:r>
          </w:p>
        </w:tc>
        <w:tc>
          <w:tcPr>
            <w:tcW w:w="2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ind w:left="0" w:hanging="0"/>
              <w:jc w:val="center"/>
              <w:rPr/>
            </w:pPr>
            <w:r>
              <w:rPr>
                <w:sz w:val="22"/>
                <w:szCs w:val="22"/>
              </w:rPr>
              <w:t xml:space="preserve">2  рабочих дня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ind w:left="0" w:hanging="0"/>
              <w:rPr/>
            </w:pPr>
            <w:r>
              <w:rPr>
                <w:color w:val="000000"/>
                <w:kern w:val="0"/>
                <w:sz w:val="22"/>
                <w:szCs w:val="22"/>
              </w:rPr>
              <w:t>специалист организационно-контрольного отдела</w:t>
            </w:r>
          </w:p>
        </w:tc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ind w:left="0" w:hanging="0"/>
              <w:rPr/>
            </w:pPr>
            <w:r>
              <w:rPr>
                <w:sz w:val="22"/>
                <w:szCs w:val="22"/>
              </w:rPr>
              <w:t>Уполномоченный орган/ГИС/СМЭВ</w:t>
            </w:r>
          </w:p>
        </w:tc>
        <w:tc>
          <w:tcPr>
            <w:tcW w:w="1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ind w:left="0" w:hanging="0"/>
              <w:rPr/>
            </w:pPr>
            <w:r>
              <w:rPr/>
              <w:t>Наличие или отсутствие оснований для предоставления</w:t>
            </w:r>
          </w:p>
          <w:p>
            <w:pPr>
              <w:pStyle w:val="TableParagraph"/>
              <w:widowControl w:val="false"/>
              <w:suppressAutoHyphens w:val="false"/>
              <w:snapToGrid w:val="false"/>
              <w:ind w:left="0" w:hanging="0"/>
              <w:rPr>
                <w:sz w:val="22"/>
                <w:szCs w:val="22"/>
              </w:rPr>
            </w:pPr>
            <w:r>
              <w:rPr/>
              <w:t>муниципальной услуги, указанных в пункте 2.21 административного регламента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jc w:val="both"/>
              <w:rPr/>
            </w:pPr>
            <w:r>
              <w:rPr>
                <w:rFonts w:eastAsia="TimesNewRomanPS-ItalicMT" w:cs="Times New Roman" w:ascii="Times New Roman" w:hAnsi="Times New Roman"/>
                <w:color w:val="000000"/>
              </w:rPr>
              <w:t>Приказ о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 w:bidi="ar-SA"/>
              </w:rPr>
              <w:t xml:space="preserve"> соответствии заявителя требованиям для предоставления заявителю земельного участка в собственность бесплатно</w:t>
            </w:r>
            <w:r>
              <w:rPr>
                <w:rFonts w:eastAsia="TimesNewRomanPS-ItalicMT" w:cs="Times New Roman" w:ascii="Times New Roman" w:hAnsi="Times New Roman"/>
                <w:color w:val="000000"/>
              </w:rPr>
              <w:t xml:space="preserve"> </w:t>
            </w:r>
          </w:p>
        </w:tc>
      </w:tr>
      <w:tr>
        <w:trPr>
          <w:trHeight w:val="259" w:hRule="atLeast"/>
        </w:trPr>
        <w:tc>
          <w:tcPr>
            <w:tcW w:w="23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Times New Roman" w:hAnsi="Times New Roman" w:eastAsia="TimesNewRomanPS-ItalicMT" w:cs="Times New Roman"/>
                <w:color w:val="000000"/>
                <w:sz w:val="22"/>
                <w:szCs w:val="22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556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jc w:val="center"/>
              <w:rPr/>
            </w:pPr>
            <w:r>
              <w:rPr>
                <w:rFonts w:eastAsia="TimesNewRomanPS-ItalicMT" w:cs="Times New Roman" w:ascii="Times New Roman" w:hAnsi="Times New Roman"/>
                <w:b/>
                <w:bCs/>
                <w:color w:val="000000"/>
              </w:rPr>
              <w:t>4. Принятие решения о предоставлении земельного участка</w:t>
            </w:r>
          </w:p>
        </w:tc>
      </w:tr>
      <w:tr>
        <w:trPr>
          <w:trHeight w:val="1453" w:hRule="atLeast"/>
        </w:trPr>
        <w:tc>
          <w:tcPr>
            <w:tcW w:w="23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Times New Roman" w:hAnsi="Times New Roman" w:eastAsia="TimesNewRomanPS-ItalicMT" w:cs="Times New Roman"/>
                <w:color w:val="000000"/>
                <w:kern w:val="0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0"/>
              </w:rPr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NewRomanPS-ItalicMT" w:cs="Times New Roman" w:ascii="Times New Roman" w:hAnsi="Times New Roman"/>
                <w:color w:val="000000"/>
              </w:rPr>
              <w:t>Поступление приказа о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eastAsia="ru-RU" w:bidi="ar-SA"/>
              </w:rPr>
              <w:t xml:space="preserve"> соответствии заявителя требованиям для предоставления заявителю земельного участка в собственность бесплатно</w:t>
            </w:r>
            <w:r>
              <w:rPr>
                <w:rFonts w:eastAsia="TimesNewRomanPS-ItalicMT" w:cs="Times New Roman" w:ascii="Times New Roman" w:hAnsi="Times New Roman"/>
                <w:color w:val="000000"/>
              </w:rPr>
              <w:t xml:space="preserve">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NewRomanPS-ItalicMT" w:cs="Times New Roman" w:ascii="Times New Roman" w:hAnsi="Times New Roman"/>
                <w:color w:val="000000"/>
              </w:rPr>
              <w:t>Принятие решения о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NewRomanPS-ItalicMT" w:cs="Times New Roman" w:ascii="Times New Roman" w:hAnsi="Times New Roman"/>
                <w:color w:val="000000"/>
              </w:rPr>
              <w:t>предоставления муниципальной услуги или об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NewRomanPS-ItalicMT" w:cs="Times New Roman" w:ascii="Times New Roman" w:hAnsi="Times New Roman"/>
                <w:color w:val="000000"/>
              </w:rPr>
              <w:t>отказе в предоставлении услуги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NewRomanPS-ItalicMT" w:cs="Times New Roman"/>
                <w:color w:val="000000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</w:rPr>
            </w:r>
          </w:p>
        </w:tc>
        <w:tc>
          <w:tcPr>
            <w:tcW w:w="2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NewRomanPS-ItalicMT" w:cs="Times New Roman" w:ascii="Times New Roman" w:hAnsi="Times New Roman"/>
                <w:color w:val="000000"/>
              </w:rPr>
              <w:t>14 рабочих дней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kern w:val="0"/>
                <w:lang w:eastAsia="ru-RU" w:bidi="ar-SA"/>
              </w:rPr>
              <w:t>отдел оформления земельных участков под строительство и иные цели</w:t>
            </w:r>
            <w:r>
              <w:rPr/>
              <w:t xml:space="preserve"> уполномоченного органа </w:t>
            </w:r>
          </w:p>
          <w:p>
            <w:pPr>
              <w:pStyle w:val="TableParagraph"/>
              <w:widowControl w:val="false"/>
              <w:ind w:left="0" w:hanging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</w:r>
          </w:p>
        </w:tc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napToGrid w:val="false"/>
              <w:ind w:left="0" w:hanging="0"/>
              <w:rPr>
                <w:kern w:val="0"/>
                <w:lang w:eastAsia="ru-RU"/>
              </w:rPr>
            </w:pPr>
            <w:r>
              <w:rPr>
                <w:sz w:val="22"/>
                <w:szCs w:val="22"/>
              </w:rPr>
              <w:t>Уполномоченный орган/ГИС/СМЭВ</w:t>
            </w:r>
          </w:p>
        </w:tc>
        <w:tc>
          <w:tcPr>
            <w:tcW w:w="1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  <w:t>-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jc w:val="both"/>
              <w:rPr/>
            </w:pPr>
            <w:r>
              <w:rPr>
                <w:kern w:val="0"/>
              </w:rPr>
              <w:t xml:space="preserve">Подготовка проекта </w:t>
            </w:r>
            <w:r>
              <w:rPr>
                <w:rFonts w:eastAsia="Times New Roman" w:cs="Times New Roman" w:ascii="Times New Roman" w:hAnsi="Times New Roman"/>
                <w:kern w:val="0"/>
                <w:lang w:eastAsia="ru-RU" w:bidi="ar-SA"/>
              </w:rPr>
              <w:t>распоряжения заместителя Городского Головы - начальника Управления о предоставлении в собственность бесплатно земельного участка, акта приема-передачи земельного участка.</w:t>
            </w:r>
          </w:p>
          <w:p>
            <w:pPr>
              <w:pStyle w:val="TableParagraph"/>
              <w:widowControl w:val="false"/>
              <w:ind w:left="0" w:hanging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NewRomanPS-ItalicMT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  <w:kern w:val="0"/>
                <w:lang w:eastAsia="ru-RU" w:bidi="ar-SA"/>
              </w:rPr>
            </w:r>
          </w:p>
        </w:tc>
      </w:tr>
      <w:tr>
        <w:trPr>
          <w:trHeight w:val="77" w:hRule="atLeast"/>
        </w:trPr>
        <w:tc>
          <w:tcPr>
            <w:tcW w:w="23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Times New Roman" w:hAnsi="Times New Roman" w:eastAsia="TimesNewRomanPS-ItalicMT" w:cs="Times New Roman"/>
                <w:color w:val="000000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</w:rPr>
            </w:r>
          </w:p>
        </w:tc>
        <w:tc>
          <w:tcPr>
            <w:tcW w:w="1556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>
                <w:rFonts w:eastAsia="TimesNewRomanPS-ItalicMT" w:cs="Times New Roman" w:ascii="Times New Roman" w:hAnsi="Times New Roman"/>
                <w:b/>
                <w:bCs/>
                <w:color w:val="000000"/>
              </w:rPr>
              <w:t>5. Выдача результата</w:t>
            </w:r>
          </w:p>
        </w:tc>
      </w:tr>
      <w:tr>
        <w:trPr>
          <w:trHeight w:val="2458" w:hRule="atLeast"/>
        </w:trPr>
        <w:tc>
          <w:tcPr>
            <w:tcW w:w="23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/>
            </w:pPr>
            <w:r>
              <w:rPr>
                <w:rFonts w:eastAsia="TimesNewRomanPS-ItalicMT" w:cs="Times New Roman" w:ascii="Times New Roman" w:hAnsi="Times New Roman"/>
                <w:color w:val="000000"/>
              </w:rPr>
              <w:t>Формирование и</w:t>
            </w:r>
          </w:p>
          <w:p>
            <w:pPr>
              <w:pStyle w:val="Normal"/>
              <w:suppressAutoHyphens w:val="false"/>
              <w:jc w:val="both"/>
              <w:rPr/>
            </w:pPr>
            <w:r>
              <w:rPr>
                <w:rFonts w:eastAsia="TimesNewRomanPS-ItalicMT" w:cs="Times New Roman" w:ascii="Times New Roman" w:hAnsi="Times New Roman"/>
                <w:color w:val="000000"/>
              </w:rPr>
              <w:t xml:space="preserve">регистрация </w:t>
            </w:r>
            <w:r>
              <w:rPr>
                <w:rFonts w:eastAsia="Times New Roman" w:cs="Times New Roman" w:ascii="Times New Roman" w:hAnsi="Times New Roman"/>
                <w:kern w:val="0"/>
                <w:lang w:eastAsia="ru-RU" w:bidi="ar-SA"/>
              </w:rPr>
              <w:t>распоряжения заместителя Городского Головы - начальника Управления о предоставлении в собственность бесплатно земельного участка, акта приема-передачи земельного участка.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/>
            </w:pPr>
            <w:r>
              <w:rPr>
                <w:rFonts w:eastAsia="TimesNewRomanPS-ItalicMT" w:cs="Times New Roman" w:ascii="Times New Roman" w:hAnsi="Times New Roman"/>
                <w:color w:val="000000"/>
              </w:rPr>
              <w:t>Регистрация результата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/>
            </w:pPr>
            <w:r>
              <w:rPr>
                <w:rFonts w:eastAsia="TimesNewRomanPS-ItalicMT" w:cs="Times New Roman" w:ascii="Times New Roman" w:hAnsi="Times New Roman"/>
                <w:color w:val="000000"/>
              </w:rPr>
              <w:t>предоставления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/>
            </w:pPr>
            <w:r>
              <w:rPr>
                <w:rFonts w:eastAsia="TimesNewRomanPS-ItalicMT" w:cs="Times New Roman" w:ascii="Times New Roman" w:hAnsi="Times New Roman"/>
                <w:color w:val="000000"/>
              </w:rPr>
              <w:t>муниципальной услуги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kern w:val="0"/>
                <w:lang w:eastAsia="ru-RU" w:bidi="ar-SA"/>
              </w:rPr>
              <w:t>5 рабочих дней со дня принятия решения.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eastAsia="ru-RU" w:bidi="ar-SA"/>
              </w:rPr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jc w:val="both"/>
              <w:rPr/>
            </w:pPr>
            <w:r>
              <w:rPr>
                <w:rFonts w:eastAsia="TimesNewRomanPS-ItalicMT" w:cs="Times New Roman" w:ascii="Times New Roman" w:hAnsi="Times New Roman"/>
                <w:color w:val="000000"/>
              </w:rPr>
              <w:t>Организационно-контрольный отдел уполномоченного органа,</w:t>
            </w:r>
            <w:r>
              <w:rPr>
                <w:rFonts w:eastAsia="Times New Roman" w:cs="Times New Roman" w:ascii="Times New Roman" w:hAnsi="Times New Roman"/>
                <w:kern w:val="0"/>
                <w:lang w:eastAsia="ru-RU" w:bidi="ar-SA"/>
              </w:rPr>
              <w:t xml:space="preserve"> отдел оформления земельных участков под строительство и иные цели</w:t>
            </w:r>
            <w:r>
              <w:rPr/>
              <w:t xml:space="preserve"> уполномоченного органа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eastAsia="ru-RU" w:bidi="ar-SA"/>
              </w:rPr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rFonts w:ascii="Times New Roman" w:hAnsi="Times New Roman"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eastAsia="ru-RU" w:bidi="ar-SA"/>
              </w:rPr>
            </w:r>
          </w:p>
        </w:tc>
        <w:tc>
          <w:tcPr>
            <w:tcW w:w="22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pacing w:before="0" w:after="0"/>
              <w:ind w:left="0" w:hanging="0"/>
              <w:contextualSpacing/>
              <w:rPr/>
            </w:pPr>
            <w:r>
              <w:rPr/>
              <w:t>Уполномоченный орган /ГИС</w:t>
            </w:r>
          </w:p>
        </w:tc>
        <w:tc>
          <w:tcPr>
            <w:tcW w:w="19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-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NewRomanPS-ItalicMT" w:cs="Times New Roman" w:ascii="Times New Roman" w:hAnsi="Times New Roman"/>
                <w:color w:val="000000"/>
              </w:rPr>
              <w:t>выдача результата</w:t>
            </w: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eastAsia="TimesNewRomanPS-ItalicMT" w:cs="Times New Roman" w:ascii="Times New Roman" w:hAnsi="Times New Roman"/>
                <w:color w:val="000000"/>
              </w:rPr>
              <w:t>муниципальной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NewRomanPS-ItalicMT" w:cs="Times New Roman" w:ascii="Times New Roman" w:hAnsi="Times New Roman"/>
                <w:color w:val="000000"/>
              </w:rPr>
              <w:t>услуги заявителю в</w:t>
            </w: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eastAsia="TimesNewRomanPS-ItalicMT" w:cs="Times New Roman" w:ascii="Times New Roman" w:hAnsi="Times New Roman"/>
                <w:color w:val="000000"/>
              </w:rPr>
              <w:t>форме бумажного</w:t>
            </w: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eastAsia="TimesNewRomanPS-ItalicMT" w:cs="Times New Roman" w:ascii="Times New Roman" w:hAnsi="Times New Roman"/>
                <w:color w:val="000000"/>
              </w:rPr>
              <w:t>документа.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rPr/>
            </w:pPr>
            <w:r>
              <w:rPr/>
            </w:r>
          </w:p>
        </w:tc>
      </w:tr>
      <w:tr>
        <w:trPr>
          <w:trHeight w:val="1828" w:hRule="atLeast"/>
        </w:trPr>
        <w:tc>
          <w:tcPr>
            <w:tcW w:w="23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Times New Roman" w:hAnsi="Times New Roman" w:eastAsia="TimesNewRomanPS-ItalicMT" w:cs="Times New Roman"/>
                <w:color w:val="000000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</w:rPr>
            </w:r>
          </w:p>
        </w:tc>
        <w:tc>
          <w:tcPr>
            <w:tcW w:w="240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ascii="Times New Roman" w:hAnsi="Times New Roman" w:eastAsia="TimesNewRomanPS-ItalicMT" w:cs="Times New Roman"/>
                <w:color w:val="000000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</w:rPr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NewRomanPS-ItalicMT" w:cs="Times New Roman" w:ascii="Times New Roman" w:hAnsi="Times New Roman"/>
                <w:color w:val="000000"/>
              </w:rPr>
              <w:t>Направление заявителю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NewRomanPS-ItalicMT" w:cs="Times New Roman" w:ascii="Times New Roman" w:hAnsi="Times New Roman"/>
                <w:color w:val="000000"/>
              </w:rPr>
              <w:t>результата предоставления муниципальной услуги в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NewRomanPS-ItalicMT" w:cs="Times New Roman" w:ascii="Times New Roman" w:hAnsi="Times New Roman"/>
                <w:color w:val="000000"/>
              </w:rPr>
              <w:t>личный кабинет на ЕПГУ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NewRomanPS-ItalicMT" w:cs="Times New Roman" w:ascii="Times New Roman" w:hAnsi="Times New Roman"/>
                <w:color w:val="000000"/>
              </w:rPr>
              <w:t>В день</w:t>
            </w: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eastAsia="TimesNewRomanPS-ItalicMT" w:cs="Times New Roman" w:ascii="Times New Roman" w:hAnsi="Times New Roman"/>
                <w:color w:val="000000"/>
              </w:rPr>
              <w:t>регистрации</w:t>
            </w: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eastAsia="TimesNewRomanPS-ItalicMT" w:cs="Times New Roman" w:ascii="Times New Roman" w:hAnsi="Times New Roman"/>
                <w:color w:val="000000"/>
              </w:rPr>
              <w:t>результата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NewRomanPS-ItalicMT" w:cs="Times New Roman" w:ascii="Times New Roman" w:hAnsi="Times New Roman"/>
                <w:color w:val="000000"/>
              </w:rPr>
              <w:t>предоставления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NewRomanPS-ItalicMT" w:cs="Times New Roman" w:ascii="Times New Roman" w:hAnsi="Times New Roman"/>
                <w:color w:val="000000"/>
              </w:rPr>
              <w:t>муниципальной услуги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4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ind w:left="0" w:hanging="0"/>
              <w:rPr/>
            </w:pPr>
            <w:r>
              <w:rPr/>
            </w:r>
          </w:p>
        </w:tc>
        <w:tc>
          <w:tcPr>
            <w:tcW w:w="225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ind w:left="0" w:hanging="0"/>
              <w:rPr/>
            </w:pPr>
            <w:r>
              <w:rPr/>
            </w:r>
          </w:p>
        </w:tc>
        <w:tc>
          <w:tcPr>
            <w:tcW w:w="199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napToGrid w:val="false"/>
              <w:ind w:left="0" w:hanging="0"/>
              <w:rPr/>
            </w:pPr>
            <w:r>
              <w:rPr/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NewRomanPS-ItalicMT" w:cs="Times New Roman" w:ascii="Times New Roman" w:hAnsi="Times New Roman"/>
                <w:color w:val="000000"/>
              </w:rPr>
              <w:t>Результат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NewRomanPS-ItalicMT" w:cs="Times New Roman" w:ascii="Times New Roman" w:hAnsi="Times New Roman"/>
                <w:color w:val="000000"/>
              </w:rPr>
              <w:t>муниципальной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NewRomanPS-ItalicMT" w:cs="Times New Roman" w:ascii="Times New Roman" w:hAnsi="Times New Roman"/>
                <w:color w:val="000000"/>
              </w:rPr>
              <w:t>услуги, направленный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NewRomanPS-ItalicMT" w:cs="Times New Roman" w:ascii="Times New Roman" w:hAnsi="Times New Roman"/>
                <w:color w:val="000000"/>
              </w:rPr>
              <w:t>заявителю на личный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NewRomanPS-ItalicMT" w:cs="Times New Roman" w:ascii="Times New Roman" w:hAnsi="Times New Roman"/>
                <w:color w:val="000000"/>
              </w:rPr>
              <w:t>кабинет на ЕПГУ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1258" w:hRule="atLeast"/>
        </w:trPr>
        <w:tc>
          <w:tcPr>
            <w:tcW w:w="23" w:type="dxa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ascii="Times New Roman" w:hAnsi="Times New Roman" w:eastAsia="TimesNewRomanPS-ItalicMT" w:cs="Times New Roman"/>
                <w:color w:val="000000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</w:rPr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ascii="Times New Roman" w:hAnsi="Times New Roman" w:eastAsia="TimesNewRomanPS-ItalicMT" w:cs="Times New Roman"/>
                <w:color w:val="000000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</w:rPr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jc w:val="both"/>
              <w:rPr>
                <w:rFonts w:ascii="Times New Roman" w:hAnsi="Times New Roman" w:eastAsia="Calibri" w:cs="Times New Roman" w:eastAsiaTheme="minorHAnsi"/>
                <w:kern w:val="0"/>
                <w:lang w:eastAsia="en-US" w:bidi="ar-SA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</w:rPr>
              <w:t xml:space="preserve">Подписание и передача заявителем проекта акта приема-передачи </w:t>
            </w:r>
            <w:r>
              <w:rPr>
                <w:rFonts w:eastAsia="Calibri" w:cs="Times New Roman" w:ascii="Times New Roman" w:hAnsi="Times New Roman" w:eastAsiaTheme="minorHAnsi"/>
                <w:kern w:val="0"/>
                <w:lang w:eastAsia="en-US" w:bidi="ar-SA"/>
              </w:rPr>
              <w:t xml:space="preserve">земельного участка </w:t>
            </w:r>
            <w:r>
              <w:rPr>
                <w:rFonts w:eastAsia="TimesNewRomanPS-ItalicMT" w:cs="Times New Roman" w:ascii="Times New Roman" w:hAnsi="Times New Roman"/>
                <w:color w:val="000000"/>
              </w:rPr>
              <w:t>в уполномоченный орган</w:t>
            </w:r>
          </w:p>
        </w:tc>
        <w:tc>
          <w:tcPr>
            <w:tcW w:w="2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NewRomanPS-ItalicMT" w:cs="Times New Roman"/>
                <w:color w:val="000000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</w:rPr>
              <w:t>2 месяца с момента принятия решения о предоставлении земельного участка.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ind w:left="0" w:hanging="0"/>
              <w:jc w:val="center"/>
              <w:rPr>
                <w:rFonts w:eastAsia="TimesNewRomanPS-ItalicMT"/>
                <w:color w:val="000000"/>
                <w:kern w:val="0"/>
              </w:rPr>
            </w:pPr>
            <w:r>
              <w:rPr>
                <w:rFonts w:eastAsia="TimesNewRomanPS-ItalicMT"/>
                <w:color w:val="000000"/>
                <w:kern w:val="0"/>
              </w:rPr>
              <w:t>-</w:t>
            </w:r>
          </w:p>
        </w:tc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ind w:left="0" w:hanging="0"/>
              <w:jc w:val="center"/>
              <w:rPr/>
            </w:pPr>
            <w:r>
              <w:rPr/>
              <w:t>-</w:t>
            </w:r>
          </w:p>
        </w:tc>
        <w:tc>
          <w:tcPr>
            <w:tcW w:w="1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napToGrid w:val="false"/>
              <w:ind w:left="0" w:hanging="0"/>
              <w:jc w:val="center"/>
              <w:rPr/>
            </w:pPr>
            <w:r>
              <w:rPr/>
              <w:t>-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NewRomanPS-ItalicMT" w:cs="Times New Roman"/>
                <w:color w:val="000000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</w:rPr>
              <w:t xml:space="preserve">Подписание акта приема-передачи </w:t>
            </w:r>
            <w:r>
              <w:rPr>
                <w:rFonts w:eastAsia="Calibri" w:cs="Times New Roman" w:ascii="Times New Roman" w:hAnsi="Times New Roman" w:eastAsiaTheme="minorHAnsi"/>
                <w:kern w:val="0"/>
                <w:lang w:eastAsia="en-US" w:bidi="ar-SA"/>
              </w:rPr>
              <w:t>земельного участка заместителем Городского Головы – начальником уполномоченного органа</w:t>
            </w:r>
          </w:p>
        </w:tc>
      </w:tr>
      <w:tr>
        <w:trPr>
          <w:trHeight w:val="79" w:hRule="atLeast"/>
        </w:trPr>
        <w:tc>
          <w:tcPr>
            <w:tcW w:w="23" w:type="dxa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ascii="Times New Roman" w:hAnsi="Times New Roman" w:eastAsia="TimesNewRomanPS-ItalicMT" w:cs="Times New Roman"/>
                <w:color w:val="000000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</w:rPr>
            </w:r>
          </w:p>
        </w:tc>
        <w:tc>
          <w:tcPr>
            <w:tcW w:w="1556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NewRomanPS-ItalicMT" w:cs="Times New Roman"/>
                <w:b/>
                <w:b/>
                <w:bCs/>
                <w:color w:val="000000"/>
              </w:rPr>
            </w:pPr>
            <w:r>
              <w:rPr>
                <w:rFonts w:eastAsia="TimesNewRomanPS-ItalicMT" w:cs="Times New Roman" w:ascii="Times New Roman" w:hAnsi="Times New Roman"/>
                <w:b/>
                <w:bCs/>
                <w:color w:val="000000"/>
              </w:rPr>
              <w:t>6. Государственная регистрация права собственности</w:t>
            </w:r>
          </w:p>
        </w:tc>
      </w:tr>
      <w:tr>
        <w:trPr>
          <w:trHeight w:val="4531" w:hRule="atLeast"/>
        </w:trPr>
        <w:tc>
          <w:tcPr>
            <w:tcW w:w="23" w:type="dxa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ascii="Times New Roman" w:hAnsi="Times New Roman" w:eastAsia="TimesNewRomanPS-ItalicMT" w:cs="Times New Roman"/>
                <w:color w:val="000000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</w:rPr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jc w:val="both"/>
              <w:rPr>
                <w:rFonts w:ascii="Times New Roman" w:hAnsi="Times New Roman" w:eastAsia="Calibri" w:cs="Times New Roman" w:eastAsiaTheme="minorHAnsi"/>
                <w:kern w:val="0"/>
                <w:lang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lang w:eastAsia="en-US" w:bidi="ar-SA"/>
              </w:rPr>
              <w:t xml:space="preserve">Подписанный сторонами акт приема-передачи </w:t>
            </w:r>
          </w:p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ascii="Times New Roman" w:hAnsi="Times New Roman" w:eastAsia="TimesNewRomanPS-ItalicMT" w:cs="Times New Roman"/>
                <w:color w:val="000000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</w:rPr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jc w:val="both"/>
              <w:rPr/>
            </w:pPr>
            <w:r>
              <w:rPr>
                <w:rFonts w:eastAsia="Calibri" w:cs="Times New Roman" w:ascii="Times New Roman" w:hAnsi="Times New Roman" w:eastAsiaTheme="minorHAnsi"/>
                <w:kern w:val="0"/>
                <w:lang w:eastAsia="en-US" w:bidi="ar-SA"/>
              </w:rPr>
              <w:t xml:space="preserve">Направление в Управление Федеральной службы государственной регистрации, кадастра и картографии по Калужской области заявления о государственной регистрации права и прилагаемых к нему документов в отношении соответствующего объекта недвижимости в порядке, установленном </w:t>
            </w:r>
            <w:hyperlink r:id="rId2">
              <w:r>
                <w:rPr>
                  <w:rStyle w:val="ListLabel1"/>
                  <w:rFonts w:eastAsia="Calibri" w:cs="Times New Roman" w:ascii="Times New Roman" w:hAnsi="Times New Roman" w:eastAsiaTheme="minorHAnsi"/>
                  <w:color w:val="0000FF"/>
                  <w:kern w:val="0"/>
                  <w:lang w:eastAsia="en-US" w:bidi="ar-SA"/>
                </w:rPr>
                <w:t>статьей 18</w:t>
              </w:r>
            </w:hyperlink>
            <w:r>
              <w:rPr>
                <w:rFonts w:eastAsia="Calibri" w:cs="Times New Roman" w:ascii="Times New Roman" w:hAnsi="Times New Roman" w:eastAsiaTheme="minorHAnsi"/>
                <w:kern w:val="0"/>
                <w:lang w:eastAsia="en-US" w:bidi="ar-SA"/>
              </w:rPr>
              <w:t xml:space="preserve"> Федерального закона от 13.07.2015 № 218-ФЗ "О государственной регистрации недвижимости".</w:t>
            </w:r>
          </w:p>
        </w:tc>
        <w:tc>
          <w:tcPr>
            <w:tcW w:w="2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eastAsia="Calibri" w:cs="Times New Roman" w:eastAsiaTheme="minorHAnsi"/>
                <w:kern w:val="0"/>
                <w:lang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lang w:eastAsia="en-US" w:bidi="ar-SA"/>
              </w:rPr>
              <w:t>14 рабочих дней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NewRomanPS-ItalicMT" w:cs="Times New Roman"/>
                <w:color w:val="000000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</w:rPr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eastAsia="Calibri" w:cs="Times New Roman" w:eastAsiaTheme="minorHAnsi"/>
                <w:kern w:val="0"/>
                <w:lang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lang w:eastAsia="en-US" w:bidi="ar-SA"/>
              </w:rPr>
              <w:t>Специалист отдела землеустроительной документации комитета земельных отношений уполномоченного органа</w:t>
            </w:r>
          </w:p>
          <w:p>
            <w:pPr>
              <w:pStyle w:val="TableParagraph"/>
              <w:widowControl w:val="false"/>
              <w:ind w:left="0" w:hanging="0"/>
              <w:jc w:val="center"/>
              <w:rPr>
                <w:rFonts w:eastAsia="TimesNewRomanPS-ItalicMT"/>
                <w:color w:val="000000"/>
                <w:kern w:val="0"/>
              </w:rPr>
            </w:pPr>
            <w:r>
              <w:rPr>
                <w:rFonts w:eastAsia="TimesNewRomanPS-ItalicMT"/>
                <w:color w:val="000000"/>
                <w:kern w:val="0"/>
              </w:rPr>
            </w:r>
          </w:p>
        </w:tc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ind w:left="0" w:hanging="0"/>
              <w:jc w:val="center"/>
              <w:rPr/>
            </w:pPr>
            <w:r>
              <w:rPr/>
              <w:t xml:space="preserve">Уполномоченный орган </w:t>
            </w:r>
          </w:p>
        </w:tc>
        <w:tc>
          <w:tcPr>
            <w:tcW w:w="1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napToGrid w:val="false"/>
              <w:ind w:left="0" w:hanging="0"/>
              <w:jc w:val="center"/>
              <w:rPr/>
            </w:pPr>
            <w:r>
              <w:rPr/>
              <w:t>-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jc w:val="both"/>
              <w:rPr>
                <w:rFonts w:ascii="Times New Roman" w:hAnsi="Times New Roman" w:eastAsia="Calibri" w:cs="Times New Roman" w:eastAsiaTheme="minorHAnsi"/>
                <w:kern w:val="0"/>
                <w:lang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lang w:eastAsia="en-US" w:bidi="ar-SA"/>
              </w:rPr>
              <w:t>Выдача заявителю акта приема-передачи земельного участка и выписки из единого государственного реестра недвижимости либо мотивированного письменного отказа в предоставлении муниципальной услуги, который направляется заявителю по почте либо выдается нарочно.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NewRomanPS-ItalicMT" w:cs="Times New Roman"/>
                <w:color w:val="000000"/>
              </w:rPr>
            </w:pPr>
            <w:r>
              <w:rPr>
                <w:rFonts w:eastAsia="TimesNewRomanPS-ItalicMT" w:cs="Times New Roman" w:ascii="Times New Roman" w:hAnsi="Times New Roman"/>
                <w:color w:val="000000"/>
              </w:rPr>
              <w:t xml:space="preserve"> </w:t>
            </w:r>
          </w:p>
        </w:tc>
      </w:tr>
    </w:tbl>
    <w:p>
      <w:pPr>
        <w:pStyle w:val="Style18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1134" w:header="0" w:top="568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3336"/>
    <w:pPr>
      <w:widowControl/>
      <w:suppressAutoHyphens w:val="true"/>
      <w:bidi w:val="0"/>
      <w:spacing w:lineRule="auto" w:line="240"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eastAsia="zh-CN" w:bidi="hi-IN" w:val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link w:val="a3"/>
    <w:qFormat/>
    <w:rsid w:val="00163336"/>
    <w:rPr>
      <w:rFonts w:ascii="Liberation Serif" w:hAnsi="Liberation Serif" w:eastAsia="NSimSun" w:cs="Mangal"/>
      <w:kern w:val="2"/>
      <w:sz w:val="24"/>
      <w:szCs w:val="24"/>
      <w:lang w:eastAsia="zh-CN" w:bidi="hi-IN"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character" w:styleId="Style16">
    <w:name w:val="Основной шрифт абзаца"/>
    <w:qFormat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link w:val="a4"/>
    <w:rsid w:val="00163336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TableParagraph" w:customStyle="1">
    <w:name w:val="Table Paragraph"/>
    <w:basedOn w:val="Normal"/>
    <w:qFormat/>
    <w:rsid w:val="00163336"/>
    <w:pPr>
      <w:ind w:left="9" w:hanging="0"/>
    </w:pPr>
    <w:rPr>
      <w:rFonts w:ascii="Times New Roman" w:hAnsi="Times New Roman" w:eastAsia="Times New Roman" w:cs="Times New Roman"/>
      <w:lang w:bidi="ar-SA"/>
    </w:rPr>
  </w:style>
  <w:style w:type="paragraph" w:styleId="ConsPlusNormal" w:customStyle="1">
    <w:name w:val="ConsPlusNormal"/>
    <w:qFormat/>
    <w:rsid w:val="00163336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Liberation Serif" w:cs="Liberation Serif"/>
      <w:color w:val="000000"/>
      <w:kern w:val="2"/>
      <w:sz w:val="16"/>
      <w:szCs w:val="24"/>
      <w:lang w:eastAsia="zh-CN" w:bidi="hi-IN" w:val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43B98425EEF36FCB9746E463A0391C258FFF1E5FD10305F7893578658BDCD3285243E75906DA674F8A0B6A1FC19F85B02D09ED0BDE42C5B5OAi8I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83749-F2B0-45F8-8DEB-20141EE53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Application>LibreOffice/6.3.0.4$Windows_X86_64 LibreOffice_project/057fc023c990d676a43019934386b85b21a9ee99</Application>
  <Pages>5</Pages>
  <Words>966</Words>
  <Characters>7553</Characters>
  <CharactersWithSpaces>8435</CharactersWithSpaces>
  <Paragraphs>137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2023-02-10T08:05:00Z</dcterms:created>
  <dc:creator>Скок Ольга Викторовна</dc:creator>
  <dc:description/>
  <dc:language>ru-RU</dc:language>
  <cp:lastModifiedBy/>
  <dcterms:modified xsi:type="dcterms:W3CDTF">2023-02-10T15:37:35Z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