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15026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40"/>
        <w:gridCol w:w="6"/>
        <w:gridCol w:w="1864"/>
        <w:gridCol w:w="1985"/>
        <w:gridCol w:w="1842"/>
        <w:gridCol w:w="39"/>
        <w:gridCol w:w="1502"/>
        <w:gridCol w:w="71"/>
        <w:gridCol w:w="1361"/>
        <w:gridCol w:w="2"/>
        <w:gridCol w:w="1701"/>
        <w:gridCol w:w="1"/>
        <w:gridCol w:w="1419"/>
        <w:gridCol w:w="1"/>
        <w:gridCol w:w="2"/>
        <w:gridCol w:w="2688"/>
      </w:tblGrid>
      <w:tr>
        <w:trPr>
          <w:trHeight w:val="300" w:hRule="atLeast"/>
        </w:trPr>
        <w:tc>
          <w:tcPr>
            <w:tcW w:w="15024" w:type="dxa"/>
            <w:gridSpan w:val="1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ФОРМА МОНИТОРИНГА</w:t>
            </w:r>
          </w:p>
        </w:tc>
      </w:tr>
      <w:tr>
        <w:trPr>
          <w:trHeight w:val="300" w:hRule="atLeast"/>
        </w:trPr>
        <w:tc>
          <w:tcPr>
            <w:tcW w:w="15024" w:type="dxa"/>
            <w:gridSpan w:val="1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РЕАЛИЗАЦИИ МУНИЦИПАЛЬНОЙ ПРОГРАММЫ</w:t>
            </w:r>
          </w:p>
        </w:tc>
      </w:tr>
      <w:tr>
        <w:trPr>
          <w:trHeight w:val="300" w:hRule="atLeast"/>
        </w:trPr>
        <w:tc>
          <w:tcPr>
            <w:tcW w:w="15024" w:type="dxa"/>
            <w:gridSpan w:val="1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 01.0</w:t>
            </w:r>
            <w:r>
              <w:rPr>
                <w:rFonts w:cs="Times New Roman" w:ascii="Times New Roman" w:hAnsi="Times New Roman"/>
              </w:rPr>
              <w:t>7</w:t>
            </w:r>
            <w:r>
              <w:rPr>
                <w:rFonts w:cs="Times New Roman" w:ascii="Times New Roman" w:hAnsi="Times New Roman"/>
              </w:rPr>
              <w:t>.2021</w:t>
            </w:r>
          </w:p>
        </w:tc>
      </w:tr>
      <w:tr>
        <w:trPr>
          <w:trHeight w:val="630" w:hRule="atLeast"/>
        </w:trPr>
        <w:tc>
          <w:tcPr>
            <w:tcW w:w="15024" w:type="dxa"/>
            <w:gridSpan w:val="1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муниципальной программы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муниципального образования «Город Калуга» 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«Развитие физической культуры и спорта в муниципальном образовании «Город Калуга»</w:t>
            </w:r>
          </w:p>
        </w:tc>
      </w:tr>
      <w:tr>
        <w:trPr>
          <w:trHeight w:val="330" w:hRule="atLeast"/>
        </w:trPr>
        <w:tc>
          <w:tcPr>
            <w:tcW w:w="15024" w:type="dxa"/>
            <w:gridSpan w:val="16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Ответственный исполнитель муниципальной программы  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 Управление физической культуры, спорта и молодежной политики города Калуги</w:t>
            </w:r>
          </w:p>
        </w:tc>
      </w:tr>
      <w:tr>
        <w:trPr>
          <w:trHeight w:val="829" w:hRule="atLeast"/>
        </w:trPr>
        <w:tc>
          <w:tcPr>
            <w:tcW w:w="540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№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п/п </w:t>
            </w:r>
          </w:p>
        </w:tc>
        <w:tc>
          <w:tcPr>
            <w:tcW w:w="1870" w:type="dxa"/>
            <w:gridSpan w:val="2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Наименование</w:t>
              <w:br/>
              <w:t>мероприятия</w:t>
              <w:br/>
              <w:t>подпрограммы</w:t>
              <w:br/>
              <w:t>(ведомственной</w:t>
              <w:br/>
              <w:t>целевой</w:t>
              <w:br/>
              <w:t>программы),</w:t>
              <w:br/>
              <w:t xml:space="preserve">прочего мероприятия (основного   </w:t>
              <w:br/>
              <w:t xml:space="preserve"> мероприятия</w:t>
              <w:br/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Ответственный</w:t>
              <w:br/>
              <w:t>исполнитель,</w:t>
              <w:br/>
              <w:t>соисполнитель,</w:t>
              <w:br/>
              <w:t>участник</w:t>
              <w:br/>
              <w:t>муниципальной</w:t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1" w:type="dxa"/>
            <w:gridSpan w:val="2"/>
            <w:vMerge w:val="restart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Дата начала</w:t>
              <w:br/>
              <w:t>реализации</w:t>
              <w:br/>
              <w:t>мероприятия</w:t>
            </w:r>
          </w:p>
        </w:tc>
        <w:tc>
          <w:tcPr>
            <w:tcW w:w="1434" w:type="dxa"/>
            <w:gridSpan w:val="3"/>
            <w:vMerge w:val="restart"/>
            <w:tcBorders>
              <w:top w:val="nil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Дата</w:t>
              <w:br/>
              <w:t>окончания</w:t>
              <w:br/>
              <w:t>реализации</w:t>
              <w:br/>
              <w:t>мероприятия</w:t>
            </w:r>
          </w:p>
        </w:tc>
        <w:tc>
          <w:tcPr>
            <w:tcW w:w="3124" w:type="dxa"/>
            <w:gridSpan w:val="5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Расходы муниципального</w:t>
              <w:br/>
              <w:t>бюджета на реализацию</w:t>
              <w:br/>
              <w:t>мероприятия программы</w:t>
            </w:r>
          </w:p>
        </w:tc>
        <w:tc>
          <w:tcPr>
            <w:tcW w:w="2688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Полученный</w:t>
              <w:br/>
              <w:t>непосредственный</w:t>
              <w:br/>
              <w:t>результат</w:t>
              <w:br/>
              <w:t>(краткое описание)</w:t>
            </w:r>
          </w:p>
        </w:tc>
      </w:tr>
      <w:tr>
        <w:trPr>
          <w:trHeight w:val="1185" w:hRule="atLeast"/>
        </w:trPr>
        <w:tc>
          <w:tcPr>
            <w:tcW w:w="54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870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541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434" w:type="dxa"/>
            <w:gridSpan w:val="3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предусмотрено</w:t>
              <w:br/>
              <w:t>муниципальной</w:t>
              <w:br/>
              <w:t>программой, тыс.руб.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кассовое</w:t>
              <w:br/>
              <w:t>исполнение на</w:t>
              <w:br/>
              <w:t>отчетную дату, тыс.руб.</w:t>
            </w:r>
          </w:p>
        </w:tc>
        <w:tc>
          <w:tcPr>
            <w:tcW w:w="2690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15024" w:type="dxa"/>
            <w:gridSpan w:val="16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>
        <w:trPr>
          <w:trHeight w:val="42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71,7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ГСМ, медикаментов, наградной атрибутики, наборы инструментов, оргтехники, офисной мебели, запчасти для автомобилей,</w:t>
            </w:r>
            <w:r>
              <w:rPr/>
              <w:t xml:space="preserve"> </w:t>
            </w:r>
            <w:r>
              <w:rPr>
                <w:sz w:val="20"/>
                <w:szCs w:val="20"/>
              </w:rPr>
              <w:t>дезинфицирующие средства  для подведомственных учреждений.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Приобретено весло гоночное байдарочное СШОР по гребле на байдарках и каноэ. Приобретено 15 комплектов спортивной формы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СШ № 1,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спортивный инвентарь  и коньки в СШ, «Космос», клинки шпажные, стойки и сетки волейбольные СШОР «Фехтование», патроны в СШ «Старт», кимоно в СШ «Луч», мячи баскетбольные в Центре «Красная Звезда», Дирекция спортивных сооружений приобрела гриф, стойки и блины для пауэрлифтинга, спортивное оборудование и инвентарь. Проведен ремонт а/м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FORD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TRANSIT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BUS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Проводиться текущий ремонт тренажерных комплексов, расположенных на территории города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1412" w:hRule="atLeast"/>
        </w:trPr>
        <w:tc>
          <w:tcPr>
            <w:tcW w:w="540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  <w:gridSpan w:val="2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МАУ/МБОУ ДО/управление образования города Калуги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Всего, из них: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2924,1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1542,8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</w:tr>
      <w:tr>
        <w:trPr>
          <w:trHeight w:val="1920" w:hRule="atLeast"/>
        </w:trPr>
        <w:tc>
          <w:tcPr>
            <w:tcW w:w="54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2724,1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1542,8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Проведено 197 мероприятия учреждениями, из них 31 из средств муниципального образования «Город Калуга», управлением физической культуры, спорта и молодежной политики проведено 117 мероприятий.</w:t>
            </w:r>
          </w:p>
        </w:tc>
      </w:tr>
      <w:tr>
        <w:trPr>
          <w:trHeight w:val="915" w:hRule="atLeast"/>
        </w:trPr>
        <w:tc>
          <w:tcPr>
            <w:tcW w:w="540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  <w:shd w:fill="FFFF00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00" w:val="clear"/>
              </w:rPr>
              <w:t> </w:t>
            </w:r>
          </w:p>
        </w:tc>
        <w:tc>
          <w:tcPr>
            <w:tcW w:w="1702" w:type="dxa"/>
            <w:gridSpan w:val="2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420" w:type="dxa"/>
            <w:gridSpan w:val="2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/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Соревнования запланированы на 3-4 кварталы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20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3419,0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2020,4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Повышение уровня спортивных результатов спортсменов. Пропаганда и популяризация спорта Результаты: Спортсмены СШ и СШОР приняли участие в 331 соревновании различного уровня, из них 70 из средств муниципального образования «Город Калуга», количество победителей и призеров соревнований различного уровня составила 435 человек.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2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1256,0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973,5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>
            <w:pPr>
              <w:pStyle w:val="Normal"/>
              <w:shd w:val="clear" w:color="auto" w:fill="FFFFFF"/>
              <w:spacing w:lineRule="auto" w:line="24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Результаты: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 Приобретены запасные части и расходные материалы для оборудования системы видеонаблюдения и приобретены видеокамеры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СШ «Космос», в СШОР «Вымпел» установлена радиосистема</w:t>
            </w:r>
            <w:r>
              <w:rPr/>
              <w:t xml:space="preserve"> и </w:t>
            </w:r>
            <w:r>
              <w:rPr>
                <w:sz w:val="20"/>
                <w:szCs w:val="20"/>
              </w:rPr>
              <w:t xml:space="preserve">оборудование для видеонаблюдения ИБП, приобретен газодымозащитный комплект, СШ «Луч» приобрело пожарные извещатели, СШ «Шашки русские» приобрела подставки под огнетушители 5 шт. и самоспасатель, СШОР  «Фехтование» извещатель пожарный и огнетушители, СШ № 1 произведен монтаж системы  ip-видеонаблюдения, кнопки тревожной сигнализации и СКУД, в СШОР «Энергия» установлен турникет с ограждением и стационарный арочный металлодетектор ARENA 5000PR, в СШ «Старт» в тире установлена камера видеонаблюдения,  в ДЮЦ «Исток» установлены решетки на окна зданий и произведена перезарядка огнетушителей, учреждениях изготовлены стенды по ПБ и антитеррору, планы эвакуации,  указатели и другое. </w:t>
            </w:r>
          </w:p>
        </w:tc>
      </w:tr>
      <w:tr>
        <w:trPr>
          <w:trHeight w:val="1065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202905,0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100419,6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Численность лиц, получивших услугу по спортивной подготовке, составило 5344 человека, 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fill="FFFFFF" w:val="clear"/>
              </w:rPr>
              <w:t xml:space="preserve">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 составило 2188 человек.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29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ФКСиМП/МАУ/МБУ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14633,6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7992,0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</w:t>
            </w:r>
            <w:r>
              <w:rPr>
                <w:sz w:val="20"/>
                <w:szCs w:val="20"/>
                <w:shd w:fill="FFFFFF" w:val="clear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567 </w:t>
            </w:r>
            <w:r>
              <w:rPr>
                <w:sz w:val="20"/>
                <w:szCs w:val="20"/>
              </w:rPr>
              <w:t xml:space="preserve">человек. 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65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37491,5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17471,2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8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8547,7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3645,0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Результаты: Численность лиц, получающих услугу по организации занятий парашютно-авиационным видам спорта, составило 155 человека.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605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4772,3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2463,0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267 человек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7.3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24171,5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11363,2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проведено 37 мероприятия в рамках комплекса ГТО, из них 20 мероприятий за счет средств МО «Город Калуга», 339 человек выполнили нормы комплекса ГТО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5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313,4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147,4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Совершенствование системы оплаты труда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45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ФКСиМП, </w:t>
              <w:br/>
              <w:t xml:space="preserve">  МБУ, МАУ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4444,4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4444,4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Цель: Реализация р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Результат: от 19-ти местный  микро-автобус для перевозки спортсменов спортивной школы Торпедо</w:t>
            </w:r>
          </w:p>
          <w:p>
            <w:pPr>
              <w:pStyle w:val="Normal"/>
              <w:spacing w:lineRule="auto" w:line="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>
        <w:trPr>
          <w:trHeight w:val="562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ФКСиМП, </w:t>
              <w:br/>
              <w:t xml:space="preserve">  МБУ, МАУ</w:t>
            </w:r>
          </w:p>
        </w:tc>
        <w:tc>
          <w:tcPr>
            <w:tcW w:w="154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62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insideH w:val="single" w:sz="6" w:space="0" w:color="000001"/>
              <w:insideV w:val="nil"/>
            </w:tcBorders>
            <w:shd w:fill="auto" w:val="clear"/>
            <w:tcMar>
              <w:left w:w="105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insideH w:val="single" w:sz="6" w:space="0" w:color="000001"/>
              <w:insideV w:val="nil"/>
            </w:tcBorders>
            <w:shd w:fill="auto" w:val="clear"/>
            <w:tcMar>
              <w:left w:w="105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insideH w:val="single" w:sz="6" w:space="0" w:color="000001"/>
              <w:insideV w:val="nil"/>
            </w:tcBorders>
            <w:shd w:fill="auto" w:val="clear"/>
            <w:tcMar>
              <w:left w:w="105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5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  <w:insideH w:val="single" w:sz="6" w:space="0" w:color="000001"/>
              <w:insideV w:val="nil"/>
            </w:tcBorders>
            <w:shd w:fill="auto" w:val="clear"/>
            <w:tcMar>
              <w:left w:w="105" w:type="dxa"/>
            </w:tcMar>
          </w:tcPr>
          <w:p>
            <w:pPr>
              <w:pStyle w:val="Western"/>
              <w:spacing w:lineRule="auto" w:line="288" w:beforeAutospacing="1" w:after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702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 2021 году данное мероприятие не реализовывается</w:t>
            </w:r>
          </w:p>
        </w:tc>
      </w:tr>
      <w:tr>
        <w:trPr>
          <w:trHeight w:val="987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ФКСиМП, </w:t>
              <w:br/>
              <w:t xml:space="preserve">  МБУ, МАУ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345,0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207,0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Результат: 2 тренера, получают компенсацию расходов по договорам найма (поднайма) жилых помещений за январь – июнь 2021 года.</w:t>
            </w:r>
          </w:p>
        </w:tc>
      </w:tr>
      <w:tr>
        <w:trPr>
          <w:trHeight w:val="510" w:hRule="atLeast"/>
        </w:trPr>
        <w:tc>
          <w:tcPr>
            <w:tcW w:w="9210" w:type="dxa"/>
            <w:gridSpan w:val="9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268124,2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135290,0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</w:tr>
      <w:tr>
        <w:trPr>
          <w:trHeight w:val="329" w:hRule="atLeast"/>
        </w:trPr>
        <w:tc>
          <w:tcPr>
            <w:tcW w:w="15024" w:type="dxa"/>
            <w:gridSpan w:val="16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>
        <w:trPr>
          <w:trHeight w:val="1110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290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  <w:br/>
              <w:t>(в т.ч. ПИР)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750,0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20" w:type="dxa"/>
            <w:gridSpan w:val="2"/>
            <w:tcBorders/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40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АГиЗО 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17729,6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3727,2</w:t>
            </w:r>
          </w:p>
        </w:tc>
        <w:tc>
          <w:tcPr>
            <w:tcW w:w="2691" w:type="dxa"/>
            <w:gridSpan w:val="3"/>
            <w:tcBorders/>
            <w:shd w:color="auto" w:fill="FFFFFF" w:themeFill="background1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Цель: Укрепление материально-технической базы: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Запланированы расходы на капитальный ремонт системы отопления в здании МБУ «Спортивная школа олимпийского резерва «Энергия» г. Калуги, расположенного по адресу: г. Калуга, ул. Салтыкова-Щедрина, д. 129;                                                                                                                                                                                                                                              Заключен МК с ООО «СВАЙМАСТЕР» на выполнение работ по капитальному ремонту нежилого помещения МБУ СШ «Шашки русские» г. Калуги, расположенного по адресу: г. Калуга, ул. Веры Андриановой, д. 68А;                                                                                                                                                                    Заключен и частично оплачен МК с ООО «ЭКОГРАД» на выполнение работ по капитальному ремонту здания МБУ СШ «Персей» г.Калуги, ул.Светлая, д.14.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 Загородном спортивно-оздоровительном лагере «Смена» проведен текущий ремонт ограждения территории.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За счет внебюджетных средств: Замена труб в спортивном зале «Строитель» СШ № 1, текущий ремонт туалетов в ДСОЛ «Смена», в Дирекции спортивных сооружений в ФОК по адресу: Грабцевское шоссе, 41в выполнены работы по ремонту сетей наружной канализации.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 Центре «Красная Звезда» собственными силами произведен частичный ремонт пола (замена сгнивших досок) в спортивном зале.</w:t>
            </w:r>
          </w:p>
        </w:tc>
      </w:tr>
      <w:tr>
        <w:trPr>
          <w:trHeight w:val="1554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ФКСиМП  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69444,5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</w:p>
          <w:p>
            <w:pPr>
              <w:pStyle w:val="Western"/>
              <w:spacing w:lineRule="auto" w:line="240" w:beforeAutospacing="0" w:before="0" w:after="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1554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ФКСиМП/  МБУ/ МАУ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Управление ФКСиМП  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28935,2</w:t>
              <w:tab/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13346,4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 в СШ «Космос» приобретена самоходная ледозаливочная машина Olympia ICEBEAR Electric,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холодильная автоматизированная установка и хоккейная беговая дорожка</w:t>
            </w:r>
          </w:p>
        </w:tc>
      </w:tr>
      <w:tr>
        <w:trPr>
          <w:trHeight w:val="510" w:hRule="atLeast"/>
        </w:trPr>
        <w:tc>
          <w:tcPr>
            <w:tcW w:w="9210" w:type="dxa"/>
            <w:gridSpan w:val="9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116859,3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17073,6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5024" w:type="dxa"/>
            <w:gridSpan w:val="16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Прочие мероприятия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rPr>
          <w:trHeight w:val="510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16587,4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7139,4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Обеспечение условий для выполнения задач управления</w:t>
            </w:r>
          </w:p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Обеспечение условий для выполнения задач управления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за 1 квартал 2021 года присвоены: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 спортивный разряд - 332 спортсменам,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- 3 спортивный разряд – 326 спортсмену</w:t>
            </w:r>
          </w:p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«спортивный судья» 3 категории и 2 категории – 65 человек</w:t>
            </w:r>
          </w:p>
        </w:tc>
      </w:tr>
      <w:tr>
        <w:trPr>
          <w:trHeight w:val="510" w:hRule="atLeast"/>
        </w:trPr>
        <w:tc>
          <w:tcPr>
            <w:tcW w:w="546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36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Western"/>
              <w:spacing w:lineRule="auto" w:line="240" w:beforeAutospacing="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2021 году не реализуется</w:t>
            </w:r>
          </w:p>
        </w:tc>
      </w:tr>
      <w:tr>
        <w:trPr>
          <w:trHeight w:val="330" w:hRule="atLeast"/>
        </w:trPr>
        <w:tc>
          <w:tcPr>
            <w:tcW w:w="9210" w:type="dxa"/>
            <w:gridSpan w:val="9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16607,4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7139,4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9210" w:type="dxa"/>
            <w:gridSpan w:val="9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401590,9</w:t>
            </w:r>
          </w:p>
        </w:tc>
        <w:tc>
          <w:tcPr>
            <w:tcW w:w="1420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159503,0</w:t>
            </w:r>
          </w:p>
        </w:tc>
        <w:tc>
          <w:tcPr>
            <w:tcW w:w="2691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709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1"/>
    <w:pPr/>
    <w:rPr/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1" w:customStyle="1">
    <w:name w:val="WW8Num1z1"/>
    <w:qFormat/>
    <w:rsid w:val="009b2afc"/>
    <w:rPr/>
  </w:style>
  <w:style w:type="paragraph" w:styleId="Style11">
    <w:name w:val="Заголовок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813e5e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9f2b27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Style16">
    <w:name w:val="Блочная цитата"/>
    <w:basedOn w:val="Normal"/>
    <w:qFormat/>
    <w:pPr/>
    <w:rPr/>
  </w:style>
  <w:style w:type="paragraph" w:styleId="Style17">
    <w:name w:val="Заглавие"/>
    <w:basedOn w:val="Style11"/>
    <w:pPr/>
    <w:rPr/>
  </w:style>
  <w:style w:type="paragraph" w:styleId="Style18">
    <w:name w:val="Подзаголовок"/>
    <w:basedOn w:val="Style11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c46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LibreOffice/4.4.7.2$Windows_x86 LibreOffice_project/f3153a8b245191196a4b6b9abd1d0da16eead600</Application>
  <Paragraphs>287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2021-04-19T12:23:00Z</dcterms:created>
  <dc:creator>Пронина Анастасия Юрьевна</dc:creator>
  <dc:language>ru-RU</dc:language>
  <dcterms:modified xsi:type="dcterms:W3CDTF">2021-07-20T10:37:46Z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