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3"/>
        <w:pBdr/>
        <w:spacing w:after="120"/>
        <w:ind/>
        <w:jc w:val="center"/>
        <w:rPr/>
      </w:pPr>
      <w:r>
        <w:rPr>
          <w:rFonts w:eastAsia="Calibri"/>
          <w:b/>
          <w:caps/>
          <w:spacing w:val="40"/>
        </w:rPr>
        <w:t xml:space="preserve">АКТ № </w:t>
      </w:r>
      <w:r>
        <w:rPr>
          <w:rFonts w:eastAsia="Calibri"/>
          <w:b/>
          <w:caps/>
          <w:spacing w:val="40"/>
        </w:rPr>
        <w:t xml:space="preserve">67</w:t>
      </w:r>
      <w:r/>
    </w:p>
    <w:p>
      <w:pPr>
        <w:pStyle w:val="843"/>
        <w:pBdr/>
        <w:spacing/>
        <w:ind/>
        <w:jc w:val="center"/>
        <w:rPr/>
      </w:pPr>
      <w:r>
        <w:rPr>
          <w:b/>
          <w:bCs/>
        </w:rPr>
        <w:t xml:space="preserve">плановой проверки муниципального бюджетного образовательного учреждения дополнительного образования </w:t>
      </w:r>
      <w:r>
        <w:rPr>
          <w:b/>
          <w:bCs/>
        </w:rPr>
        <w:t xml:space="preserve">«Детская школа искусств № 4» г. Калуги</w:t>
      </w:r>
      <w:r>
        <w:rPr>
          <w:b/>
          <w:bCs/>
        </w:rPr>
        <w:t xml:space="preserve"> по соблюдению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  <w:r/>
    </w:p>
    <w:p>
      <w:pPr>
        <w:pStyle w:val="843"/>
        <w:pBdr/>
        <w:spacing/>
        <w:ind/>
        <w:jc w:val="center"/>
        <w:rPr/>
      </w:pPr>
      <w:r/>
      <w:r/>
    </w:p>
    <w:p>
      <w:pPr>
        <w:pStyle w:val="843"/>
        <w:pBdr/>
        <w:spacing/>
        <w:ind/>
        <w:jc w:val="center"/>
        <w:rPr/>
      </w:pPr>
      <w:r>
        <w:rPr>
          <w:b/>
          <w:bCs/>
        </w:rPr>
        <w:t xml:space="preserve">г. Калуга</w:t>
        <w:tab/>
        <w:tab/>
        <w:tab/>
        <w:tab/>
        <w:tab/>
        <w:tab/>
        <w:t xml:space="preserve">      </w:t>
        <w:tab/>
        <w:tab/>
        <w:t xml:space="preserve">                 «       </w:t>
      </w:r>
      <w:r>
        <w:rPr>
          <w:b/>
          <w:bCs/>
        </w:rPr>
        <w:t xml:space="preserve">» </w:t>
      </w:r>
      <w:r>
        <w:rPr>
          <w:b/>
          <w:bCs/>
        </w:rPr>
        <w:t xml:space="preserve">апреля</w:t>
      </w:r>
      <w:r>
        <w:rPr>
          <w:b/>
          <w:bCs/>
        </w:rPr>
        <w:t xml:space="preserve"> 202</w:t>
      </w:r>
      <w:r>
        <w:rPr>
          <w:b/>
          <w:bCs/>
        </w:rPr>
        <w:t xml:space="preserve">5</w:t>
      </w:r>
      <w:r>
        <w:rPr>
          <w:b/>
          <w:bCs/>
        </w:rPr>
        <w:t xml:space="preserve"> г</w:t>
      </w:r>
      <w:r>
        <w:rPr>
          <w:b/>
          <w:bCs/>
        </w:rPr>
        <w:t xml:space="preserve">ода</w:t>
      </w:r>
      <w:r/>
    </w:p>
    <w:p>
      <w:pPr>
        <w:pStyle w:val="843"/>
        <w:pBdr/>
        <w:spacing/>
        <w:ind/>
        <w:rPr/>
      </w:pPr>
      <w:r/>
      <w:r/>
    </w:p>
    <w:p>
      <w:pPr>
        <w:pStyle w:val="843"/>
        <w:pBdr/>
        <w:shd w:val="clear" w:color="auto" w:fill="ffffff"/>
        <w:spacing w:line="27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со статьей 100 Федерального закона от 05.04.2013 № 44-ФЗ «О контрактной системе в сфере закупок товаров, услуг для обеспечения федеральных и мун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ведомственного контроля за соблюдением законодательства Российской Фед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и постановлением Городской Управы города Калуги от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.12.2024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№ 2775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-пи «Об утверждении плана осуществления ведомственного контроля управлением культуры города Калуги в отношении подведомственных ему муниципальных учреждений на 2025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год», проведена проверка соблюдения законодательства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Российской Федерации и иных нормативных правовых актов о контрактной системе в сфере закупок товаров, работ, услуг для обеспечения муниципальных нужд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отношении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 бюджетного образовательного учреждения дополнительного образования «Детская школа искусств № 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г.Калуги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(далее - Проверка).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pBdr/>
        <w:spacing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Проверка проведена коми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сией, утверждённой приказом управления культуры города Калуги 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контрактной систем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в сфере 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акупок товаров, раб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т, услуг для обеспечения муниципальных нужд учреждениями, подведомственными управлению культуры города Калуги» (в редакции приказов управления культуры города Калуги от 09.01.2019 № 3, от 03.12.2019 </w:t>
        <w:br/>
        <w:t xml:space="preserve">№ 133, от 12.10.2023 № 75, от 13.02.2024 № 9) в составе: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43"/>
        <w:pBdr/>
        <w:spacing/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tbl>
      <w:tblPr>
        <w:tblW w:w="0" w:type="auto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69"/>
        <w:gridCol w:w="405"/>
        <w:gridCol w:w="6796"/>
      </w:tblGrid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Бубич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Ирина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заместитель начальника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управления культуры города Калуги (руководитель комиссии);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Смирнов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Геннадий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управления культуры города Калуги;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Радова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Наталия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управления культуры города Калуги.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43"/>
        <w:pBdr/>
        <w:spacing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43"/>
        <w:pBdr/>
        <w:spacing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Проверяемый период: с 01.0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31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.03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843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 начала проверки: 01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04.202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 окончания проверки: 04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.04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Предмет проверки: соблюдение требований законодательства Российской Федерации и иных нормативных правовых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Вид проверки: плановая.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проверки: выездная.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hd w:val="clear" w:color="auto" w:fill="ffffff"/>
        <w:spacing w:line="27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Метод проверки: выборочный.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firstLine="708"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Субъект проверки: муниципальное бюджетное образовательное учреждение дополнительного образования «Детская школа искусств № 4» г.Калуги (далее – Учреждение), ИНН 4027022055, КПП 402701001.</w:t>
      </w:r>
      <w:r/>
    </w:p>
    <w:p>
      <w:pPr>
        <w:pStyle w:val="843"/>
        <w:pBdr/>
        <w:spacing/>
        <w:ind w:firstLine="708"/>
        <w:jc w:val="both"/>
        <w:rPr/>
      </w:pPr>
      <w:r>
        <w:t xml:space="preserve">Адрес местонахождения субъекта проверки: ул. Вишневского, дом 2а, г. Калуга, 248007.</w:t>
      </w:r>
      <w:r/>
    </w:p>
    <w:p>
      <w:pPr>
        <w:pBdr/>
        <w:spacing/>
        <w:ind w:firstLine="709"/>
        <w:jc w:val="both"/>
        <w:rPr>
          <w:b/>
          <w:bCs/>
          <w:color w:val="000000"/>
          <w:highlight w:val="none"/>
        </w:rPr>
      </w:pPr>
      <w:r>
        <w:rPr>
          <w:b/>
          <w:color w:val="000000"/>
        </w:rPr>
        <w:t xml:space="preserve">В ходе проверки были изучены: </w:t>
      </w:r>
      <w:r>
        <w:rPr>
          <w:b/>
          <w:bCs/>
          <w:color w:val="000000"/>
          <w:highlight w:val="none"/>
        </w:rPr>
      </w:r>
      <w:r>
        <w:rPr>
          <w:b/>
          <w:bCs/>
          <w:color w:val="000000"/>
          <w:highlight w:val="none"/>
        </w:rPr>
      </w:r>
    </w:p>
    <w:p>
      <w:pPr>
        <w:pBdr/>
        <w:spacing/>
        <w:ind w:firstLine="709"/>
        <w:jc w:val="both"/>
        <w:rPr/>
      </w:pPr>
      <w:r>
        <w:rPr>
          <w:b/>
        </w:rPr>
        <w:t xml:space="preserve">- </w:t>
      </w:r>
      <w:r>
        <w:t xml:space="preserve">Устав Учреждения;</w:t>
      </w:r>
      <w:r/>
    </w:p>
    <w:p>
      <w:pPr>
        <w:pBdr/>
        <w:spacing/>
        <w:ind w:firstLine="709"/>
        <w:jc w:val="both"/>
        <w:rPr/>
      </w:pPr>
      <w:r>
        <w:t xml:space="preserve">- должностные обязанности специалистов Учреждения;</w:t>
      </w:r>
      <w:r/>
    </w:p>
    <w:p>
      <w:pPr>
        <w:pBdr/>
        <w:spacing/>
        <w:ind w:firstLine="709"/>
        <w:jc w:val="both"/>
        <w:rPr/>
      </w:pPr>
      <w:r>
        <w:t xml:space="preserve">- нормативные акты Учреждения, регламентирующие организацию и осуществле</w:t>
      </w:r>
      <w:r>
        <w:t xml:space="preserve">ние закупок товаров, работ, услуг, изданные в проверяемый период;  </w:t>
      </w:r>
      <w:r/>
    </w:p>
    <w:p>
      <w:pPr>
        <w:pBdr/>
        <w:spacing/>
        <w:ind w:firstLine="709"/>
        <w:jc w:val="both"/>
        <w:rPr/>
      </w:pPr>
      <w: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  <w:r/>
    </w:p>
    <w:p>
      <w:pPr>
        <w:pBdr/>
        <w:spacing/>
        <w:ind w:firstLine="709"/>
        <w:jc w:val="both"/>
        <w:rPr/>
      </w:pPr>
      <w:r>
        <w:t xml:space="preserve">- реестр закупок; </w:t>
      </w:r>
      <w:r/>
    </w:p>
    <w:p>
      <w:pPr>
        <w:pBdr/>
        <w:spacing/>
        <w:ind w:firstLine="709"/>
        <w:jc w:val="both"/>
        <w:rPr/>
      </w:pPr>
      <w:r>
        <w:t xml:space="preserve">- планы–графики на 202</w:t>
      </w:r>
      <w:r>
        <w:t xml:space="preserve">3</w:t>
      </w:r>
      <w:r>
        <w:t xml:space="preserve"> и 202</w:t>
      </w:r>
      <w:r>
        <w:t xml:space="preserve">4</w:t>
      </w:r>
      <w:r>
        <w:t xml:space="preserve"> годы;</w:t>
      </w:r>
      <w:r/>
    </w:p>
    <w:p>
      <w:pPr>
        <w:pBdr/>
        <w:spacing/>
        <w:ind w:firstLine="709"/>
        <w:jc w:val="both"/>
        <w:rPr/>
      </w:pPr>
      <w:r>
        <w:rPr>
          <w:iCs/>
          <w:shd w:val="clear" w:color="auto" w:fill="ffffff"/>
        </w:rPr>
        <w:t xml:space="preserve">- отчеты, предусмотренные нормативными документами о контрактной системе;</w:t>
      </w:r>
      <w:r/>
    </w:p>
    <w:p>
      <w:pPr>
        <w:pBdr/>
        <w:spacing/>
        <w:ind w:firstLine="709"/>
        <w:jc w:val="both"/>
        <w:rPr/>
      </w:pPr>
      <w:r>
        <w:rPr>
          <w:iCs/>
          <w:highlight w:val="white"/>
        </w:rPr>
        <w:t xml:space="preserve">- материалы, размещенные Учреждением в</w:t>
      </w:r>
      <w:r>
        <w:rPr>
          <w:bCs/>
          <w:iCs/>
          <w:color w:val="000000"/>
          <w:highlight w:val="white"/>
        </w:rPr>
        <w:t xml:space="preserve"> информационной системе «WEB-Торги-КС» Калужской области;</w:t>
      </w:r>
      <w:r/>
    </w:p>
    <w:p>
      <w:pPr>
        <w:pBdr/>
        <w:spacing/>
        <w:ind w:firstLine="709"/>
        <w:jc w:val="both"/>
        <w:rPr/>
      </w:pPr>
      <w:r>
        <w:rPr>
          <w:bCs/>
          <w:iCs/>
          <w:color w:val="000000"/>
          <w:highlight w:val="white"/>
        </w:rPr>
        <w:t xml:space="preserve">- порядок использования Учрежд</w:t>
      </w:r>
      <w:r>
        <w:rPr>
          <w:bCs/>
          <w:iCs/>
          <w:color w:val="000000"/>
          <w:highlight w:val="white"/>
        </w:rPr>
        <w:t xml:space="preserve">ением системы «Маркетинговые исследования малых закупок» Калужской области (МИМЗ)</w:t>
      </w:r>
      <w:r>
        <w:rPr>
          <w:iCs/>
          <w:highlight w:val="white"/>
        </w:rPr>
        <w:t xml:space="preserve">. </w:t>
      </w:r>
      <w:r/>
    </w:p>
    <w:p>
      <w:pPr>
        <w:widowControl w:val="false"/>
        <w:pBdr/>
        <w:spacing/>
        <w:ind w:firstLine="709"/>
        <w:jc w:val="both"/>
        <w:rPr>
          <w:iCs/>
          <w:highlight w:val="white"/>
        </w:rPr>
      </w:pPr>
      <w:r>
        <w:rPr>
          <w:iCs/>
          <w:highlight w:val="white"/>
        </w:rPr>
      </w:r>
      <w:r>
        <w:rPr>
          <w:iCs/>
          <w:highlight w:val="white"/>
        </w:rPr>
      </w:r>
      <w:r>
        <w:rPr>
          <w:iCs/>
          <w:highlight w:val="white"/>
        </w:rPr>
      </w:r>
    </w:p>
    <w:p>
      <w:pPr>
        <w:pBdr/>
        <w:spacing/>
        <w:ind/>
        <w:jc w:val="both"/>
        <w:rPr/>
      </w:pPr>
      <w:r>
        <w:rPr>
          <w:b/>
          <w:color w:val="000000"/>
        </w:rPr>
        <w:t xml:space="preserve">В ходе проверки</w:t>
      </w:r>
      <w:r/>
    </w:p>
    <w:p>
      <w:pPr>
        <w:widowControl w:val="false"/>
        <w:pBdr/>
        <w:spacing/>
        <w:ind w:firstLine="709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  <w:highlight w:val="white"/>
        </w:rPr>
        <w:t xml:space="preserve">УСТАНОВЛЕНО:</w:t>
      </w:r>
      <w:r>
        <w:rPr>
          <w:b/>
          <w:bCs/>
          <w:iCs/>
          <w:color w:val="000000"/>
        </w:rPr>
      </w:r>
      <w:r>
        <w:rPr>
          <w:b/>
          <w:bCs/>
          <w:iCs/>
          <w:color w:val="000000"/>
        </w:rPr>
      </w:r>
    </w:p>
    <w:p>
      <w:pPr>
        <w:pStyle w:val="843"/>
        <w:widowControl w:val="false"/>
        <w:pBdr/>
        <w:spacing/>
        <w:ind w:firstLine="709"/>
        <w:jc w:val="both"/>
        <w:rPr/>
      </w:pPr>
      <w:r>
        <w:rPr>
          <w:iCs/>
          <w:highlight w:val="white"/>
        </w:rPr>
        <w:t xml:space="preserve">П</w:t>
      </w:r>
      <w:r>
        <w:rPr>
          <w:iCs/>
          <w:highlight w:val="white"/>
        </w:rPr>
        <w:t xml:space="preserve">роверка Учреждения проведена </w:t>
      </w:r>
      <w:r>
        <w:rPr>
          <w:iCs/>
          <w:highlight w:val="white"/>
        </w:rPr>
        <w:t xml:space="preserve">в присутствии</w:t>
      </w:r>
      <w:r>
        <w:rPr>
          <w:iCs/>
          <w:highlight w:val="white"/>
        </w:rPr>
        <w:t xml:space="preserve"> заместител</w:t>
      </w:r>
      <w:r>
        <w:rPr>
          <w:iCs/>
          <w:highlight w:val="white"/>
        </w:rPr>
        <w:t xml:space="preserve">я</w:t>
      </w:r>
      <w:r>
        <w:rPr>
          <w:iCs/>
          <w:highlight w:val="white"/>
        </w:rPr>
        <w:t xml:space="preserve"> директора по административно-хозяйственной работе Диденко Натальи Анатольевны, с обязанностями контрактного управляющего Учреждения</w:t>
      </w:r>
      <w:r>
        <w:rPr>
          <w:iCs/>
          <w:highlight w:val="white"/>
        </w:rPr>
        <w:t xml:space="preserve"> (приказ Учреждения от 10.12.2013 № 66 «О назначении ответственного лица»)</w:t>
      </w:r>
      <w:r>
        <w:rPr>
          <w:iCs/>
          <w:highlight w:val="white"/>
        </w:rPr>
        <w:t xml:space="preserve">.   </w:t>
      </w:r>
      <w:r/>
    </w:p>
    <w:p>
      <w:pPr>
        <w:pStyle w:val="900"/>
        <w:pBdr/>
        <w:spacing/>
        <w:ind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Руководство Учреждением осуществляется директором – Рожковой Ниной Васильевной (распоряжение начальника управления культуры города Калуги о назначении на должность</w:t>
      </w:r>
      <w:r>
        <w:rPr>
          <w:rFonts w:ascii="Times New Roman" w:hAnsi="Times New Roman"/>
          <w:sz w:val="24"/>
          <w:szCs w:val="24"/>
        </w:rPr>
        <w:t xml:space="preserve"> директора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</w:rPr>
        <w:t xml:space="preserve">06.09.20</w:t>
      </w:r>
      <w:r>
        <w:rPr>
          <w:rFonts w:ascii="Times New Roman" w:hAnsi="Times New Roman"/>
          <w:color w:val="000000"/>
          <w:sz w:val="24"/>
          <w:szCs w:val="24"/>
        </w:rPr>
        <w:t xml:space="preserve">24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196-14-р</w:t>
      </w:r>
      <w:r>
        <w:rPr>
          <w:rFonts w:ascii="Times New Roman" w:hAnsi="Times New Roman"/>
          <w:color w:val="000000"/>
          <w:sz w:val="24"/>
          <w:szCs w:val="24"/>
        </w:rPr>
        <w:t xml:space="preserve">).</w:t>
      </w:r>
      <w:r/>
    </w:p>
    <w:p>
      <w:pPr>
        <w:pStyle w:val="843"/>
        <w:pBdr/>
        <w:spacing/>
        <w:ind w:firstLine="709"/>
        <w:jc w:val="both"/>
        <w:rPr/>
      </w:pPr>
      <w:r>
        <w:t xml:space="preserve">Ответственные лица для размещения информации в единой информационной системе в сфере закупок товаров, работ, услуг (далее — ГИС ЕИС), с возложенными приказом </w:t>
      </w:r>
      <w:r>
        <w:rPr>
          <w:color w:val="000000"/>
        </w:rPr>
        <w:t xml:space="preserve">№ 31 от 13.06.2018</w:t>
      </w:r>
      <w:r>
        <w:t xml:space="preserve"> полномочиями:</w:t>
      </w:r>
      <w:r/>
    </w:p>
    <w:p>
      <w:pPr>
        <w:pStyle w:val="843"/>
        <w:pBdr/>
        <w:spacing/>
        <w:ind w:firstLine="709"/>
        <w:jc w:val="both"/>
        <w:rPr/>
      </w:pPr>
      <w:r>
        <w:t xml:space="preserve">- Рожкова Нина Васильевна</w:t>
      </w:r>
      <w:r>
        <w:t xml:space="preserve"> – </w:t>
      </w:r>
      <w:r>
        <w:t xml:space="preserve">директор</w:t>
      </w:r>
      <w:r>
        <w:t xml:space="preserve"> Учреждения с полномочиями: лицо, имеющее право подписи документов от имени организации, администратор организации, лицо, уполномоченное на размещение информации и документов, руководитель организации;</w:t>
      </w:r>
      <w:r/>
    </w:p>
    <w:p>
      <w:pPr>
        <w:pStyle w:val="843"/>
        <w:pBdr/>
        <w:spacing/>
        <w:ind w:firstLine="709"/>
        <w:jc w:val="both"/>
        <w:rPr/>
      </w:pPr>
      <w:r>
        <w:t xml:space="preserve">- </w:t>
      </w:r>
      <w:r>
        <w:rPr>
          <w:iCs/>
          <w:highlight w:val="white"/>
        </w:rPr>
        <w:t xml:space="preserve">Диденко Наталья Анатольевна – </w:t>
      </w:r>
      <w:r>
        <w:t xml:space="preserve">з</w:t>
      </w:r>
      <w:r>
        <w:rPr>
          <w:iCs/>
          <w:shd w:val="clear" w:color="auto" w:fill="ffffff"/>
        </w:rPr>
        <w:t xml:space="preserve">аместитель директора по административно-хозяйственной работе</w:t>
      </w:r>
      <w:r>
        <w:t xml:space="preserve"> с обязанностями контрактного управляющего с полномочиями: лицо, имеющее право подписи документов от имени организации, администратор организации, лицо, уполномоченное на размещение информации и документов.</w:t>
      </w:r>
      <w:r>
        <w:rPr>
          <w:iCs/>
          <w:highlight w:val="white"/>
        </w:rPr>
      </w:r>
      <w:r/>
    </w:p>
    <w:p>
      <w:pPr>
        <w:pStyle w:val="843"/>
        <w:pBdr/>
        <w:spacing/>
        <w:ind w:firstLine="709"/>
        <w:jc w:val="both"/>
        <w:rPr>
          <w:rFonts w:eastAsia="Calibri"/>
          <w:color w:val="000000"/>
          <w:highlight w:val="none"/>
          <w:lang w:eastAsia="en-US"/>
        </w:rPr>
      </w:pPr>
      <w:r>
        <w:rPr>
          <w:rFonts w:eastAsia="Calibri"/>
          <w:color w:val="000000"/>
          <w:lang w:eastAsia="en-US"/>
        </w:rPr>
        <w:t xml:space="preserve">Повышение квалификации в области закупочной деятельности: Диденко Наталья Анатольевна — с 26.05.</w:t>
      </w:r>
      <w:r>
        <w:rPr>
          <w:rFonts w:eastAsia="Calibri"/>
          <w:color w:val="000000"/>
          <w:lang w:eastAsia="en-US"/>
        </w:rPr>
        <w:t xml:space="preserve">2022 по 13.06.202</w:t>
      </w:r>
      <w:r>
        <w:rPr>
          <w:rFonts w:eastAsia="Calibri"/>
          <w:color w:val="000000"/>
          <w:lang w:eastAsia="en-US"/>
        </w:rPr>
        <w:t xml:space="preserve">2 в ЧУ ДПО «ИПК «Эксперт» в объеме 144 часов по программе «Контрактная система в сфере закупок товаров, работ, услуг для обеспечения государственных и муниципальных нужд». Регистрационный номер 22289 г.Нижний Новгород, дата выдачи Удостоверения 13.06.2022.</w:t>
      </w:r>
      <w:r>
        <w:rPr>
          <w:rFonts w:eastAsia="Calibri"/>
          <w:color w:val="000000"/>
          <w:highlight w:val="none"/>
          <w:lang w:eastAsia="en-US"/>
        </w:rPr>
      </w:r>
    </w:p>
    <w:p>
      <w:pPr>
        <w:pStyle w:val="843"/>
        <w:pBdr/>
        <w:spacing/>
        <w:ind w:firstLine="709"/>
        <w:jc w:val="both"/>
        <w:rPr>
          <w:rFonts w:eastAsia="Calibri"/>
          <w:color w:val="000000"/>
          <w:highlight w:val="none"/>
          <w:lang w:eastAsia="en-US"/>
        </w:rPr>
      </w:pPr>
      <w:r>
        <w:rPr>
          <w:rFonts w:eastAsia="Calibri"/>
          <w:color w:val="000000"/>
          <w:lang w:eastAsia="en-US"/>
        </w:rPr>
        <w:t xml:space="preserve">Повышение квалификации в области закупочной деятельности: </w:t>
      </w:r>
      <w:r>
        <w:t xml:space="preserve">Рожкова Нина Васильевна</w:t>
      </w:r>
      <w:r>
        <w:rPr>
          <w:rFonts w:eastAsia="Calibri"/>
          <w:color w:val="000000"/>
          <w:lang w:eastAsia="en-US"/>
        </w:rPr>
        <w:t xml:space="preserve"> — с 26.05.</w:t>
      </w:r>
      <w:r>
        <w:rPr>
          <w:rFonts w:eastAsia="Calibri"/>
          <w:color w:val="000000"/>
          <w:lang w:eastAsia="en-US"/>
        </w:rPr>
        <w:t xml:space="preserve">2022 по 30.05.2022 в ЧУ ДПО «ИПК «Эксперт» в объеме 144 часов по программе «Контрактная система в сфере закупок товаров, работ, услуг для обеспечения государственных и муниципальных нужд». </w:t>
      </w:r>
      <w:r>
        <w:rPr>
          <w:rFonts w:eastAsia="Calibri"/>
          <w:color w:val="000000"/>
          <w:lang w:eastAsia="en-US"/>
        </w:rPr>
        <w:t xml:space="preserve">Регистрационный номер 22285 г.Нижний Новгород, дата выдачи Удостоверения 30.05.2022.</w:t>
      </w:r>
      <w:r>
        <w:rPr>
          <w:rFonts w:eastAsia="Calibri"/>
          <w:color w:val="000000"/>
          <w:highlight w:val="none"/>
          <w:lang w:eastAsia="en-US"/>
        </w:rPr>
      </w:r>
      <w:r>
        <w:rPr>
          <w:rFonts w:eastAsia="Calibri"/>
          <w:color w:val="000000"/>
          <w:highlight w:val="none"/>
          <w:lang w:eastAsia="en-US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Учреждение является муниципальным бюджетным учреждением. Учредитель муниципальное образование «Город Калуга». Функции и полномочия учредителя осуществляет Городская Управа города Калуги. </w:t>
      </w:r>
      <w:r>
        <w:rPr>
          <w:color w:val="000000"/>
        </w:rPr>
      </w:r>
      <w:r>
        <w:rPr>
          <w:color w:val="000000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Основными целями и задачами деятельности Учреждения являются:</w:t>
      </w:r>
      <w:r>
        <w:rPr>
          <w:color w:val="000000"/>
        </w:rPr>
      </w:r>
      <w:r>
        <w:rPr>
          <w:color w:val="000000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- образовательная деятельность по дополнительным общеобразовательным программам;</w:t>
      </w:r>
      <w:r>
        <w:rPr>
          <w:color w:val="000000"/>
        </w:rPr>
      </w:r>
      <w:r>
        <w:rPr>
          <w:color w:val="000000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- формирование и развитие творческих способностей учащихся.</w:t>
      </w:r>
      <w:r>
        <w:rPr>
          <w:color w:val="000000"/>
        </w:rPr>
      </w:r>
      <w:r>
        <w:rPr>
          <w:color w:val="000000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Учреждение является самостоятельным юридическим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Устава.  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Источниками финансового обеспечения Учреждения являются: 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- субсидии, предоставляемые на выполнение муниципального задания;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- субсидии на иные цели; 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- средства от приносящей доход деятельности.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Учреждение осуществляет закупки товаров, работ,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color w:val="auto"/>
        </w:rPr>
      </w:r>
      <w:r>
        <w:rPr>
          <w:color w:val="auto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left="708"/>
        <w:jc w:val="both"/>
        <w:rPr>
          <w:color w:val="auto"/>
          <w:highlight w:val="none"/>
        </w:rPr>
      </w:pPr>
      <w:r>
        <w:rPr>
          <w:color w:val="auto"/>
        </w:rPr>
        <w:t xml:space="preserve">Учреждение </w:t>
      </w:r>
      <w:r>
        <w:rPr>
          <w:color w:val="auto"/>
        </w:rPr>
        <w:t xml:space="preserve">в 202</w:t>
      </w:r>
      <w:r>
        <w:rPr>
          <w:color w:val="auto"/>
        </w:rPr>
        <w:t xml:space="preserve">4</w:t>
      </w:r>
      <w:r>
        <w:rPr>
          <w:color w:val="auto"/>
        </w:rPr>
        <w:t xml:space="preserve"> и 202</w:t>
      </w:r>
      <w:r>
        <w:rPr>
          <w:color w:val="auto"/>
        </w:rPr>
        <w:t xml:space="preserve">5</w:t>
      </w:r>
      <w:r>
        <w:rPr>
          <w:color w:val="auto"/>
        </w:rPr>
        <w:t xml:space="preserve"> годах конкурентные процедуры не проводило. </w:t>
      </w:r>
      <w:r>
        <w:rPr>
          <w:color w:val="auto"/>
        </w:rPr>
      </w:r>
      <w:r>
        <w:rPr>
          <w:color w:val="auto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08"/>
        <w:jc w:val="both"/>
        <w:rPr>
          <w:color w:val="auto"/>
        </w:rPr>
      </w:pPr>
      <w:r>
        <w:rPr>
          <w:bCs/>
          <w:iCs/>
          <w:color w:val="auto"/>
        </w:rPr>
        <w:t xml:space="preserve">С 01.01.2019 Учреждение работает в информационной системе «WEB-Торги-КС» </w:t>
      </w:r>
      <w:r>
        <w:rPr>
          <w:bCs/>
          <w:iCs/>
          <w:color w:val="auto"/>
        </w:rPr>
        <w:t xml:space="preserve">Калужской области,</w:t>
      </w:r>
      <w:r>
        <w:rPr>
          <w:bCs/>
          <w:iCs/>
          <w:color w:val="auto"/>
        </w:rPr>
        <w:t xml:space="preserve"> из которой вся информация размещается в ЕИС.</w:t>
      </w:r>
      <w:r>
        <w:rPr>
          <w:color w:val="auto"/>
        </w:rPr>
      </w:r>
      <w:r>
        <w:rPr>
          <w:color w:val="auto"/>
        </w:rPr>
      </w:r>
    </w:p>
    <w:p>
      <w:pPr>
        <w:pStyle w:val="899"/>
        <w:pBdr/>
        <w:spacing/>
        <w:ind w:firstLine="708" w:left="0"/>
        <w:jc w:val="both"/>
        <w:rPr>
          <w:color w:val="auto"/>
        </w:rPr>
      </w:pPr>
      <w:r>
        <w:rPr>
          <w:bCs/>
          <w:iCs/>
          <w:color w:val="auto"/>
          <w:lang w:eastAsia="ru-RU"/>
        </w:rPr>
        <w:t xml:space="preserve">В соответствии со статьей 73 БК РФ в Учреждении ведется реестр муниципальных контрактов, заключенных по основаниям части 1 статьи 93 Закона № 44-ФЗ в информационной системе «WEB-Торги-КС» Калужской области.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8"/>
        <w:jc w:val="both"/>
        <w:rPr>
          <w:color w:val="auto"/>
        </w:rPr>
      </w:pPr>
      <w:r>
        <w:rPr>
          <w:color w:val="auto"/>
        </w:rPr>
        <w:t xml:space="preserve">Договора на поставку товаров, выполнение </w:t>
      </w:r>
      <w:r>
        <w:rPr>
          <w:color w:val="auto"/>
        </w:rPr>
        <w:t xml:space="preserve">работ</w:t>
      </w:r>
      <w:r>
        <w:rPr>
          <w:color w:val="auto"/>
        </w:rPr>
        <w:t xml:space="preserve">, оказание услуг для нужд Учреждения в проверяемый период заключались по основаниям пунктов 4 и 5 части 1 статьи 93 Закона № 44-ФЗ с единственным поставщиком, подрядчиком, исполнителем с регистрацией в автоматизированной системе управления закупками «</w:t>
      </w:r>
      <w:r>
        <w:rPr>
          <w:color w:val="auto"/>
          <w:lang w:val="en-US"/>
        </w:rPr>
        <w:t xml:space="preserve">Web</w:t>
      </w:r>
      <w:r>
        <w:rPr>
          <w:color w:val="auto"/>
        </w:rPr>
        <w:t xml:space="preserve">-Торги-КС», в т.ч. с использованием системы «Маркетинговые исследования малых закупок» Калужской области (МИМЗ). 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8"/>
        <w:contextualSpacing w:val="true"/>
        <w:jc w:val="both"/>
        <w:rPr>
          <w:color w:val="000000" w:themeColor="text1"/>
        </w:rPr>
      </w:pPr>
      <w:r>
        <w:rPr>
          <w:color w:val="auto"/>
        </w:rPr>
        <w:t xml:space="preserve">Отчеты об объемах закупок у субъектов малого предпринимательства, социально ор</w:t>
      </w:r>
      <w:r>
        <w:rPr>
          <w:color w:val="000000" w:themeColor="text1"/>
        </w:rPr>
        <w:t xml:space="preserve">иентированных некоммерческих организаций за 2023 и 2024 годы</w:t>
      </w:r>
      <w:r>
        <w:rPr>
          <w:color w:val="000000" w:themeColor="text1"/>
        </w:rPr>
        <w:t xml:space="preserve"> Учреждением </w:t>
      </w:r>
      <w:r>
        <w:rPr>
          <w:color w:val="000000" w:themeColor="text1"/>
        </w:rPr>
        <w:t xml:space="preserve">размещены в </w:t>
      </w:r>
      <w:r>
        <w:rPr>
          <w:color w:val="000000" w:themeColor="text1"/>
        </w:rPr>
        <w:t xml:space="preserve">ГИС ЕИС своевременно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Bdr/>
        <w:spacing/>
        <w:ind w:firstLine="708"/>
        <w:contextualSpacing w:val="true"/>
        <w:jc w:val="both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Отчеты о закупке товаров</w:t>
      </w:r>
      <w:r>
        <w:rPr>
          <w:color w:val="000000" w:themeColor="text1"/>
        </w:rPr>
        <w:t xml:space="preserve">,</w:t>
      </w:r>
      <w:r>
        <w:rPr>
          <w:color w:val="000000" w:themeColor="text1"/>
        </w:rPr>
        <w:t xml:space="preserve"> произведенных в Российской Федерации за 202</w:t>
      </w:r>
      <w:r>
        <w:rPr>
          <w:color w:val="000000" w:themeColor="text1"/>
        </w:rPr>
        <w:t xml:space="preserve">3 и 2024</w:t>
      </w:r>
      <w:r>
        <w:rPr>
          <w:color w:val="000000" w:themeColor="text1"/>
        </w:rPr>
        <w:t xml:space="preserve"> годы Учреждением размещены в ГИС ЕИС своевременно</w:t>
      </w:r>
      <w:r>
        <w:rPr>
          <w:color w:val="000000" w:themeColor="text1"/>
        </w:rPr>
        <w:t xml:space="preserve">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Bdr/>
        <w:spacing/>
        <w:ind w:firstLine="708"/>
        <w:jc w:val="both"/>
        <w:rPr>
          <w:color w:val="auto"/>
        </w:rPr>
      </w:pPr>
      <w:r>
        <w:rPr>
          <w:color w:val="auto"/>
        </w:rPr>
        <w:t xml:space="preserve">Планы-графики закупок товаров, работ, услуг </w:t>
      </w:r>
      <w:r>
        <w:rPr>
          <w:color w:val="auto"/>
        </w:rPr>
        <w:t xml:space="preserve">утверждены </w:t>
      </w:r>
      <w:r>
        <w:rPr>
          <w:color w:val="auto"/>
        </w:rPr>
        <w:t xml:space="preserve">и размещены в ГИС ЕИС </w:t>
      </w:r>
      <w:r>
        <w:rPr>
          <w:color w:val="auto"/>
        </w:rPr>
        <w:t xml:space="preserve">с использованием усиленной электронной цифровой подп</w:t>
      </w:r>
      <w:r>
        <w:rPr>
          <w:color w:val="auto"/>
        </w:rPr>
        <w:t xml:space="preserve">и</w:t>
      </w:r>
      <w:r>
        <w:rPr>
          <w:color w:val="auto"/>
        </w:rPr>
        <w:t xml:space="preserve">си руководителя</w:t>
      </w:r>
      <w:r>
        <w:rPr>
          <w:color w:val="auto"/>
        </w:rPr>
        <w:t xml:space="preserve"> Учреждения в установленном порядке.</w:t>
      </w:r>
      <w:r>
        <w:rPr>
          <w:color w:val="auto"/>
        </w:rPr>
        <w:t xml:space="preserve"> </w:t>
      </w:r>
      <w:r>
        <w:rPr>
          <w:color w:val="auto"/>
        </w:rPr>
      </w:r>
      <w:r>
        <w:rPr>
          <w:color w:val="auto"/>
        </w:rPr>
      </w:r>
    </w:p>
    <w:p>
      <w:pPr>
        <w:pStyle w:val="899"/>
        <w:pBdr/>
        <w:spacing/>
        <w:ind w:firstLine="708" w:left="0"/>
        <w:jc w:val="both"/>
        <w:rPr>
          <w:color w:val="auto"/>
          <w:highlight w:val="none"/>
        </w:rPr>
      </w:pPr>
      <w:r>
        <w:rPr>
          <w:color w:val="auto"/>
          <w:lang w:eastAsia="ru-RU"/>
        </w:rPr>
        <w:t xml:space="preserve">Первичные планы-графики закупо</w:t>
      </w:r>
      <w:r>
        <w:rPr>
          <w:color w:val="auto"/>
          <w:lang w:eastAsia="ru-RU"/>
        </w:rPr>
        <w:t xml:space="preserve">к товаров, работ, услуг для обеспечен</w:t>
      </w:r>
      <w:r>
        <w:rPr>
          <w:color w:val="auto"/>
          <w:lang w:eastAsia="ru-RU"/>
        </w:rPr>
        <w:t xml:space="preserve">ия нужд субъекта Российской Федерации и муниципальных нужд на 202</w:t>
      </w:r>
      <w:r>
        <w:rPr>
          <w:color w:val="auto"/>
          <w:lang w:eastAsia="ru-RU"/>
        </w:rPr>
        <w:t xml:space="preserve">4</w:t>
      </w:r>
      <w:r>
        <w:rPr>
          <w:color w:val="auto"/>
          <w:lang w:eastAsia="ru-RU"/>
        </w:rPr>
        <w:t xml:space="preserve"> и 2025 финансовые года базовой версии 0.0 размещены в ЕИС своевременно. 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pStyle w:val="843"/>
        <w:pBdr/>
        <w:tabs>
          <w:tab w:val="left" w:leader="none" w:pos="709"/>
        </w:tabs>
        <w:spacing/>
        <w:ind w:firstLine="708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99"/>
        <w:pBdr/>
        <w:spacing/>
        <w:ind w:firstLine="708" w:left="0"/>
        <w:jc w:val="both"/>
        <w:rPr>
          <w:b/>
          <w:bCs/>
        </w:rPr>
      </w:pPr>
      <w:r>
        <w:rPr>
          <w:b/>
          <w:bCs/>
        </w:rPr>
        <w:t xml:space="preserve">Выводы:</w:t>
      </w:r>
      <w:r>
        <w:rPr>
          <w:b/>
          <w:bCs/>
        </w:rPr>
      </w:r>
      <w:r>
        <w:rPr>
          <w:b/>
          <w:bCs/>
        </w:rPr>
      </w:r>
    </w:p>
    <w:p>
      <w:pPr>
        <w:pBdr/>
        <w:tabs>
          <w:tab w:val="left" w:leader="none" w:pos="0"/>
          <w:tab w:val="left" w:leader="none" w:pos="993"/>
        </w:tabs>
        <w:spacing/>
        <w:ind w:firstLine="709"/>
        <w:jc w:val="both"/>
        <w:rPr/>
      </w:pPr>
      <w:r>
        <w:t xml:space="preserve">1. Направить Акт проверки Учреждению.</w:t>
      </w:r>
      <w:r/>
    </w:p>
    <w:p>
      <w:pPr>
        <w:pBdr/>
        <w:tabs>
          <w:tab w:val="left" w:leader="none" w:pos="0"/>
        </w:tabs>
        <w:spacing/>
        <w:ind w:firstLine="709"/>
        <w:jc w:val="both"/>
        <w:rPr/>
      </w:pPr>
      <w:r>
        <w:t xml:space="preserve">2. Разместить настоящий Акт проверки в единой информацио</w:t>
      </w:r>
      <w:r>
        <w:t xml:space="preserve">нной системе в сфере закупок (ГИС ЕИС закупки).</w:t>
      </w:r>
      <w:r/>
    </w:p>
    <w:p>
      <w:pPr>
        <w:pStyle w:val="899"/>
        <w:pBdr/>
        <w:spacing/>
        <w:ind w:firstLine="708" w:left="0"/>
        <w:jc w:val="both"/>
        <w:rPr/>
      </w:pPr>
      <w:r>
        <w:rPr>
          <w:bCs/>
          <w:highlight w:val="none"/>
        </w:rPr>
      </w:r>
      <w:r/>
    </w:p>
    <w:p>
      <w:pPr>
        <w:pStyle w:val="899"/>
        <w:pBdr/>
        <w:spacing/>
        <w:ind w:firstLine="708" w:left="0"/>
        <w:jc w:val="both"/>
        <w:rPr>
          <w:highlight w:val="none"/>
        </w:rPr>
      </w:pPr>
      <w:r>
        <w:rPr>
          <w:bCs/>
        </w:rPr>
        <w:t xml:space="preserve">Акт составлен в 2-х экземплярах на 3</w:t>
      </w:r>
      <w:r>
        <w:rPr>
          <w:bCs/>
        </w:rPr>
        <w:t xml:space="preserve"> листах.</w:t>
      </w:r>
      <w:r>
        <w:rPr>
          <w:highlight w:val="none"/>
        </w:rPr>
      </w:r>
      <w:r>
        <w:rPr>
          <w:highlight w:val="none"/>
        </w:rPr>
      </w:r>
    </w:p>
    <w:p>
      <w:pPr>
        <w:pStyle w:val="899"/>
        <w:pBdr/>
        <w:spacing/>
        <w:ind w:left="0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tbl>
      <w:tblPr>
        <w:tblW w:w="0" w:type="auto"/>
        <w:tblInd w:w="144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42"/>
        <w:gridCol w:w="2162"/>
        <w:gridCol w:w="3508"/>
      </w:tblGrid>
      <w:tr>
        <w:trPr>
          <w:trHeight w:val="119"/>
        </w:trPr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Председатель комиссии: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Бубич</w:t>
            </w:r>
            <w:r>
              <w:rPr>
                <w:bCs/>
              </w:rPr>
              <w:t xml:space="preserve"> И.Ю.</w:t>
            </w:r>
            <w:r/>
          </w:p>
          <w:p>
            <w:pPr>
              <w:pStyle w:val="899"/>
              <w:pBdr/>
              <w:spacing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Члены комиссии: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Смирнов Г.В.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Радова</w:t>
            </w:r>
            <w:r>
              <w:rPr>
                <w:bCs/>
              </w:rPr>
              <w:t xml:space="preserve"> Н.С.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Style w:val="843"/>
        <w:widowControl w:val="false"/>
        <w:pBdr/>
        <w:spacing/>
        <w:ind w:firstLine="709"/>
        <w:jc w:val="both"/>
        <w:rPr>
          <w:highlight w:val="none"/>
        </w:rPr>
      </w:pPr>
      <w:r>
        <w:t xml:space="preserve">В случае несогласия с вынесенным решением Вы имеете право в течение 10 ра</w:t>
      </w:r>
      <w:r>
        <w:t xml:space="preserve">бочих дней со дня получения копии акта проверки, представить в орган ведомственного контроля в сфере закупок управления культуры города Калуги, по адресу: г. Калуга, ул. Салтыкова-Щедрина, дом 72 письменные возражения по фактам, изложенным в акте проверки.</w:t>
      </w:r>
      <w:r>
        <w:rPr>
          <w:highlight w:val="none"/>
        </w:rPr>
      </w:r>
      <w:r>
        <w:rPr>
          <w:highlight w:val="none"/>
        </w:rPr>
      </w:r>
    </w:p>
    <w:p>
      <w:pPr>
        <w:pStyle w:val="843"/>
        <w:pBdr/>
        <w:spacing/>
        <w:ind w:firstLine="390"/>
        <w:jc w:val="both"/>
        <w:rPr/>
      </w:pPr>
      <w:r>
        <w:t xml:space="preserve">Акт получил:</w:t>
      </w:r>
      <w:r/>
    </w:p>
    <w:p>
      <w:pPr>
        <w:pStyle w:val="843"/>
        <w:pBdr/>
        <w:spacing/>
        <w:ind w:firstLine="390"/>
        <w:jc w:val="both"/>
        <w:rPr/>
      </w:pPr>
      <w:r>
        <w:t xml:space="preserve">_______________________________</w:t>
        <w:tab/>
        <w:tab/>
        <w:t xml:space="preserve">                                       «___» </w:t>
      </w:r>
      <w:r>
        <w:t xml:space="preserve">апреля</w:t>
      </w:r>
      <w:r>
        <w:t xml:space="preserve"> 2025</w:t>
      </w:r>
      <w:r>
        <w:t xml:space="preserve"> года</w:t>
      </w:r>
      <w:r/>
    </w:p>
    <w:p>
      <w:pPr>
        <w:pStyle w:val="843"/>
        <w:pBdr/>
        <w:spacing/>
        <w:ind w:firstLine="390"/>
        <w:jc w:val="both"/>
        <w:rPr/>
      </w:pPr>
      <w:r>
        <w:t xml:space="preserve">           </w:t>
      </w:r>
      <w:r>
        <w:t xml:space="preserve">(должность, подпись, ФИО)</w:t>
      </w:r>
      <w:r/>
    </w:p>
    <w:sectPr>
      <w:footnotePr/>
      <w:endnotePr/>
      <w:type w:val="nextPage"/>
      <w:pgSz w:h="16838" w:orient="portrait" w:w="11906"/>
      <w:pgMar w:top="710" w:right="566" w:bottom="821" w:left="1245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ahoma">
    <w:panose1 w:val="020B0604030504040204"/>
  </w:font>
  <w:font w:name="Liberation Sans">
    <w:panose1 w:val="020B0604020202020204"/>
  </w:font>
  <w:font w:name="Mangal">
    <w:panose1 w:val="02040503050406030204"/>
  </w:font>
  <w:font w:name="Courier New">
    <w:panose1 w:val="020703090202050204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432" w:left="432"/>
      </w:pPr>
      <w:pStyle w:val="844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576" w:left="576"/>
      </w:pPr>
      <w:pStyle w:val="845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pStyle w:val="846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864" w:left="864"/>
      </w:pPr>
      <w:pStyle w:val="847"/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Table Grid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Table Grid Light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1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2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Plain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Plain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Plain Table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1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2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3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4 - Accent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4 - Accent 5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4 - Accent 6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5 Dark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4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4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&amp; 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&amp; 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&amp; 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Bordered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Bordered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5">
    <w:name w:val="Heading 1"/>
    <w:basedOn w:val="843"/>
    <w:next w:val="843"/>
    <w:link w:val="80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6">
    <w:name w:val="Heading 2"/>
    <w:basedOn w:val="843"/>
    <w:next w:val="843"/>
    <w:link w:val="80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7">
    <w:name w:val="Heading 3"/>
    <w:basedOn w:val="843"/>
    <w:next w:val="843"/>
    <w:link w:val="80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8">
    <w:name w:val="Heading 4"/>
    <w:basedOn w:val="843"/>
    <w:next w:val="843"/>
    <w:link w:val="80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9">
    <w:name w:val="Heading 5"/>
    <w:basedOn w:val="843"/>
    <w:next w:val="843"/>
    <w:link w:val="80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00">
    <w:name w:val="Heading 6"/>
    <w:basedOn w:val="843"/>
    <w:next w:val="843"/>
    <w:link w:val="81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01">
    <w:name w:val="Heading 7"/>
    <w:basedOn w:val="843"/>
    <w:next w:val="843"/>
    <w:link w:val="81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02">
    <w:name w:val="Heading 8"/>
    <w:basedOn w:val="843"/>
    <w:next w:val="843"/>
    <w:link w:val="81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3">
    <w:name w:val="Heading 9"/>
    <w:basedOn w:val="843"/>
    <w:next w:val="843"/>
    <w:link w:val="81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04" w:default="1">
    <w:name w:val="No List"/>
    <w:uiPriority w:val="99"/>
    <w:semiHidden/>
    <w:unhideWhenUsed/>
    <w:pPr>
      <w:pBdr/>
      <w:spacing/>
      <w:ind/>
    </w:pPr>
  </w:style>
  <w:style w:type="character" w:styleId="805">
    <w:name w:val="Heading 1 Char"/>
    <w:basedOn w:val="869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6">
    <w:name w:val="Heading 2 Char"/>
    <w:basedOn w:val="869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7">
    <w:name w:val="Heading 3 Char"/>
    <w:basedOn w:val="869"/>
    <w:link w:val="7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8">
    <w:name w:val="Heading 4 Char"/>
    <w:basedOn w:val="869"/>
    <w:link w:val="79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9">
    <w:name w:val="Heading 5 Char"/>
    <w:basedOn w:val="869"/>
    <w:link w:val="7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10">
    <w:name w:val="Heading 6 Char"/>
    <w:basedOn w:val="869"/>
    <w:link w:val="80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1">
    <w:name w:val="Heading 7 Char"/>
    <w:basedOn w:val="869"/>
    <w:link w:val="80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2">
    <w:name w:val="Heading 8 Char"/>
    <w:basedOn w:val="869"/>
    <w:link w:val="80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3">
    <w:name w:val="Heading 9 Char"/>
    <w:basedOn w:val="869"/>
    <w:link w:val="80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4">
    <w:name w:val="Title"/>
    <w:basedOn w:val="843"/>
    <w:next w:val="843"/>
    <w:link w:val="81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5">
    <w:name w:val="Title Char"/>
    <w:basedOn w:val="869"/>
    <w:link w:val="8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6">
    <w:name w:val="Subtitle"/>
    <w:basedOn w:val="843"/>
    <w:next w:val="843"/>
    <w:link w:val="81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7">
    <w:name w:val="Subtitle Char"/>
    <w:basedOn w:val="869"/>
    <w:link w:val="81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8">
    <w:name w:val="Quote"/>
    <w:basedOn w:val="843"/>
    <w:next w:val="843"/>
    <w:link w:val="81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9">
    <w:name w:val="Quote Char"/>
    <w:basedOn w:val="869"/>
    <w:link w:val="81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20">
    <w:name w:val="Intense Emphasis"/>
    <w:basedOn w:val="8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21">
    <w:name w:val="Intense Quote"/>
    <w:basedOn w:val="843"/>
    <w:next w:val="843"/>
    <w:link w:val="82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22">
    <w:name w:val="Intense Quote Char"/>
    <w:basedOn w:val="869"/>
    <w:link w:val="82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3">
    <w:name w:val="Intense Reference"/>
    <w:basedOn w:val="8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4">
    <w:name w:val="Subtle Emphasis"/>
    <w:basedOn w:val="8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5">
    <w:name w:val="Emphasis"/>
    <w:basedOn w:val="869"/>
    <w:uiPriority w:val="20"/>
    <w:qFormat/>
    <w:pPr>
      <w:pBdr/>
      <w:spacing/>
      <w:ind/>
    </w:pPr>
    <w:rPr>
      <w:i/>
      <w:iCs/>
    </w:rPr>
  </w:style>
  <w:style w:type="character" w:styleId="826">
    <w:name w:val="Strong"/>
    <w:basedOn w:val="869"/>
    <w:uiPriority w:val="22"/>
    <w:qFormat/>
    <w:pPr>
      <w:pBdr/>
      <w:spacing/>
      <w:ind/>
    </w:pPr>
    <w:rPr>
      <w:b/>
      <w:bCs/>
    </w:rPr>
  </w:style>
  <w:style w:type="character" w:styleId="827">
    <w:name w:val="Subtle Reference"/>
    <w:basedOn w:val="8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8">
    <w:name w:val="Book Title"/>
    <w:basedOn w:val="8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9">
    <w:name w:val="Header"/>
    <w:basedOn w:val="843"/>
    <w:link w:val="830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30">
    <w:name w:val="Header Char"/>
    <w:basedOn w:val="869"/>
    <w:link w:val="829"/>
    <w:uiPriority w:val="99"/>
    <w:pPr>
      <w:pBdr/>
      <w:spacing/>
      <w:ind/>
    </w:pPr>
  </w:style>
  <w:style w:type="paragraph" w:styleId="831">
    <w:name w:val="Footer"/>
    <w:basedOn w:val="843"/>
    <w:link w:val="832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32">
    <w:name w:val="Footer Char"/>
    <w:basedOn w:val="869"/>
    <w:link w:val="831"/>
    <w:uiPriority w:val="99"/>
    <w:pPr>
      <w:pBdr/>
      <w:spacing/>
      <w:ind/>
    </w:pPr>
  </w:style>
  <w:style w:type="paragraph" w:styleId="833">
    <w:name w:val="Caption"/>
    <w:basedOn w:val="843"/>
    <w:next w:val="84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4">
    <w:name w:val="footnote text"/>
    <w:basedOn w:val="843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Footnote Text Char"/>
    <w:basedOn w:val="869"/>
    <w:link w:val="834"/>
    <w:uiPriority w:val="99"/>
    <w:semiHidden/>
    <w:pPr>
      <w:pBdr/>
      <w:spacing/>
      <w:ind/>
    </w:pPr>
    <w:rPr>
      <w:sz w:val="20"/>
      <w:szCs w:val="20"/>
    </w:rPr>
  </w:style>
  <w:style w:type="paragraph" w:styleId="836">
    <w:name w:val="endnote text"/>
    <w:basedOn w:val="843"/>
    <w:link w:val="8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7">
    <w:name w:val="Endnote Text Char"/>
    <w:basedOn w:val="869"/>
    <w:link w:val="836"/>
    <w:uiPriority w:val="99"/>
    <w:semiHidden/>
    <w:pPr>
      <w:pBdr/>
      <w:spacing/>
      <w:ind/>
    </w:pPr>
    <w:rPr>
      <w:sz w:val="20"/>
      <w:szCs w:val="20"/>
    </w:rPr>
  </w:style>
  <w:style w:type="character" w:styleId="838">
    <w:name w:val="end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character" w:styleId="839">
    <w:name w:val="Hyperlink"/>
    <w:basedOn w:val="8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0">
    <w:name w:val="FollowedHyperlink"/>
    <w:basedOn w:val="8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1">
    <w:name w:val="TOC Heading"/>
    <w:uiPriority w:val="39"/>
    <w:unhideWhenUsed/>
    <w:pPr>
      <w:pBdr/>
      <w:spacing/>
      <w:ind/>
    </w:pPr>
  </w:style>
  <w:style w:type="paragraph" w:styleId="842">
    <w:name w:val="table of figures"/>
    <w:basedOn w:val="843"/>
    <w:next w:val="843"/>
    <w:uiPriority w:val="99"/>
    <w:unhideWhenUsed/>
    <w:pPr>
      <w:pBdr/>
      <w:spacing w:after="0" w:afterAutospacing="0"/>
      <w:ind/>
    </w:pPr>
  </w:style>
  <w:style w:type="paragraph" w:styleId="843" w:default="1">
    <w:name w:val="Normal"/>
    <w:next w:val="843"/>
    <w:link w:val="843"/>
    <w:qFormat/>
    <w:pPr>
      <w:pBdr/>
      <w:spacing/>
      <w:ind/>
    </w:pPr>
    <w:rPr>
      <w:color w:val="00000a"/>
      <w:sz w:val="24"/>
      <w:szCs w:val="24"/>
      <w:lang w:val="ru-RU" w:eastAsia="ru-RU" w:bidi="ar-SA"/>
    </w:rPr>
  </w:style>
  <w:style w:type="paragraph" w:styleId="844">
    <w:name w:val="Заголовок 1"/>
    <w:basedOn w:val="843"/>
    <w:next w:val="883"/>
    <w:link w:val="843"/>
    <w:qFormat/>
    <w:pPr>
      <w:keepNext w:val="true"/>
      <w:numPr>
        <w:ilvl w:val="0"/>
        <w:numId w:val="1"/>
      </w:numPr>
      <w:pBdr/>
      <w:spacing/>
      <w:ind w:right="0" w:firstLine="0" w:left="0"/>
      <w:jc w:val="center"/>
      <w:outlineLvl w:val="0"/>
    </w:pPr>
    <w:rPr>
      <w:szCs w:val="20"/>
    </w:rPr>
  </w:style>
  <w:style w:type="paragraph" w:styleId="845">
    <w:name w:val="Заголовок 2"/>
    <w:basedOn w:val="843"/>
    <w:next w:val="883"/>
    <w:link w:val="843"/>
    <w:qFormat/>
    <w:pPr>
      <w:keepNext w:val="true"/>
      <w:numPr>
        <w:ilvl w:val="1"/>
        <w:numId w:val="1"/>
      </w:numPr>
      <w:pBdr/>
      <w:spacing/>
      <w:ind/>
      <w:outlineLvl w:val="1"/>
    </w:pPr>
    <w:rPr>
      <w:b/>
      <w:bCs/>
    </w:rPr>
  </w:style>
  <w:style w:type="paragraph" w:styleId="846">
    <w:name w:val="Заголовок 3"/>
    <w:basedOn w:val="882"/>
    <w:next w:val="883"/>
    <w:link w:val="843"/>
    <w:qFormat/>
    <w:pPr>
      <w:numPr>
        <w:ilvl w:val="2"/>
        <w:numId w:val="1"/>
      </w:numPr>
      <w:pBdr/>
      <w:spacing/>
      <w:ind/>
      <w:outlineLvl w:val="2"/>
    </w:pPr>
  </w:style>
  <w:style w:type="paragraph" w:styleId="847">
    <w:name w:val="Заголовок 4"/>
    <w:basedOn w:val="843"/>
    <w:next w:val="883"/>
    <w:link w:val="843"/>
    <w:qFormat/>
    <w:pPr>
      <w:keepNext w:val="true"/>
      <w:numPr>
        <w:ilvl w:val="3"/>
        <w:numId w:val="1"/>
      </w:numPr>
      <w:pBdr/>
      <w:spacing w:after="60" w:before="240"/>
      <w:ind/>
      <w:outlineLvl w:val="3"/>
    </w:pPr>
    <w:rPr>
      <w:rFonts w:ascii="Calibri" w:hAnsi="Calibri" w:cs="Calibri"/>
      <w:b/>
      <w:bCs/>
      <w:sz w:val="28"/>
      <w:szCs w:val="28"/>
    </w:rPr>
  </w:style>
  <w:style w:type="character" w:styleId="848">
    <w:name w:val="Основной шрифт абзаца"/>
    <w:next w:val="848"/>
    <w:link w:val="843"/>
    <w:uiPriority w:val="1"/>
    <w:semiHidden/>
    <w:unhideWhenUsed/>
    <w:pPr>
      <w:pBdr/>
      <w:spacing/>
      <w:ind/>
    </w:pPr>
  </w:style>
  <w:style w:type="table" w:styleId="849">
    <w:name w:val="Обычная таблица"/>
    <w:next w:val="849"/>
    <w:link w:val="843"/>
    <w:uiPriority w:val="99"/>
    <w:semiHidden/>
    <w:unhideWhenUsed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0">
    <w:name w:val="Нет списка"/>
    <w:next w:val="850"/>
    <w:link w:val="843"/>
    <w:uiPriority w:val="99"/>
    <w:semiHidden/>
    <w:unhideWhenUsed/>
    <w:pPr>
      <w:pBdr/>
      <w:spacing/>
      <w:ind/>
    </w:pPr>
  </w:style>
  <w:style w:type="character" w:styleId="851">
    <w:name w:val="WW8Num1z0"/>
    <w:next w:val="851"/>
    <w:link w:val="843"/>
    <w:pPr>
      <w:pBdr/>
      <w:spacing/>
      <w:ind/>
    </w:pPr>
  </w:style>
  <w:style w:type="character" w:styleId="852">
    <w:name w:val="WW8Num1z1"/>
    <w:next w:val="852"/>
    <w:link w:val="843"/>
    <w:pPr>
      <w:pBdr/>
      <w:spacing/>
      <w:ind/>
    </w:pPr>
  </w:style>
  <w:style w:type="character" w:styleId="853">
    <w:name w:val="WW8Num1z2"/>
    <w:next w:val="853"/>
    <w:link w:val="843"/>
    <w:pPr>
      <w:pBdr/>
      <w:spacing/>
      <w:ind/>
    </w:pPr>
  </w:style>
  <w:style w:type="character" w:styleId="854">
    <w:name w:val="WW8Num1z3"/>
    <w:next w:val="854"/>
    <w:link w:val="843"/>
    <w:pPr>
      <w:pBdr/>
      <w:spacing/>
      <w:ind/>
    </w:pPr>
  </w:style>
  <w:style w:type="character" w:styleId="855">
    <w:name w:val="WW8Num1z4"/>
    <w:next w:val="855"/>
    <w:link w:val="843"/>
    <w:pPr>
      <w:pBdr/>
      <w:spacing/>
      <w:ind/>
    </w:pPr>
  </w:style>
  <w:style w:type="character" w:styleId="856">
    <w:name w:val="WW8Num1z5"/>
    <w:next w:val="856"/>
    <w:link w:val="843"/>
    <w:pPr>
      <w:pBdr/>
      <w:spacing/>
      <w:ind/>
    </w:pPr>
  </w:style>
  <w:style w:type="character" w:styleId="857">
    <w:name w:val="WW8Num1z6"/>
    <w:next w:val="857"/>
    <w:link w:val="843"/>
    <w:pPr>
      <w:pBdr/>
      <w:spacing/>
      <w:ind/>
    </w:pPr>
  </w:style>
  <w:style w:type="character" w:styleId="858">
    <w:name w:val="WW8Num1z7"/>
    <w:next w:val="858"/>
    <w:link w:val="843"/>
    <w:pPr>
      <w:pBdr/>
      <w:spacing/>
      <w:ind/>
    </w:pPr>
  </w:style>
  <w:style w:type="character" w:styleId="859">
    <w:name w:val="WW8Num1z8"/>
    <w:next w:val="859"/>
    <w:link w:val="843"/>
    <w:pPr>
      <w:pBdr/>
      <w:spacing/>
      <w:ind/>
    </w:pPr>
  </w:style>
  <w:style w:type="character" w:styleId="860">
    <w:name w:val="WW8Num2z0"/>
    <w:next w:val="860"/>
    <w:link w:val="843"/>
    <w:pPr>
      <w:pBdr/>
      <w:spacing/>
      <w:ind/>
    </w:pPr>
    <w:rPr>
      <w:rFonts w:eastAsia="Calibri"/>
      <w:lang w:eastAsia="en-US"/>
    </w:rPr>
  </w:style>
  <w:style w:type="character" w:styleId="861">
    <w:name w:val="WW8Num2z1"/>
    <w:next w:val="861"/>
    <w:link w:val="843"/>
    <w:pPr>
      <w:pBdr/>
      <w:spacing/>
      <w:ind/>
    </w:pPr>
  </w:style>
  <w:style w:type="character" w:styleId="862">
    <w:name w:val="WW8Num2z2"/>
    <w:next w:val="862"/>
    <w:link w:val="843"/>
    <w:pPr>
      <w:pBdr/>
      <w:spacing/>
      <w:ind/>
    </w:pPr>
  </w:style>
  <w:style w:type="character" w:styleId="863">
    <w:name w:val="WW8Num2z3"/>
    <w:next w:val="863"/>
    <w:link w:val="843"/>
    <w:pPr>
      <w:pBdr/>
      <w:spacing/>
      <w:ind/>
    </w:pPr>
  </w:style>
  <w:style w:type="character" w:styleId="864">
    <w:name w:val="WW8Num2z4"/>
    <w:next w:val="864"/>
    <w:link w:val="843"/>
    <w:pPr>
      <w:pBdr/>
      <w:spacing/>
      <w:ind/>
    </w:pPr>
  </w:style>
  <w:style w:type="character" w:styleId="865">
    <w:name w:val="WW8Num2z5"/>
    <w:next w:val="865"/>
    <w:link w:val="843"/>
    <w:pPr>
      <w:pBdr/>
      <w:spacing/>
      <w:ind/>
    </w:pPr>
  </w:style>
  <w:style w:type="character" w:styleId="866">
    <w:name w:val="WW8Num2z6"/>
    <w:next w:val="866"/>
    <w:link w:val="843"/>
    <w:pPr>
      <w:pBdr/>
      <w:spacing/>
      <w:ind/>
    </w:pPr>
  </w:style>
  <w:style w:type="character" w:styleId="867">
    <w:name w:val="WW8Num2z7"/>
    <w:next w:val="867"/>
    <w:link w:val="843"/>
    <w:pPr>
      <w:pBdr/>
      <w:spacing/>
      <w:ind/>
    </w:pPr>
  </w:style>
  <w:style w:type="character" w:styleId="868">
    <w:name w:val="WW8Num2z8"/>
    <w:next w:val="868"/>
    <w:link w:val="843"/>
    <w:pPr>
      <w:pBdr/>
      <w:spacing/>
      <w:ind/>
    </w:pPr>
  </w:style>
  <w:style w:type="character" w:styleId="869" w:default="1">
    <w:name w:val="Default Paragraph Font"/>
    <w:next w:val="869"/>
    <w:link w:val="843"/>
    <w:pPr>
      <w:pBdr/>
      <w:spacing/>
      <w:ind/>
    </w:pPr>
  </w:style>
  <w:style w:type="character" w:styleId="870">
    <w:name w:val="Заголовок 4 Знак"/>
    <w:next w:val="870"/>
    <w:link w:val="843"/>
    <w:pPr>
      <w:pBdr/>
      <w:spacing/>
      <w:ind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71">
    <w:name w:val="footnote reference"/>
    <w:next w:val="871"/>
    <w:link w:val="843"/>
    <w:pPr>
      <w:pBdr/>
      <w:spacing/>
      <w:ind/>
    </w:pPr>
    <w:rPr>
      <w:vertAlign w:val="superscript"/>
    </w:rPr>
  </w:style>
  <w:style w:type="character" w:styleId="872">
    <w:name w:val="Цветовое выделение"/>
    <w:next w:val="872"/>
    <w:link w:val="843"/>
    <w:pPr>
      <w:pBdr/>
      <w:spacing/>
      <w:ind/>
    </w:pPr>
    <w:rPr>
      <w:b/>
      <w:bCs/>
      <w:color w:val="26282f"/>
    </w:rPr>
  </w:style>
  <w:style w:type="character" w:styleId="873">
    <w:name w:val="Гипертекстовая ссылка"/>
    <w:next w:val="873"/>
    <w:link w:val="843"/>
    <w:pPr>
      <w:pBdr/>
      <w:spacing/>
      <w:ind/>
    </w:pPr>
    <w:rPr>
      <w:b/>
      <w:bCs/>
      <w:color w:val="106bbe"/>
    </w:rPr>
  </w:style>
  <w:style w:type="character" w:styleId="874">
    <w:name w:val="Гиперссылка"/>
    <w:next w:val="874"/>
    <w:link w:val="843"/>
    <w:pPr>
      <w:pBdr/>
      <w:spacing/>
      <w:ind/>
    </w:pPr>
    <w:rPr>
      <w:color w:val="0000ff"/>
      <w:u w:val="single"/>
    </w:rPr>
  </w:style>
  <w:style w:type="character" w:styleId="875">
    <w:name w:val="Подзаголовок Знак"/>
    <w:next w:val="875"/>
    <w:link w:val="843"/>
    <w:pPr>
      <w:pBdr/>
      <w:spacing/>
      <w:ind/>
    </w:pPr>
    <w:rPr>
      <w:b/>
      <w:bCs/>
      <w:sz w:val="28"/>
      <w:szCs w:val="24"/>
    </w:rPr>
  </w:style>
  <w:style w:type="character" w:styleId="876">
    <w:name w:val="Верхний колонтитул Знак"/>
    <w:next w:val="876"/>
    <w:link w:val="843"/>
    <w:pPr>
      <w:pBdr/>
      <w:spacing/>
      <w:ind/>
    </w:pPr>
    <w:rPr>
      <w:sz w:val="24"/>
      <w:szCs w:val="24"/>
    </w:rPr>
  </w:style>
  <w:style w:type="character" w:styleId="877">
    <w:name w:val="Нижний колонтитул Знак"/>
    <w:next w:val="877"/>
    <w:link w:val="843"/>
    <w:pPr>
      <w:pBdr/>
      <w:spacing/>
      <w:ind/>
    </w:pPr>
    <w:rPr>
      <w:sz w:val="24"/>
      <w:szCs w:val="24"/>
    </w:rPr>
  </w:style>
  <w:style w:type="character" w:styleId="878">
    <w:name w:val="ListLabel 1"/>
    <w:next w:val="878"/>
    <w:link w:val="843"/>
    <w:pPr>
      <w:pBdr/>
      <w:spacing/>
      <w:ind/>
    </w:pPr>
    <w:rPr>
      <w:b/>
    </w:rPr>
  </w:style>
  <w:style w:type="character" w:styleId="879">
    <w:name w:val="ListLabel 2"/>
    <w:next w:val="879"/>
    <w:link w:val="843"/>
    <w:pPr>
      <w:pBdr/>
      <w:spacing/>
      <w:ind/>
    </w:pPr>
    <w:rPr>
      <w:sz w:val="24"/>
      <w:szCs w:val="24"/>
    </w:rPr>
  </w:style>
  <w:style w:type="character" w:styleId="880">
    <w:name w:val="ListLabel 3"/>
    <w:next w:val="880"/>
    <w:link w:val="843"/>
    <w:pPr>
      <w:pBdr/>
      <w:spacing/>
      <w:ind/>
    </w:pPr>
    <w:rPr>
      <w:rFonts w:cs="Courier New"/>
    </w:rPr>
  </w:style>
  <w:style w:type="character" w:styleId="881">
    <w:name w:val="ListLabel 4"/>
    <w:next w:val="881"/>
    <w:link w:val="843"/>
    <w:pPr>
      <w:pBdr/>
      <w:spacing/>
      <w:ind/>
    </w:pPr>
    <w:rPr>
      <w:sz w:val="24"/>
    </w:rPr>
  </w:style>
  <w:style w:type="paragraph" w:styleId="882">
    <w:name w:val="Заголовок"/>
    <w:basedOn w:val="843"/>
    <w:next w:val="883"/>
    <w:link w:val="843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83">
    <w:name w:val="Основной текст"/>
    <w:basedOn w:val="843"/>
    <w:next w:val="883"/>
    <w:link w:val="843"/>
    <w:pPr>
      <w:pBdr/>
      <w:spacing w:after="140" w:before="0" w:line="288" w:lineRule="auto"/>
      <w:ind/>
    </w:pPr>
  </w:style>
  <w:style w:type="paragraph" w:styleId="884">
    <w:name w:val="Список"/>
    <w:basedOn w:val="883"/>
    <w:next w:val="884"/>
    <w:link w:val="843"/>
    <w:pPr>
      <w:pBdr/>
      <w:spacing/>
      <w:ind/>
    </w:pPr>
    <w:rPr>
      <w:rFonts w:cs="Mangal"/>
    </w:rPr>
  </w:style>
  <w:style w:type="paragraph" w:styleId="885">
    <w:name w:val="Название объекта"/>
    <w:basedOn w:val="843"/>
    <w:next w:val="885"/>
    <w:link w:val="843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86">
    <w:name w:val="Указатель1"/>
    <w:basedOn w:val="843"/>
    <w:next w:val="886"/>
    <w:link w:val="843"/>
    <w:pPr>
      <w:suppressLineNumbers w:val="true"/>
      <w:pBdr/>
      <w:spacing/>
      <w:ind/>
    </w:pPr>
    <w:rPr>
      <w:rFonts w:cs="Mangal"/>
    </w:rPr>
  </w:style>
  <w:style w:type="paragraph" w:styleId="887">
    <w:name w:val="Balloon Text"/>
    <w:basedOn w:val="843"/>
    <w:next w:val="887"/>
    <w:link w:val="843"/>
    <w:pPr>
      <w:pBdr/>
      <w:spacing/>
      <w:ind/>
    </w:pPr>
    <w:rPr>
      <w:rFonts w:ascii="Tahoma" w:hAnsi="Tahoma" w:cs="Tahoma"/>
      <w:sz w:val="16"/>
      <w:szCs w:val="16"/>
    </w:rPr>
  </w:style>
  <w:style w:type="paragraph" w:styleId="888">
    <w:name w:val="ConsPlusTitle"/>
    <w:next w:val="888"/>
    <w:link w:val="843"/>
    <w:pPr>
      <w:widowControl w:val="false"/>
      <w:pBdr/>
      <w:spacing/>
      <w:ind/>
    </w:pPr>
    <w:rPr>
      <w:rFonts w:ascii="Arial" w:hAnsi="Arial" w:cs="Arial"/>
      <w:b/>
      <w:bCs/>
      <w:color w:val="00000a"/>
      <w:sz w:val="16"/>
      <w:szCs w:val="16"/>
      <w:lang w:val="ru-RU" w:eastAsia="ru-RU" w:bidi="ar-SA"/>
    </w:rPr>
  </w:style>
  <w:style w:type="paragraph" w:styleId="889">
    <w:name w:val="ConsPlusNormal"/>
    <w:next w:val="889"/>
    <w:link w:val="843"/>
    <w:pPr>
      <w:widowControl w:val="false"/>
      <w:pBdr/>
      <w:spacing/>
      <w:ind w:firstLine="720"/>
    </w:pPr>
    <w:rPr>
      <w:rFonts w:ascii="Arial" w:hAnsi="Arial" w:cs="Arial"/>
      <w:color w:val="00000a"/>
      <w:sz w:val="24"/>
      <w:lang w:val="ru-RU" w:eastAsia="ru-RU" w:bidi="ar-SA"/>
    </w:rPr>
  </w:style>
  <w:style w:type="paragraph" w:styleId="890">
    <w:name w:val="Основной текст с отступом"/>
    <w:basedOn w:val="843"/>
    <w:next w:val="890"/>
    <w:link w:val="843"/>
    <w:pPr>
      <w:pBdr/>
      <w:spacing/>
      <w:ind w:right="0" w:firstLine="550" w:left="0"/>
      <w:jc w:val="both"/>
    </w:pPr>
    <w:rPr>
      <w:sz w:val="28"/>
      <w:szCs w:val="20"/>
    </w:rPr>
  </w:style>
  <w:style w:type="paragraph" w:styleId="891">
    <w:name w:val="ConsPlusNonformat"/>
    <w:next w:val="891"/>
    <w:link w:val="843"/>
    <w:pPr>
      <w:widowControl w:val="false"/>
      <w:pBdr/>
      <w:spacing/>
      <w:ind/>
    </w:pPr>
    <w:rPr>
      <w:rFonts w:ascii="Courier New" w:hAnsi="Courier New" w:cs="Courier New"/>
      <w:color w:val="00000a"/>
      <w:sz w:val="24"/>
      <w:lang w:val="ru-RU" w:eastAsia="ru-RU" w:bidi="ar-SA"/>
    </w:rPr>
  </w:style>
  <w:style w:type="paragraph" w:styleId="892">
    <w:name w:val="Знак"/>
    <w:basedOn w:val="843"/>
    <w:next w:val="892"/>
    <w:link w:val="843"/>
    <w:pPr>
      <w:pBdr/>
      <w:spacing w:after="160" w:before="0" w:line="240" w:lineRule="exact"/>
      <w:ind/>
    </w:pPr>
    <w:rPr>
      <w:rFonts w:ascii="Verdana" w:hAnsi="Verdana" w:cs="Verdana"/>
      <w:lang w:val="en-US" w:eastAsia="en-US"/>
    </w:rPr>
  </w:style>
  <w:style w:type="paragraph" w:styleId="893">
    <w:name w:val="tekstob"/>
    <w:basedOn w:val="843"/>
    <w:next w:val="893"/>
    <w:link w:val="843"/>
    <w:pPr>
      <w:pBdr/>
      <w:spacing w:after="280" w:before="280"/>
      <w:ind/>
    </w:pPr>
  </w:style>
  <w:style w:type="paragraph" w:styleId="894">
    <w:name w:val="Normal (Web)"/>
    <w:basedOn w:val="843"/>
    <w:next w:val="894"/>
    <w:link w:val="843"/>
    <w:pPr>
      <w:pBdr/>
      <w:spacing w:after="280" w:before="280"/>
      <w:ind/>
    </w:pPr>
  </w:style>
  <w:style w:type="paragraph" w:styleId="895">
    <w:name w:val="Default"/>
    <w:next w:val="895"/>
    <w:link w:val="843"/>
    <w:pPr>
      <w:pBdr/>
      <w:spacing/>
      <w:ind/>
    </w:pPr>
    <w:rPr>
      <w:color w:val="000000"/>
      <w:sz w:val="24"/>
      <w:szCs w:val="24"/>
      <w:lang w:val="ru-RU" w:eastAsia="ru-RU" w:bidi="ar-SA"/>
    </w:rPr>
  </w:style>
  <w:style w:type="paragraph" w:styleId="896">
    <w:name w:val="Нормальный (таблица)"/>
    <w:basedOn w:val="843"/>
    <w:next w:val="896"/>
    <w:link w:val="843"/>
    <w:pPr>
      <w:widowControl w:val="false"/>
      <w:pBdr/>
      <w:spacing/>
      <w:ind/>
      <w:jc w:val="both"/>
    </w:pPr>
    <w:rPr>
      <w:rFonts w:ascii="Arial" w:hAnsi="Arial" w:cs="Arial"/>
      <w:sz w:val="26"/>
      <w:szCs w:val="26"/>
    </w:rPr>
  </w:style>
  <w:style w:type="paragraph" w:styleId="897">
    <w:name w:val="Прижатый влево"/>
    <w:basedOn w:val="843"/>
    <w:next w:val="897"/>
    <w:link w:val="843"/>
    <w:pPr>
      <w:widowControl w:val="false"/>
      <w:pBdr/>
      <w:spacing/>
      <w:ind/>
    </w:pPr>
    <w:rPr>
      <w:rFonts w:ascii="Arial" w:hAnsi="Arial" w:cs="Arial"/>
      <w:sz w:val="26"/>
      <w:szCs w:val="26"/>
    </w:rPr>
  </w:style>
  <w:style w:type="paragraph" w:styleId="898">
    <w:name w:val="Абзац списка1"/>
    <w:basedOn w:val="843"/>
    <w:next w:val="898"/>
    <w:link w:val="843"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 w:cs="Calibri"/>
      <w:sz w:val="22"/>
      <w:szCs w:val="22"/>
      <w:lang w:eastAsia="en-US"/>
    </w:rPr>
  </w:style>
  <w:style w:type="paragraph" w:styleId="899">
    <w:name w:val="List Paragraph"/>
    <w:basedOn w:val="843"/>
    <w:next w:val="899"/>
    <w:link w:val="843"/>
    <w:pPr>
      <w:pBdr/>
      <w:spacing w:after="0" w:before="0"/>
      <w:ind w:right="0" w:firstLine="0" w:left="720"/>
      <w:contextualSpacing w:val="true"/>
    </w:pPr>
    <w:rPr>
      <w:lang w:eastAsia="ar-SA"/>
    </w:rPr>
  </w:style>
  <w:style w:type="paragraph" w:styleId="900">
    <w:name w:val="No Spacing"/>
    <w:next w:val="900"/>
    <w:link w:val="843"/>
    <w:pPr>
      <w:pBdr/>
      <w:spacing/>
      <w:ind/>
    </w:pPr>
    <w:rPr>
      <w:rFonts w:ascii="Calibri" w:hAnsi="Calibri" w:eastAsia="Calibri"/>
      <w:color w:val="00000a"/>
      <w:sz w:val="22"/>
      <w:szCs w:val="22"/>
      <w:lang w:val="ru-RU" w:eastAsia="en-US" w:bidi="ar-SA"/>
    </w:rPr>
  </w:style>
  <w:style w:type="paragraph" w:styleId="901">
    <w:name w:val="Название объекта2"/>
    <w:basedOn w:val="843"/>
    <w:next w:val="901"/>
    <w:link w:val="843"/>
    <w:pPr>
      <w:pBdr/>
      <w:spacing/>
      <w:ind/>
      <w:jc w:val="center"/>
    </w:pPr>
    <w:rPr>
      <w:sz w:val="28"/>
      <w:szCs w:val="20"/>
      <w:lang w:eastAsia="ar-SA"/>
    </w:rPr>
  </w:style>
  <w:style w:type="paragraph" w:styleId="902">
    <w:name w:val="Абзац списка2"/>
    <w:basedOn w:val="843"/>
    <w:next w:val="902"/>
    <w:link w:val="843"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 w:cs="Calibri"/>
      <w:sz w:val="22"/>
      <w:szCs w:val="22"/>
      <w:lang w:eastAsia="en-US"/>
    </w:rPr>
  </w:style>
  <w:style w:type="paragraph" w:styleId="903">
    <w:name w:val="Подзаголовок"/>
    <w:basedOn w:val="843"/>
    <w:next w:val="883"/>
    <w:link w:val="843"/>
    <w:qFormat/>
    <w:pPr>
      <w:pBdr/>
      <w:spacing/>
      <w:ind/>
      <w:jc w:val="center"/>
    </w:pPr>
    <w:rPr>
      <w:b/>
      <w:bCs/>
      <w:sz w:val="28"/>
    </w:rPr>
  </w:style>
  <w:style w:type="paragraph" w:styleId="904">
    <w:name w:val="parametervalue"/>
    <w:basedOn w:val="843"/>
    <w:next w:val="904"/>
    <w:link w:val="843"/>
    <w:pPr>
      <w:pBdr/>
      <w:spacing w:after="280" w:before="280"/>
      <w:ind/>
    </w:pPr>
    <w:rPr>
      <w:lang w:eastAsia="zh-CN"/>
    </w:rPr>
  </w:style>
  <w:style w:type="paragraph" w:styleId="905">
    <w:name w:val="Верхний колонтитул"/>
    <w:basedOn w:val="843"/>
    <w:next w:val="905"/>
    <w:link w:val="843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06">
    <w:name w:val="Нижний колонтитул"/>
    <w:basedOn w:val="843"/>
    <w:next w:val="906"/>
    <w:link w:val="843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07">
    <w:name w:val="Блочная цитата"/>
    <w:basedOn w:val="843"/>
    <w:next w:val="907"/>
    <w:link w:val="843"/>
    <w:pPr>
      <w:pBdr/>
      <w:spacing/>
      <w:ind/>
    </w:pPr>
  </w:style>
  <w:style w:type="paragraph" w:styleId="908">
    <w:name w:val="Название"/>
    <w:basedOn w:val="882"/>
    <w:next w:val="883"/>
    <w:link w:val="843"/>
    <w:qFormat/>
    <w:pPr>
      <w:pBdr/>
      <w:spacing/>
      <w:ind/>
    </w:pPr>
  </w:style>
  <w:style w:type="paragraph" w:styleId="909">
    <w:name w:val="Содержимое таблицы"/>
    <w:basedOn w:val="843"/>
    <w:next w:val="909"/>
    <w:link w:val="843"/>
    <w:pPr>
      <w:suppressLineNumbers w:val="true"/>
      <w:pBdr/>
      <w:spacing/>
      <w:ind/>
    </w:pPr>
  </w:style>
  <w:style w:type="paragraph" w:styleId="910">
    <w:name w:val="Заголовок таблицы"/>
    <w:basedOn w:val="909"/>
    <w:next w:val="910"/>
    <w:link w:val="843"/>
    <w:pPr>
      <w:suppressLineNumbers w:val="true"/>
      <w:pBdr/>
      <w:spacing/>
      <w:ind/>
      <w:jc w:val="center"/>
    </w:pPr>
    <w:rPr>
      <w:b/>
      <w:bCs/>
    </w:rPr>
  </w:style>
  <w:style w:type="paragraph" w:styleId="911">
    <w:name w:val="Содержимое списка"/>
    <w:basedOn w:val="843"/>
    <w:next w:val="911"/>
    <w:link w:val="843"/>
    <w:pPr>
      <w:pBdr/>
      <w:spacing/>
      <w:ind w:right="0" w:firstLine="0" w:left="567"/>
    </w:pPr>
  </w:style>
  <w:style w:type="paragraph" w:styleId="912">
    <w:name w:val="Заголовок списка"/>
    <w:basedOn w:val="843"/>
    <w:next w:val="911"/>
    <w:link w:val="843"/>
    <w:pPr>
      <w:pBdr/>
      <w:spacing/>
      <w:ind w:right="0" w:firstLine="0" w:left="0"/>
    </w:pPr>
  </w:style>
  <w:style w:type="character" w:styleId="913" w:customStyle="1">
    <w:name w:val="Интернет-ссылка"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УПРАВА ГОРОДА КАЛУГИ</dc:title>
  <dc:creator>gricynaia</dc:creator>
  <cp:revision>5</cp:revision>
  <dcterms:created xsi:type="dcterms:W3CDTF">2021-11-10T14:41:00Z</dcterms:created>
  <dcterms:modified xsi:type="dcterms:W3CDTF">2025-04-28T10:08:51Z</dcterms:modified>
  <cp:version>983040</cp:version>
</cp:coreProperties>
</file>